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F6E6A"/>
          <w:spacing w:val="20"/>
          <w:sz w:val="30"/>
          <w:szCs w:val="30"/>
        </w:rPr>
        <w:t xml:space="preserve">TECH-LIFE AI HR</w:t>
      </w:r>
    </w:p>
    <w:p>
      <w:pPr>
        <w:spacing w:after="100" w:before="200"/>
        <w:jc w:val="center"/>
      </w:pPr>
      <w:r>
        <w:rPr>
          <w:b/>
          <w:bCs/>
          <w:color w:val="13233F"/>
          <w:sz w:val="50"/>
          <w:szCs w:val="50"/>
        </w:rPr>
        <w:t xml:space="preserve">Complete User Manual &amp; Administrator Guide</w:t>
      </w:r>
    </w:p>
    <w:p>
      <w:pPr>
        <w:spacing w:after="500"/>
        <w:jc w:val="center"/>
      </w:pPr>
      <w:r>
        <w:rPr>
          <w:i/>
          <w:iCs/>
          <w:color w:val="222222"/>
          <w:sz w:val="26"/>
          <w:szCs w:val="26"/>
        </w:rPr>
        <w:t xml:space="preserve">AI HR Decision Intelligence Platform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shd w:fill="13233F" w:val="clear"/>
            <w:tcMar>
              <w:top w:type="dxa" w:w="260"/>
              <w:left w:type="dxa" w:w="260"/>
              <w:bottom w:type="dxa" w:w="260"/>
              <w:right w:type="dxa" w:w="260"/>
            </w:tcMar>
          </w:tcPr>
          <w:p>
            <w:pPr>
              <w:jc w:val="center"/>
            </w:pPr>
            <w:r>
              <w:rPr>
                <w:b/>
                <w:bCs/>
                <w:i/>
                <w:iCs/>
                <w:color w:val="FFFFFF"/>
                <w:sz w:val="22"/>
                <w:szCs w:val="22"/>
              </w:rPr>
              <w:t xml:space="preserve">“Tech-Life AI HR — helping HR &amp; Management make</w:t>
            </w:r>
          </w:p>
          <w:p>
            <w:pPr>
              <w:jc w:val="center"/>
            </w:pPr>
            <w:r>
              <w:rPr>
                <w:b/>
                <w:bCs/>
                <w:i/>
                <w:iCs/>
                <w:color w:val="FFFFFF"/>
                <w:sz w:val="22"/>
                <w:szCs w:val="22"/>
              </w:rPr>
              <w:t xml:space="preserve">candidate screening and promotion decisions.”</w:t>
            </w:r>
          </w:p>
        </w:tc>
      </w:tr>
    </w:tbl>
    <w:p>
      <w:pPr>
        <w:spacing w:before="700"/>
      </w:pPr>
    </w:p>
    <w:p>
      <w:pPr>
        <w:jc w:val="center"/>
      </w:pPr>
      <w:r>
        <w:rPr>
          <w:b/>
          <w:bCs/>
          <w:color w:val="13233F"/>
          <w:sz w:val="21"/>
          <w:szCs w:val="21"/>
        </w:rPr>
        <w:t xml:space="preserve">Covers: Superadmin Console · HR &amp; Management Workspace · Candidate Journey</w:t>
      </w:r>
    </w:p>
    <w:p>
      <w:pPr>
        <w:spacing w:before="500"/>
        <w:jc w:val="center"/>
      </w:pPr>
      <w:r>
        <w:rPr>
          <w:color w:val="222222"/>
          <w:sz w:val="19"/>
          <w:szCs w:val="19"/>
        </w:rPr>
        <w:t xml:space="preserve">Data layer: CouchDB (only database used by the platform)</w:t>
      </w:r>
    </w:p>
    <w:p>
      <w:pPr>
        <w:jc w:val="center"/>
      </w:pPr>
      <w:r>
        <w:rPr>
          <w:color w:val="222222"/>
          <w:sz w:val="19"/>
          <w:szCs w:val="19"/>
        </w:rPr>
        <w:t xml:space="preserve">Version 2.0</w:t>
      </w:r>
    </w:p>
    <w:p>
      <w:pPr>
        <w:jc w:val="center"/>
      </w:pPr>
      <w:r>
        <w:rPr>
          <w:color w:val="222222"/>
          <w:sz w:val="19"/>
          <w:szCs w:val="19"/>
        </w:rPr>
        <w:t xml:space="preserve">Prepared: July 2026</w:t>
      </w:r>
    </w:p>
    <w:p>
      <w:pPr>
        <w:sectPr>
          <w:pgSz w:w="11906" w:h="16838" w:orient="portrait"/>
          <w:pgMar w:top="720" w:right="1080" w:bottom="720" w:left="1080" w:header="708" w:footer="708" w:gutter="0"/>
          <w:pgNumType/>
          <w:docGrid w:linePitch="360"/>
        </w:sectPr>
      </w:pPr>
    </w:p>
    <w:p>
      <w:pPr>
        <w:pStyle w:val="Heading1"/>
        <w:pBdr>
          <w:bottom w:val="single" w:color="0F6E6A" w:sz="6" w:space="4"/>
        </w:pBdr>
        <w:spacing w:after="200" w:before="400"/>
      </w:pPr>
      <w:r>
        <w:rPr>
          <w:b/>
          <w:bCs/>
          <w:color w:val="13233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0F6E6A" w:sz="6" w:space="4"/>
        </w:pBdr>
        <w:spacing w:after="200" w:before="400"/>
      </w:pPr>
      <w:r>
        <w:rPr>
          <w:b/>
          <w:bCs/>
          <w:color w:val="13233F"/>
          <w:sz w:val="30"/>
          <w:szCs w:val="30"/>
        </w:rPr>
        <w:t xml:space="preserve">1. Introduction &amp; Purpose</w:t>
      </w:r>
    </w:p>
    <w:p>
      <w:pPr>
        <w:spacing w:after="160" w:line="276"/>
        <w:jc w:val="both"/>
      </w:pPr>
      <w:r>
        <w:rPr>
          <w:color w:val="222222"/>
          <w:sz w:val="21"/>
          <w:szCs w:val="21"/>
        </w:rPr>
        <w:t xml:space="preserve">Tech-Life AI HR is a multi-tenant AI HR Decision Intelligence Platform. A Superadmin provisions each organization (“tenant”), switches on exactly the features that organization is licensed for, and creates its HR and Management users. Those users add candidates (for screening) or employees (for promotion review), send them an invite by email, WhatsApp, or AI voice call, and the platform carries the case through pre-assessment, an AI- or human-conducted interview, KPI-based promotion scoring, and a final human decision — with every step logged for audit and compliance.</w:t>
      </w:r>
    </w:p>
    <w:p>
      <w:pPr>
        <w:spacing w:after="160" w:line="276"/>
        <w:jc w:val="both"/>
      </w:pPr>
      <w:r>
        <w:rPr>
          <w:color w:val="222222"/>
          <w:sz w:val="21"/>
          <w:szCs w:val="21"/>
        </w:rPr>
        <w:t xml:space="preserve">This manual documents every screen and workflow in the system as built, organized by role: Superadmin, HR/Management, and Candidate/Employee. It also explains the two AI engines at the platform's core — the Industry &amp; Level Adaptive Question Engine and the KPI &amp; Promotion Recommendation Engine — and closes with an API reference, troubleshooting guide, and a candid list of current limitations.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A note on AI and human authority</w:t>
            </w:r>
          </w:p>
          <w:p>
            <w:pPr>
              <w:spacing w:after="0"/>
            </w:pPr>
            <w:r>
              <w:rPr>
                <w:color w:val="222222"/>
                <w:sz w:val="20"/>
                <w:szCs w:val="20"/>
              </w:rPr>
              <w:t xml:space="preserve">Every AI output in this platform — interview questions, transcripts, scores, and promotion recommendations — is a decision-support aid. HR and Management always make the final call, and every decision is recorded with who made it and when.</w:t>
            </w:r>
          </w:p>
        </w:tc>
      </w:tr>
    </w:tbl>
    <w:p>
      <w:pPr>
        <w:pStyle w:val="Heading1"/>
        <w:pBdr>
          <w:bottom w:val="single" w:color="0F6E6A" w:sz="6" w:space="4"/>
        </w:pBdr>
        <w:spacing w:after="200" w:before="400"/>
      </w:pPr>
      <w:r>
        <w:rPr>
          <w:b/>
          <w:bCs/>
          <w:color w:val="13233F"/>
          <w:sz w:val="30"/>
          <w:szCs w:val="30"/>
        </w:rPr>
        <w:t xml:space="preserve">2. System Overview</w:t>
      </w:r>
    </w:p>
    <w:p>
      <w:pPr>
        <w:pStyle w:val="Heading2"/>
        <w:spacing w:after="140" w:before="280"/>
      </w:pPr>
      <w:r>
        <w:rPr>
          <w:b/>
          <w:bCs/>
          <w:color w:val="0F6E6A"/>
          <w:sz w:val="24"/>
          <w:szCs w:val="24"/>
        </w:rPr>
        <w:t xml:space="preserve">2.1 Architecture at a Glance</w:t>
      </w:r>
    </w:p>
    <w:p>
      <w:pPr>
        <w:spacing w:after="160" w:line="276"/>
        <w:jc w:val="both"/>
      </w:pPr>
      <w:r>
        <w:rPr>
          <w:color w:val="222222"/>
          <w:sz w:val="21"/>
          <w:szCs w:val="21"/>
        </w:rPr>
        <w:t xml:space="preserve">The platform is a Node.js/Express application with a plain HTML/JavaScript frontend (no build step required) and CouchDB as its only data store, accessed through PouchDB. PouchDB speaks CouchDB's own replication protocol, so the same code runs two ways:</w:t>
      </w:r>
    </w:p>
    <w:p>
      <w:pPr>
        <w:pStyle w:val="ListParagraph"/>
        <w:numPr>
          <w:ilvl w:val="0"/>
          <w:numId w:val="2"/>
        </w:numPr>
        <w:spacing w:after="80" w:line="264"/>
      </w:pPr>
      <w:r>
        <w:rPr>
          <w:color w:val="222222"/>
          <w:sz w:val="21"/>
          <w:szCs w:val="21"/>
        </w:rPr>
        <w:t xml:space="preserve">Embedded mode (default): documents are stored locally on disk in CouchDB's own format — no external services needed to run the whole platform.</w:t>
      </w:r>
    </w:p>
    <w:p>
      <w:pPr>
        <w:pStyle w:val="ListParagraph"/>
        <w:numPr>
          <w:ilvl w:val="0"/>
          <w:numId w:val="2"/>
        </w:numPr>
        <w:spacing w:after="80" w:line="264"/>
      </w:pPr>
      <w:r>
        <w:rPr>
          <w:color w:val="222222"/>
          <w:sz w:val="21"/>
          <w:szCs w:val="21"/>
        </w:rPr>
        <w:t xml:space="preserve">Real CouchDB mode: setting the COUCHDB_URL environment variable points every read and write at a real CouchDB (or Cloudant) server over HTTP — nothing else in the code changes.</w:t>
      </w:r>
    </w:p>
    <w:p>
      <w:pPr>
        <w:spacing w:after="160" w:line="276"/>
        <w:jc w:val="both"/>
      </w:pPr>
      <w:r>
        <w:rPr>
          <w:color w:val="222222"/>
          <w:sz w:val="21"/>
          <w:szCs w:val="21"/>
        </w:rPr>
        <w:t xml:space="preserve">Real-time features (the WebRTC interview room) use Socket.IO purely for signaling — offer/answer/ICE candidate exchange — audio and video never pass through the server.</w:t>
      </w:r>
    </w:p>
    <w:p>
      <w:pPr>
        <w:pStyle w:val="Heading2"/>
        <w:spacing w:after="140" w:before="280"/>
      </w:pPr>
      <w:r>
        <w:rPr>
          <w:b/>
          <w:bCs/>
          <w:color w:val="0F6E6A"/>
          <w:sz w:val="24"/>
          <w:szCs w:val="24"/>
        </w:rPr>
        <w:t xml:space="preserve">2.2 The Three Kinds of Users</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3700"/>
        <w:gridCol w:w="3200"/>
      </w:tblGrid>
      <w:tr>
        <w:trPr>
          <w:tblHeader/>
        </w:trPr>
        <w:tc>
          <w:tcPr>
            <w:tcW w:type="dxa" w:w="2400"/>
            <w:shd w:fill="13233F" w:val="clear"/>
            <w:tcMar>
              <w:top w:type="dxa" w:w="100"/>
              <w:left w:type="dxa" w:w="120"/>
              <w:bottom w:type="dxa" w:w="100"/>
              <w:right w:type="dxa" w:w="120"/>
            </w:tcMar>
            <w:vAlign w:val="center"/>
          </w:tcPr>
          <w:p>
            <w:pPr>
              <w:jc w:val="left"/>
            </w:pPr>
            <w:r>
              <w:rPr>
                <w:b/>
                <w:bCs/>
                <w:color w:val="FFFFFF"/>
                <w:sz w:val="19"/>
                <w:szCs w:val="19"/>
              </w:rPr>
              <w:t xml:space="preserve">Role</w:t>
            </w:r>
          </w:p>
        </w:tc>
        <w:tc>
          <w:tcPr>
            <w:tcW w:type="dxa" w:w="3700"/>
            <w:shd w:fill="13233F" w:val="clear"/>
            <w:tcMar>
              <w:top w:type="dxa" w:w="100"/>
              <w:left w:type="dxa" w:w="120"/>
              <w:bottom w:type="dxa" w:w="100"/>
              <w:right w:type="dxa" w:w="120"/>
            </w:tcMar>
            <w:vAlign w:val="center"/>
          </w:tcPr>
          <w:p>
            <w:pPr>
              <w:jc w:val="left"/>
            </w:pPr>
            <w:r>
              <w:rPr>
                <w:b/>
                <w:bCs/>
                <w:color w:val="FFFFFF"/>
                <w:sz w:val="19"/>
                <w:szCs w:val="19"/>
              </w:rPr>
              <w:t xml:space="preserve">Scope</w:t>
            </w:r>
          </w:p>
        </w:tc>
        <w:tc>
          <w:tcPr>
            <w:tcW w:type="dxa" w:w="3200"/>
            <w:shd w:fill="13233F" w:val="clear"/>
            <w:tcMar>
              <w:top w:type="dxa" w:w="100"/>
              <w:left w:type="dxa" w:w="120"/>
              <w:bottom w:type="dxa" w:w="100"/>
              <w:right w:type="dxa" w:w="120"/>
            </w:tcMar>
            <w:vAlign w:val="center"/>
          </w:tcPr>
          <w:p>
            <w:pPr>
              <w:jc w:val="left"/>
            </w:pPr>
            <w:r>
              <w:rPr>
                <w:b/>
                <w:bCs/>
                <w:color w:val="FFFFFF"/>
                <w:sz w:val="19"/>
                <w:szCs w:val="19"/>
              </w:rPr>
              <w:t xml:space="preserve">Signs in at</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Superadmin</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Platform-wide — all organizations</w:t>
            </w:r>
          </w:p>
        </w:tc>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/superadmin.html</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HR</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Their own organization only</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/index.html (Organization Login)</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Management</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Their own organization only</w:t>
            </w:r>
          </w:p>
        </w:tc>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/index.html (Organization Login)</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Candidate / Employee</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Their own case only, via a private link — no password</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/invite.html?token=... (sent by email/WhatsApp)</w:t>
            </w:r>
          </w:p>
        </w:tc>
      </w:tr>
    </w:tbl>
    <w:p>
      <w:pPr>
        <w:pStyle w:val="Heading2"/>
        <w:spacing w:after="140" w:before="280"/>
      </w:pPr>
      <w:r>
        <w:rPr>
          <w:b/>
          <w:bCs/>
          <w:color w:val="0F6E6A"/>
          <w:sz w:val="24"/>
          <w:szCs w:val="24"/>
        </w:rPr>
        <w:t xml:space="preserve">2.3 The End-to-End Flow</w:t>
      </w:r>
    </w:p>
    <w:p>
      <w:pPr>
        <w:pStyle w:val="ListParagraph"/>
        <w:numPr>
          <w:ilvl w:val="0"/>
          <w:numId w:val="3"/>
        </w:numPr>
        <w:spacing w:after="80" w:line="264"/>
      </w:pPr>
      <w:r>
        <w:rPr>
          <w:color w:val="222222"/>
          <w:sz w:val="21"/>
          <w:szCs w:val="21"/>
        </w:rPr>
        <w:t xml:space="preserve">Superadmin creates an organization and turns on the features it needs (e.g. AI Voice Interview, KPI Analytics, WhatsApp Notifications).</w:t>
      </w:r>
    </w:p>
    <w:p>
      <w:pPr>
        <w:pStyle w:val="ListParagraph"/>
        <w:numPr>
          <w:ilvl w:val="0"/>
          <w:numId w:val="3"/>
        </w:numPr>
        <w:spacing w:after="80" w:line="264"/>
      </w:pPr>
      <w:r>
        <w:rPr>
          <w:color w:val="222222"/>
          <w:sz w:val="21"/>
          <w:szCs w:val="21"/>
        </w:rPr>
        <w:t xml:space="preserve">Superadmin creates that organization's HR and/or Management user accounts.</w:t>
      </w:r>
    </w:p>
    <w:p>
      <w:pPr>
        <w:pStyle w:val="ListParagraph"/>
        <w:numPr>
          <w:ilvl w:val="0"/>
          <w:numId w:val="3"/>
        </w:numPr>
        <w:spacing w:after="80" w:line="264"/>
      </w:pPr>
      <w:r>
        <w:rPr>
          <w:color w:val="222222"/>
          <w:sz w:val="21"/>
          <w:szCs w:val="21"/>
        </w:rPr>
        <w:t xml:space="preserve">HR/Management logs in, adds a candidate (screening) or employee (promotion), optionally uploads a resume, and sends an invite.</w:t>
      </w:r>
    </w:p>
    <w:p>
      <w:pPr>
        <w:pStyle w:val="ListParagraph"/>
        <w:numPr>
          <w:ilvl w:val="0"/>
          <w:numId w:val="3"/>
        </w:numPr>
        <w:spacing w:after="80" w:line="264"/>
      </w:pPr>
      <w:r>
        <w:rPr>
          <w:color w:val="222222"/>
          <w:sz w:val="21"/>
          <w:szCs w:val="21"/>
        </w:rPr>
        <w:t xml:space="preserve">The candidate/employee opens the invite link, accepts it, and — if the Pre-Test feature is on — completes a four-section assessment.</w:t>
      </w:r>
    </w:p>
    <w:p>
      <w:pPr>
        <w:pStyle w:val="ListParagraph"/>
        <w:numPr>
          <w:ilvl w:val="0"/>
          <w:numId w:val="3"/>
        </w:numPr>
        <w:spacing w:after="80" w:line="264"/>
      </w:pPr>
      <w:r>
        <w:rPr>
          <w:color w:val="222222"/>
          <w:sz w:val="21"/>
          <w:szCs w:val="21"/>
        </w:rPr>
        <w:t xml:space="preserve">The platform automatically schedules the interview: a human if one is marked Available, otherwise the AI interviewer (if enabled).</w:t>
      </w:r>
    </w:p>
    <w:p>
      <w:pPr>
        <w:pStyle w:val="ListParagraph"/>
        <w:numPr>
          <w:ilvl w:val="0"/>
          <w:numId w:val="3"/>
        </w:numPr>
        <w:spacing w:after="80" w:line="264"/>
      </w:pPr>
      <w:r>
        <w:rPr>
          <w:color w:val="222222"/>
          <w:sz w:val="21"/>
          <w:szCs w:val="21"/>
        </w:rPr>
        <w:t xml:space="preserve">The interview happens in a live WebRTC room. HR/Management can join at any point and take over from the AI.</w:t>
      </w:r>
    </w:p>
    <w:p>
      <w:pPr>
        <w:pStyle w:val="ListParagraph"/>
        <w:numPr>
          <w:ilvl w:val="0"/>
          <w:numId w:val="3"/>
        </w:numPr>
        <w:spacing w:after="80" w:line="264"/>
      </w:pPr>
      <w:r>
        <w:rPr>
          <w:color w:val="222222"/>
          <w:sz w:val="21"/>
          <w:szCs w:val="21"/>
        </w:rPr>
        <w:t xml:space="preserve">HR/Management reviews the transcript, KPI data (for promotions), and the AI's promotion recommendation, then records the final decision.</w:t>
      </w:r>
    </w:p>
    <w:p>
      <w:pPr>
        <w:pStyle w:val="ListParagraph"/>
        <w:numPr>
          <w:ilvl w:val="0"/>
          <w:numId w:val="3"/>
        </w:numPr>
        <w:spacing w:after="80" w:line="264"/>
      </w:pPr>
      <w:r>
        <w:rPr>
          <w:color w:val="222222"/>
          <w:sz w:val="21"/>
          <w:szCs w:val="21"/>
        </w:rPr>
        <w:t xml:space="preserve">The candidate/employee is optionally emailed the result. Everything is logged to the organization's activity feed.</w:t>
      </w:r>
    </w:p>
    <w:p>
      <w:r>
        <w:br w:type="page"/>
      </w:r>
    </w:p>
    <w:p>
      <w:pPr>
        <w:pStyle w:val="Heading1"/>
        <w:pBdr>
          <w:bottom w:val="single" w:color="0F6E6A" w:sz="6" w:space="4"/>
        </w:pBdr>
        <w:spacing w:after="200" w:before="400"/>
      </w:pPr>
      <w:r>
        <w:rPr>
          <w:b/>
          <w:bCs/>
          <w:color w:val="13233F"/>
          <w:sz w:val="30"/>
          <w:szCs w:val="30"/>
        </w:rPr>
        <w:t xml:space="preserve">3. Getting Started</w:t>
      </w:r>
    </w:p>
    <w:p>
      <w:pPr>
        <w:pStyle w:val="Heading2"/>
        <w:spacing w:after="140" w:before="280"/>
      </w:pPr>
      <w:r>
        <w:rPr>
          <w:b/>
          <w:bCs/>
          <w:color w:val="0F6E6A"/>
          <w:sz w:val="24"/>
          <w:szCs w:val="24"/>
        </w:rPr>
        <w:t xml:space="preserve">3.1 Installing &amp; Running</w:t>
      </w:r>
    </w:p>
    <w:p>
      <w:pPr>
        <w:spacing w:after="160" w:line="276"/>
        <w:jc w:val="both"/>
      </w:pPr>
      <w:r>
        <w:rPr>
          <w:color w:val="222222"/>
          <w:sz w:val="21"/>
          <w:szCs w:val="21"/>
        </w:rPr>
        <w:t xml:space="preserve">From the project folder:</w:t>
      </w:r>
    </w:p>
    <w:p>
      <w:pPr>
        <w:pStyle w:val="ListParagraph"/>
        <w:numPr>
          <w:ilvl w:val="0"/>
          <w:numId w:val="2"/>
        </w:numPr>
        <w:spacing w:after="80" w:line="264"/>
      </w:pPr>
      <w:r>
        <w:rPr>
          <w:color w:val="222222"/>
          <w:sz w:val="21"/>
          <w:szCs w:val="21"/>
        </w:rPr>
        <w:t xml:space="preserve">Run npm install to install dependencies.</w:t>
      </w:r>
    </w:p>
    <w:p>
      <w:pPr>
        <w:pStyle w:val="ListParagraph"/>
        <w:numPr>
          <w:ilvl w:val="0"/>
          <w:numId w:val="2"/>
        </w:numPr>
        <w:spacing w:after="80" w:line="264"/>
      </w:pPr>
      <w:r>
        <w:rPr>
          <w:color w:val="222222"/>
          <w:sz w:val="21"/>
          <w:szCs w:val="21"/>
        </w:rPr>
        <w:t xml:space="preserve">Run npm start to launch the server (default port 4000).</w:t>
      </w:r>
    </w:p>
    <w:p>
      <w:pPr>
        <w:pStyle w:val="ListParagraph"/>
        <w:numPr>
          <w:ilvl w:val="0"/>
          <w:numId w:val="2"/>
        </w:numPr>
        <w:spacing w:after="80" w:line="264"/>
      </w:pPr>
      <w:r>
        <w:rPr>
          <w:color w:val="222222"/>
          <w:sz w:val="21"/>
          <w:szCs w:val="21"/>
        </w:rPr>
        <w:t xml:space="preserve">Open http://localhost:4000/index.html for the HR/Management login, or http://localhost:4000/superadmin.html for the Superadmin console.</w:t>
      </w:r>
    </w:p>
    <w:p>
      <w:pPr>
        <w:pStyle w:val="Heading2"/>
        <w:spacing w:after="140" w:before="280"/>
      </w:pPr>
      <w:r>
        <w:rPr>
          <w:b/>
          <w:bCs/>
          <w:color w:val="0F6E6A"/>
          <w:sz w:val="24"/>
          <w:szCs w:val="24"/>
        </w:rPr>
        <w:t xml:space="preserve">3.2 Seeded Demo Accounts (first run only)</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5900"/>
      </w:tblGrid>
      <w:tr>
        <w:trPr>
          <w:tblHeader/>
        </w:trPr>
        <w:tc>
          <w:tcPr>
            <w:tcW w:type="dxa" w:w="3400"/>
            <w:shd w:fill="13233F" w:val="clear"/>
            <w:tcMar>
              <w:top w:type="dxa" w:w="100"/>
              <w:left w:type="dxa" w:w="120"/>
              <w:bottom w:type="dxa" w:w="100"/>
              <w:right w:type="dxa" w:w="120"/>
            </w:tcMar>
            <w:vAlign w:val="center"/>
          </w:tcPr>
          <w:p>
            <w:pPr>
              <w:jc w:val="left"/>
            </w:pPr>
            <w:r>
              <w:rPr>
                <w:b/>
                <w:bCs/>
                <w:color w:val="FFFFFF"/>
                <w:sz w:val="19"/>
                <w:szCs w:val="19"/>
              </w:rPr>
              <w:t xml:space="preserve">Role</w:t>
            </w:r>
          </w:p>
        </w:tc>
        <w:tc>
          <w:tcPr>
            <w:tcW w:type="dxa" w:w="5900"/>
            <w:shd w:fill="13233F" w:val="clear"/>
            <w:tcMar>
              <w:top w:type="dxa" w:w="100"/>
              <w:left w:type="dxa" w:w="120"/>
              <w:bottom w:type="dxa" w:w="100"/>
              <w:right w:type="dxa" w:w="120"/>
            </w:tcMar>
            <w:vAlign w:val="center"/>
          </w:tcPr>
          <w:p>
            <w:pPr>
              <w:jc w:val="left"/>
            </w:pPr>
            <w:r>
              <w:rPr>
                <w:b/>
                <w:bCs/>
                <w:color w:val="FFFFFF"/>
                <w:sz w:val="19"/>
                <w:szCs w:val="19"/>
              </w:rPr>
              <w:t xml:space="preserve">Login details</w:t>
            </w:r>
          </w:p>
        </w:tc>
      </w:tr>
      <w:tr>
        <w:tc>
          <w:tcPr>
            <w:tcW w:type="dxa" w:w="3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Superadmin</w:t>
            </w:r>
          </w:p>
        </w:tc>
        <w:tc>
          <w:tcPr>
            <w:tcW w:type="dxa" w:w="59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superadmin@techlife.ai / SuperAdmin@123</w:t>
            </w:r>
          </w:p>
        </w:tc>
      </w:tr>
      <w:tr>
        <w:tc>
          <w:tcPr>
            <w:tcW w:type="dxa" w:w="3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HR (Demo Corp)</w:t>
            </w:r>
          </w:p>
        </w:tc>
        <w:tc>
          <w:tcPr>
            <w:tcW w:type="dxa" w:w="59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Organization code demo · hr@demo.com / Demo@123</w:t>
            </w:r>
          </w:p>
        </w:tc>
      </w:tr>
      <w:tr>
        <w:tc>
          <w:tcPr>
            <w:tcW w:type="dxa" w:w="3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Management (Demo Corp)</w:t>
            </w:r>
          </w:p>
        </w:tc>
        <w:tc>
          <w:tcPr>
            <w:tcW w:type="dxa" w:w="59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Organization code demo · management@demo.com / Demo@123</w:t>
            </w:r>
          </w:p>
        </w:tc>
      </w:tr>
    </w:tbl>
    <w:p>
      <w:pPr>
        <w:spacing w:after="160" w:line="276"/>
        <w:jc w:val="both"/>
      </w:pPr>
      <w:r>
        <w:rPr>
          <w:color w:val="222222"/>
          <w:sz w:val="21"/>
          <w:szCs w:val="21"/>
        </w:rPr>
        <w:t xml:space="preserve">A sample candidate is also seeded, with its invite link printed to the server console on first boot.</w:t>
      </w:r>
    </w:p>
    <w:p>
      <w:pPr>
        <w:pStyle w:val="Heading2"/>
        <w:spacing w:after="140" w:before="280"/>
      </w:pPr>
      <w:r>
        <w:rPr>
          <w:b/>
          <w:bCs/>
          <w:color w:val="0F6E6A"/>
          <w:sz w:val="24"/>
          <w:szCs w:val="24"/>
        </w:rPr>
        <w:t xml:space="preserve">3.3 Key Environment Variables</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100"/>
      </w:tblGrid>
      <w:tr>
        <w:trPr>
          <w:tblHeader/>
        </w:trPr>
        <w:tc>
          <w:tcPr>
            <w:tcW w:type="dxa" w:w="3200"/>
            <w:shd w:fill="13233F" w:val="clear"/>
            <w:tcMar>
              <w:top w:type="dxa" w:w="100"/>
              <w:left w:type="dxa" w:w="120"/>
              <w:bottom w:type="dxa" w:w="100"/>
              <w:right w:type="dxa" w:w="120"/>
            </w:tcMar>
            <w:vAlign w:val="center"/>
          </w:tcPr>
          <w:p>
            <w:pPr>
              <w:jc w:val="left"/>
            </w:pPr>
            <w:r>
              <w:rPr>
                <w:b/>
                <w:bCs/>
                <w:color w:val="FFFFFF"/>
                <w:sz w:val="19"/>
                <w:szCs w:val="19"/>
              </w:rPr>
              <w:t xml:space="preserve">Variable</w:t>
            </w:r>
          </w:p>
        </w:tc>
        <w:tc>
          <w:tcPr>
            <w:tcW w:type="dxa" w:w="6100"/>
            <w:shd w:fill="13233F"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PORT</w:t>
            </w:r>
          </w:p>
        </w:tc>
        <w:tc>
          <w:tcPr>
            <w:tcW w:type="dxa" w:w="61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Port the server listens on (default 4000)</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JWT_SECRET</w:t>
            </w:r>
          </w:p>
        </w:tc>
        <w:tc>
          <w:tcPr>
            <w:tcW w:type="dxa" w:w="61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Secret used to sign login session tokens — change in production</w:t>
            </w:r>
          </w:p>
        </w:tc>
      </w:tr>
      <w:tr>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COUCHDB_URL</w:t>
            </w:r>
          </w:p>
        </w:tc>
        <w:tc>
          <w:tcPr>
            <w:tcW w:type="dxa" w:w="61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If set, points the app at a real CouchDB server instead of the embedded store</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NOTIFY_MODE</w:t>
            </w:r>
          </w:p>
        </w:tc>
        <w:tc>
          <w:tcPr>
            <w:tcW w:type="dxa" w:w="61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"mock" (default, logs sends without a real provider) or "live" (uses configured vendor credentials)</w:t>
            </w:r>
          </w:p>
        </w:tc>
      </w:tr>
      <w:tr>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SUPERADMIN_EMAIL / SUPERADMIN_PASSWORD</w:t>
            </w:r>
          </w:p>
        </w:tc>
        <w:tc>
          <w:tcPr>
            <w:tcW w:type="dxa" w:w="61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Overrides the first-run seeded Superadmin credentials</w:t>
            </w:r>
          </w:p>
        </w:tc>
      </w:tr>
    </w:tbl>
    <w:p>
      <w:r>
        <w:br w:type="page"/>
      </w:r>
    </w:p>
    <w:p>
      <w:pPr>
        <w:pStyle w:val="Heading1"/>
        <w:pBdr>
          <w:bottom w:val="single" w:color="0F6E6A" w:sz="6" w:space="4"/>
        </w:pBdr>
        <w:spacing w:after="200" w:before="400"/>
      </w:pPr>
      <w:r>
        <w:rPr>
          <w:b/>
          <w:bCs/>
          <w:color w:val="13233F"/>
          <w:sz w:val="30"/>
          <w:szCs w:val="30"/>
        </w:rPr>
        <w:t xml:space="preserve">4. Superadmin Manual</w:t>
      </w:r>
    </w:p>
    <w:p>
      <w:pPr>
        <w:pStyle w:val="Heading2"/>
        <w:spacing w:after="140" w:before="280"/>
      </w:pPr>
      <w:r>
        <w:rPr>
          <w:b/>
          <w:bCs/>
          <w:color w:val="0F6E6A"/>
          <w:sz w:val="24"/>
          <w:szCs w:val="24"/>
        </w:rPr>
        <w:t xml:space="preserve">4.1 Logging In</w:t>
      </w:r>
    </w:p>
    <w:p>
      <w:pPr>
        <w:spacing w:after="160" w:line="276"/>
        <w:jc w:val="both"/>
      </w:pPr>
      <w:r>
        <w:rPr>
          <w:color w:val="222222"/>
          <w:sz w:val="21"/>
          <w:szCs w:val="21"/>
        </w:rPr>
        <w:t xml:space="preserve">Go to the Superadmin console and sign in with your email and password. If two-factor authentication has been enabled on your account, you will be asked for a 6-digit code from your authenticator app after your password is accepted.</w:t>
      </w:r>
    </w:p>
    <w:p>
      <w:pPr>
        <w:pStyle w:val="Heading2"/>
        <w:spacing w:after="140" w:before="280"/>
      </w:pPr>
      <w:r>
        <w:rPr>
          <w:b/>
          <w:bCs/>
          <w:color w:val="0F6E6A"/>
          <w:sz w:val="24"/>
          <w:szCs w:val="24"/>
        </w:rPr>
        <w:t xml:space="preserve">4.2 Dashboard Overview</w:t>
      </w:r>
    </w:p>
    <w:p>
      <w:pPr>
        <w:spacing w:after="160" w:line="276"/>
        <w:jc w:val="both"/>
      </w:pPr>
      <w:r>
        <w:rPr>
          <w:color w:val="222222"/>
          <w:sz w:val="21"/>
          <w:szCs w:val="21"/>
        </w:rPr>
        <w:t xml:space="preserve">The Overview screen shows platform-wide counters (organizations, active organizations, HR/Management users, candidates added) and a feed of the most recent platform activity across every tenant.</w:t>
      </w:r>
    </w:p>
    <w:p>
      <w:pPr>
        <w:pStyle w:val="Heading2"/>
        <w:spacing w:after="140" w:before="280"/>
      </w:pPr>
      <w:r>
        <w:rPr>
          <w:b/>
          <w:bCs/>
          <w:color w:val="0F6E6A"/>
          <w:sz w:val="24"/>
          <w:szCs w:val="24"/>
        </w:rPr>
        <w:t xml:space="preserve">4.3 Creating &amp; Managing Organizations</w:t>
      </w:r>
    </w:p>
    <w:p>
      <w:pPr>
        <w:pStyle w:val="ListParagraph"/>
        <w:numPr>
          <w:ilvl w:val="0"/>
          <w:numId w:val="3"/>
        </w:numPr>
        <w:spacing w:after="80" w:line="264"/>
      </w:pPr>
      <w:r>
        <w:rPr>
          <w:color w:val="222222"/>
          <w:sz w:val="21"/>
          <w:szCs w:val="21"/>
        </w:rPr>
        <w:t xml:space="preserve">Go to Organizations and click + New organization.</w:t>
      </w:r>
    </w:p>
    <w:p>
      <w:pPr>
        <w:pStyle w:val="ListParagraph"/>
        <w:numPr>
          <w:ilvl w:val="0"/>
          <w:numId w:val="3"/>
        </w:numPr>
        <w:spacing w:after="80" w:line="264"/>
      </w:pPr>
      <w:r>
        <w:rPr>
          <w:color w:val="222222"/>
          <w:sz w:val="21"/>
          <w:szCs w:val="21"/>
        </w:rPr>
        <w:t xml:space="preserve">Enter the organization's name and a short login code (e.g. acme) — this code is what HR/Management will type at login.</w:t>
      </w:r>
    </w:p>
    <w:p>
      <w:pPr>
        <w:pStyle w:val="ListParagraph"/>
        <w:numPr>
          <w:ilvl w:val="0"/>
          <w:numId w:val="3"/>
        </w:numPr>
        <w:spacing w:after="80" w:line="264"/>
      </w:pPr>
      <w:r>
        <w:rPr>
          <w:color w:val="222222"/>
          <w:sz w:val="21"/>
          <w:szCs w:val="21"/>
        </w:rPr>
        <w:t xml:space="preserve">Choose which features to enable for this organization (see 4.4) and click Create organization.</w:t>
      </w:r>
    </w:p>
    <w:p>
      <w:pPr>
        <w:pStyle w:val="ListParagraph"/>
        <w:numPr>
          <w:ilvl w:val="0"/>
          <w:numId w:val="3"/>
        </w:numPr>
        <w:spacing w:after="80" w:line="264"/>
      </w:pPr>
      <w:r>
        <w:rPr>
          <w:color w:val="222222"/>
          <w:sz w:val="21"/>
          <w:szCs w:val="21"/>
        </w:rPr>
        <w:t xml:space="preserve">From the organization's card, use Manage features &amp; users to change feature toggles later or add HR/Management users.</w:t>
      </w:r>
    </w:p>
    <w:p>
      <w:pPr>
        <w:pStyle w:val="ListParagraph"/>
        <w:numPr>
          <w:ilvl w:val="0"/>
          <w:numId w:val="3"/>
        </w:numPr>
        <w:spacing w:after="80" w:line="264"/>
      </w:pPr>
      <w:r>
        <w:rPr>
          <w:color w:val="222222"/>
          <w:sz w:val="21"/>
          <w:szCs w:val="21"/>
        </w:rPr>
        <w:t xml:space="preserve">Use Suspend / Reactivate on an organization's card to temporarily block or restore all of that organization's logins.</w:t>
      </w:r>
    </w:p>
    <w:p>
      <w:pPr>
        <w:pStyle w:val="Heading2"/>
        <w:spacing w:after="140" w:before="280"/>
      </w:pPr>
      <w:r>
        <w:rPr>
          <w:b/>
          <w:bCs/>
          <w:color w:val="0F6E6A"/>
          <w:sz w:val="24"/>
          <w:szCs w:val="24"/>
        </w:rPr>
        <w:t xml:space="preserve">4.4 Feature Toggles</w:t>
      </w:r>
    </w:p>
    <w:p>
      <w:pPr>
        <w:spacing w:after="160" w:line="276"/>
        <w:jc w:val="both"/>
      </w:pPr>
      <w:r>
        <w:rPr>
          <w:color w:val="222222"/>
          <w:sz w:val="21"/>
          <w:szCs w:val="21"/>
        </w:rPr>
        <w:t xml:space="preserve">Each organization has its own independent set of switches. Turning a feature off immediately blocks the corresponding actions and API endpoints for every user in that organization.</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3300"/>
        <w:gridCol w:w="6000"/>
      </w:tblGrid>
      <w:tr>
        <w:trPr>
          <w:tblHeader/>
        </w:trPr>
        <w:tc>
          <w:tcPr>
            <w:tcW w:type="dxa" w:w="3300"/>
            <w:shd w:fill="13233F" w:val="clear"/>
            <w:tcMar>
              <w:top w:type="dxa" w:w="100"/>
              <w:left w:type="dxa" w:w="120"/>
              <w:bottom w:type="dxa" w:w="100"/>
              <w:right w:type="dxa" w:w="120"/>
            </w:tcMar>
            <w:vAlign w:val="center"/>
          </w:tcPr>
          <w:p>
            <w:pPr>
              <w:jc w:val="left"/>
            </w:pPr>
            <w:r>
              <w:rPr>
                <w:b/>
                <w:bCs/>
                <w:color w:val="FFFFFF"/>
                <w:sz w:val="19"/>
                <w:szCs w:val="19"/>
              </w:rPr>
              <w:t xml:space="preserve">Feature</w:t>
            </w:r>
          </w:p>
        </w:tc>
        <w:tc>
          <w:tcPr>
            <w:tcW w:type="dxa" w:w="6000"/>
            <w:shd w:fill="13233F" w:val="clear"/>
            <w:tcMar>
              <w:top w:type="dxa" w:w="100"/>
              <w:left w:type="dxa" w:w="120"/>
              <w:bottom w:type="dxa" w:w="100"/>
              <w:right w:type="dxa" w:w="120"/>
            </w:tcMar>
            <w:vAlign w:val="center"/>
          </w:tcPr>
          <w:p>
            <w:pPr>
              <w:jc w:val="left"/>
            </w:pPr>
            <w:r>
              <w:rPr>
                <w:b/>
                <w:bCs/>
                <w:color w:val="FFFFFF"/>
                <w:sz w:val="19"/>
                <w:szCs w:val="19"/>
              </w:rPr>
              <w:t xml:space="preserve">What it controls</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Candidate Management</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Adding candidates/employees and viewing the candidate list</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AI Voice Interview</w:t>
            </w:r>
          </w:p>
        </w:tc>
        <w:tc>
          <w:tcPr>
            <w:tcW w:type="dxa" w:w="6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Whether the AI is allowed to conduct an interview when no human is available</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Telephony / Outbound Calling</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The “Trigger AI Call” send option</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Pre-Test / Smart Form</w:t>
            </w:r>
          </w:p>
        </w:tc>
        <w:tc>
          <w:tcPr>
            <w:tcW w:type="dxa" w:w="6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Whether candidates complete the four-section assessment before their interview</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Email Notifications</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The “Send by Email” option and decision-result emails</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WhatsApp Notifications</w:t>
            </w:r>
          </w:p>
        </w:tc>
        <w:tc>
          <w:tcPr>
            <w:tcW w:type="dxa" w:w="6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The “Send by WhatsApp” option</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KPI &amp; Performance Analytics</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KPI import, promotion-readiness scoring, and the Promotion Recommendation Engine</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Reports &amp; Activity Dashboard</w:t>
            </w:r>
          </w:p>
        </w:tc>
        <w:tc>
          <w:tcPr>
            <w:tcW w:type="dxa" w:w="6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The Reports &amp; Activity tab, scorecards, and compliance export</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Webhook / API Integration</w:t>
            </w:r>
          </w:p>
        </w:tc>
        <w:tc>
          <w:tcPr>
            <w:tcW w:type="dxa" w:w="6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Reserved for outbound webhook delivery to external systems</w:t>
            </w:r>
          </w:p>
        </w:tc>
      </w:tr>
    </w:tbl>
    <w:p>
      <w:pPr>
        <w:pStyle w:val="Heading2"/>
        <w:spacing w:after="140" w:before="280"/>
      </w:pPr>
      <w:r>
        <w:rPr>
          <w:b/>
          <w:bCs/>
          <w:color w:val="0F6E6A"/>
          <w:sz w:val="24"/>
          <w:szCs w:val="24"/>
        </w:rPr>
        <w:t xml:space="preserve">4.5 Creating Organization Users</w:t>
      </w:r>
    </w:p>
    <w:p>
      <w:pPr>
        <w:spacing w:after="160" w:line="276"/>
        <w:jc w:val="both"/>
      </w:pPr>
      <w:r>
        <w:rPr>
          <w:color w:val="222222"/>
          <w:sz w:val="21"/>
          <w:szCs w:val="21"/>
        </w:rPr>
        <w:t xml:space="preserve">From an organization's Manage features &amp; users screen, fill in the new user's name, email, role (HR or Management), and a temporary password, then click Create user. Share the login details, the organization code, with that person directly — the platform does not email credentials automatically.</w:t>
      </w:r>
    </w:p>
    <w:p>
      <w:pPr>
        <w:spacing w:after="160" w:line="276"/>
        <w:jc w:val="both"/>
      </w:pPr>
      <w:r>
        <w:rPr>
          <w:color w:val="222222"/>
          <w:sz w:val="21"/>
          <w:szCs w:val="21"/>
        </w:rPr>
        <w:t xml:space="preserve">Use Disable / Enable next to any user to immediately block or restore their ability to log in, without deleting their history.</w:t>
      </w:r>
    </w:p>
    <w:p>
      <w:pPr>
        <w:pStyle w:val="Heading2"/>
        <w:spacing w:after="140" w:before="280"/>
      </w:pPr>
      <w:r>
        <w:rPr>
          <w:b/>
          <w:bCs/>
          <w:color w:val="0F6E6A"/>
          <w:sz w:val="24"/>
          <w:szCs w:val="24"/>
        </w:rPr>
        <w:t xml:space="preserve">4.6 Integrations &amp; Vendor Configuration</w:t>
      </w:r>
    </w:p>
    <w:p>
      <w:pPr>
        <w:spacing w:after="160" w:line="276"/>
        <w:jc w:val="both"/>
      </w:pPr>
      <w:r>
        <w:rPr>
          <w:color w:val="222222"/>
          <w:sz w:val="21"/>
          <w:szCs w:val="21"/>
        </w:rPr>
        <w:t xml:space="preserve">The Integrations screen is where you choose which underlying vendor powers each pluggable part of the platform. Every category works out of the box with a free, no-credential default; real third-party vendors can be swapped in by selecting them and entering credentials.</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3200"/>
        <w:gridCol w:w="3500"/>
      </w:tblGrid>
      <w:tr>
        <w:trPr>
          <w:tblHeader/>
        </w:trPr>
        <w:tc>
          <w:tcPr>
            <w:tcW w:type="dxa" w:w="2600"/>
            <w:shd w:fill="13233F" w:val="clear"/>
            <w:tcMar>
              <w:top w:type="dxa" w:w="100"/>
              <w:left w:type="dxa" w:w="120"/>
              <w:bottom w:type="dxa" w:w="100"/>
              <w:right w:type="dxa" w:w="120"/>
            </w:tcMar>
            <w:vAlign w:val="center"/>
          </w:tcPr>
          <w:p>
            <w:pPr>
              <w:jc w:val="left"/>
            </w:pPr>
            <w:r>
              <w:rPr>
                <w:b/>
                <w:bCs/>
                <w:color w:val="FFFFFF"/>
                <w:sz w:val="19"/>
                <w:szCs w:val="19"/>
              </w:rPr>
              <w:t xml:space="preserve">Category</w:t>
            </w:r>
          </w:p>
        </w:tc>
        <w:tc>
          <w:tcPr>
            <w:tcW w:type="dxa" w:w="3200"/>
            <w:shd w:fill="13233F" w:val="clear"/>
            <w:tcMar>
              <w:top w:type="dxa" w:w="100"/>
              <w:left w:type="dxa" w:w="120"/>
              <w:bottom w:type="dxa" w:w="100"/>
              <w:right w:type="dxa" w:w="120"/>
            </w:tcMar>
            <w:vAlign w:val="center"/>
          </w:tcPr>
          <w:p>
            <w:pPr>
              <w:jc w:val="left"/>
            </w:pPr>
            <w:r>
              <w:rPr>
                <w:b/>
                <w:bCs/>
                <w:color w:val="FFFFFF"/>
                <w:sz w:val="19"/>
                <w:szCs w:val="19"/>
              </w:rPr>
              <w:t xml:space="preserve">Works today, no keys needed</w:t>
            </w:r>
          </w:p>
        </w:tc>
        <w:tc>
          <w:tcPr>
            <w:tcW w:type="dxa" w:w="3500"/>
            <w:shd w:fill="13233F" w:val="clear"/>
            <w:tcMar>
              <w:top w:type="dxa" w:w="100"/>
              <w:left w:type="dxa" w:w="120"/>
              <w:bottom w:type="dxa" w:w="100"/>
              <w:right w:type="dxa" w:w="120"/>
            </w:tcMar>
            <w:vAlign w:val="center"/>
          </w:tcPr>
          <w:p>
            <w:pPr>
              <w:jc w:val="left"/>
            </w:pPr>
            <w:r>
              <w:rPr>
                <w:b/>
                <w:bCs/>
                <w:color w:val="FFFFFF"/>
                <w:sz w:val="19"/>
                <w:szCs w:val="19"/>
              </w:rPr>
              <w:t xml:space="preserve">Real vendors you can configure</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LLM</w:t>
            </w:r>
          </w:p>
        </w:tc>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Anthropic, OpenAI, custom endpoint</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Speech-to-Text (ASR)</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Browser Web Speech API</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Deepgram, Google STT, self-hosted Whisper, custom</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Text-to-Speech (voice)</w:t>
            </w:r>
          </w:p>
        </w:tc>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Browser Web Speech API</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ElevenLabs, Azure TTS, Google TTS, custom</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Bot / conversation engine</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Built-in rules-based question flow</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Rasa, Dialogflow, custom</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Telephony</w:t>
            </w:r>
          </w:p>
        </w:tc>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Asterisk (AMI), FreeSWITCH (ESL), Twilio</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Meeting / video</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Built-in WebRTC room</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Google Meet, Microsoft Teams, custom</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Mail server</w:t>
            </w:r>
          </w:p>
        </w:tc>
        <w:tc>
          <w:tcPr>
            <w:tcW w:type="dxa" w:w="3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SMTP (via nodemailer)</w:t>
            </w:r>
          </w:p>
        </w:tc>
      </w:tr>
    </w:tbl>
    <w:p>
      <w:pPr>
        <w:spacing w:after="160" w:line="276"/>
        <w:jc w:val="both"/>
      </w:pPr>
      <w:r>
        <w:rPr>
          <w:color w:val="222222"/>
          <w:sz w:val="21"/>
          <w:szCs w:val="21"/>
        </w:rPr>
        <w:t xml:space="preserve">For each category: choose a vendor from the dropdown, fill in the fields that appear (API keys, hosts, etc.), toggle Enabled, and click Save. Secret fields are masked immediately after saving and are never sent back to the browser in plain text.</w:t>
      </w:r>
    </w:p>
    <w:p>
      <w:pPr>
        <w:pStyle w:val="Heading2"/>
        <w:spacing w:after="140" w:before="280"/>
      </w:pPr>
      <w:r>
        <w:rPr>
          <w:b/>
          <w:bCs/>
          <w:color w:val="0F6E6A"/>
          <w:sz w:val="24"/>
          <w:szCs w:val="24"/>
        </w:rPr>
        <w:t xml:space="preserve">4.7 Industry Catalog Management</w:t>
      </w:r>
    </w:p>
    <w:p>
      <w:pPr>
        <w:spacing w:after="160" w:line="276"/>
        <w:jc w:val="both"/>
      </w:pPr>
      <w:r>
        <w:rPr>
          <w:color w:val="222222"/>
          <w:sz w:val="21"/>
          <w:szCs w:val="21"/>
        </w:rPr>
        <w:t xml:space="preserve">The Industries screen lists every industry available across the whole platform — 21 are built in, covering IT/ITES, BFSI, Manufacturing, Retail, Healthcare, Pharma, Logistics, BPO, Education, Real Estate, Telecom, Media, Travel/Hospitality, Energy, Automotive, Agriculture, Government, Legal, Consulting, Non-Profit, and a general Other category. To add another, enter a short key, a display label, and a focus question, then click Add industry. It becomes selectable for every organization immediately, and its focus question is automatically woven into the Technical &amp; Behavioral section of that candidate's assessment.</w:t>
      </w:r>
    </w:p>
    <w:p>
      <w:pPr>
        <w:pStyle w:val="Heading2"/>
        <w:spacing w:after="140" w:before="280"/>
      </w:pPr>
      <w:r>
        <w:rPr>
          <w:b/>
          <w:bCs/>
          <w:color w:val="0F6E6A"/>
          <w:sz w:val="24"/>
          <w:szCs w:val="24"/>
        </w:rPr>
        <w:t xml:space="preserve">4.8 Platform Activity &amp; Audit Log</w:t>
      </w:r>
    </w:p>
    <w:p>
      <w:pPr>
        <w:spacing w:after="160" w:line="276"/>
        <w:jc w:val="both"/>
      </w:pPr>
      <w:r>
        <w:rPr>
          <w:color w:val="222222"/>
          <w:sz w:val="21"/>
          <w:szCs w:val="21"/>
        </w:rPr>
        <w:t xml:space="preserve">The Platform Activity screen lists every login, decision, feature change, and industry/integration update across every organization, newest first — useful for cross-tenant oversight and compliance review.</w:t>
      </w:r>
    </w:p>
    <w:p>
      <w:r>
        <w:br w:type="page"/>
      </w:r>
    </w:p>
    <w:p>
      <w:pPr>
        <w:pStyle w:val="Heading1"/>
        <w:pBdr>
          <w:bottom w:val="single" w:color="0F6E6A" w:sz="6" w:space="4"/>
        </w:pBdr>
        <w:spacing w:after="200" w:before="400"/>
      </w:pPr>
      <w:r>
        <w:rPr>
          <w:b/>
          <w:bCs/>
          <w:color w:val="13233F"/>
          <w:sz w:val="30"/>
          <w:szCs w:val="30"/>
        </w:rPr>
        <w:t xml:space="preserve">5. HR &amp; Management Manual</w:t>
      </w:r>
    </w:p>
    <w:p>
      <w:pPr>
        <w:pStyle w:val="Heading2"/>
        <w:spacing w:after="140" w:before="280"/>
      </w:pPr>
      <w:r>
        <w:rPr>
          <w:b/>
          <w:bCs/>
          <w:color w:val="0F6E6A"/>
          <w:sz w:val="24"/>
          <w:szCs w:val="24"/>
        </w:rPr>
        <w:t xml:space="preserve">5.1 Logging In</w:t>
      </w:r>
    </w:p>
    <w:p>
      <w:pPr>
        <w:spacing w:after="160" w:line="276"/>
        <w:jc w:val="both"/>
      </w:pPr>
      <w:r>
        <w:rPr>
          <w:color w:val="222222"/>
          <w:sz w:val="21"/>
          <w:szCs w:val="21"/>
        </w:rPr>
        <w:t xml:space="preserve">Go to the Organization Login tab, enter your organization code (given to you by your Superadmin), your email, and your password. If you have two-factor authentication enabled, you will be prompted for a 6-digit authenticator code as a second step.</w:t>
      </w:r>
    </w:p>
    <w:p>
      <w:pPr>
        <w:pStyle w:val="Heading2"/>
        <w:spacing w:after="140" w:before="280"/>
      </w:pPr>
      <w:r>
        <w:rPr>
          <w:b/>
          <w:bCs/>
          <w:color w:val="0F6E6A"/>
          <w:sz w:val="24"/>
          <w:szCs w:val="24"/>
        </w:rPr>
        <w:t xml:space="preserve">5.2 Dashboard Overview</w:t>
      </w:r>
    </w:p>
    <w:p>
      <w:pPr>
        <w:spacing w:after="160" w:line="276"/>
        <w:jc w:val="both"/>
      </w:pPr>
      <w:r>
        <w:rPr>
          <w:color w:val="222222"/>
          <w:sz w:val="21"/>
          <w:szCs w:val="21"/>
        </w:rPr>
        <w:t xml:space="preserve">Your workspace has five sections in the sidebar: Reports &amp; Activity, Candidates, Interviews, My Features, and Security. Only the features your Superadmin has enabled for your organization are usable — disabled features show a clear message rather than failing silently.</w:t>
      </w:r>
    </w:p>
    <w:p>
      <w:pPr>
        <w:pStyle w:val="Heading2"/>
        <w:spacing w:after="140" w:before="280"/>
      </w:pPr>
      <w:r>
        <w:rPr>
          <w:b/>
          <w:bCs/>
          <w:color w:val="0F6E6A"/>
          <w:sz w:val="24"/>
          <w:szCs w:val="24"/>
        </w:rPr>
        <w:t xml:space="preserve">5.3 Adding a Candidate or Employee</w:t>
      </w:r>
    </w:p>
    <w:p>
      <w:pPr>
        <w:pStyle w:val="ListParagraph"/>
        <w:numPr>
          <w:ilvl w:val="0"/>
          <w:numId w:val="3"/>
        </w:numPr>
        <w:spacing w:after="80" w:line="264"/>
      </w:pPr>
      <w:r>
        <w:rPr>
          <w:color w:val="222222"/>
          <w:sz w:val="21"/>
          <w:szCs w:val="21"/>
        </w:rPr>
        <w:t xml:space="preserve">Go to Candidates and click + Add candidate.</w:t>
      </w:r>
    </w:p>
    <w:p>
      <w:pPr>
        <w:pStyle w:val="ListParagraph"/>
        <w:numPr>
          <w:ilvl w:val="0"/>
          <w:numId w:val="3"/>
        </w:numPr>
        <w:spacing w:after="80" w:line="264"/>
      </w:pPr>
      <w:r>
        <w:rPr>
          <w:color w:val="222222"/>
          <w:sz w:val="21"/>
          <w:szCs w:val="21"/>
        </w:rPr>
        <w:t xml:space="preserve">Choose the Case type: New candidate screening or Existing employee promotion review — both run through the same pipeline, but promotion cases are the ones the KPI/promotion engine is built around.</w:t>
      </w:r>
    </w:p>
    <w:p>
      <w:pPr>
        <w:pStyle w:val="ListParagraph"/>
        <w:numPr>
          <w:ilvl w:val="0"/>
          <w:numId w:val="3"/>
        </w:numPr>
        <w:spacing w:after="80" w:line="264"/>
      </w:pPr>
      <w:r>
        <w:rPr>
          <w:color w:val="222222"/>
          <w:sz w:val="21"/>
          <w:szCs w:val="21"/>
        </w:rPr>
        <w:t xml:space="preserve">Enter their name and at least one of email or phone.</w:t>
      </w:r>
    </w:p>
    <w:p>
      <w:pPr>
        <w:pStyle w:val="ListParagraph"/>
        <w:numPr>
          <w:ilvl w:val="0"/>
          <w:numId w:val="3"/>
        </w:numPr>
        <w:spacing w:after="80" w:line="264"/>
      </w:pPr>
      <w:r>
        <w:rPr>
          <w:color w:val="222222"/>
          <w:sz w:val="21"/>
          <w:szCs w:val="21"/>
        </w:rPr>
        <w:t xml:space="preserve">Choose Industry and Level — this determines exactly which questions they will be asked (see Section 8).</w:t>
      </w:r>
    </w:p>
    <w:p>
      <w:pPr>
        <w:pStyle w:val="ListParagraph"/>
        <w:numPr>
          <w:ilvl w:val="0"/>
          <w:numId w:val="3"/>
        </w:numPr>
        <w:spacing w:after="80" w:line="264"/>
      </w:pPr>
      <w:r>
        <w:rPr>
          <w:color w:val="222222"/>
          <w:sz w:val="21"/>
          <w:szCs w:val="21"/>
        </w:rPr>
        <w:t xml:space="preserve">Optionally enter Required skills, comma-separated (e.g. Python, AWS, Leadership) — used later for resume skill-matching.</w:t>
      </w:r>
    </w:p>
    <w:p>
      <w:pPr>
        <w:pStyle w:val="ListParagraph"/>
        <w:numPr>
          <w:ilvl w:val="0"/>
          <w:numId w:val="3"/>
        </w:numPr>
        <w:spacing w:after="80" w:line="264"/>
      </w:pPr>
      <w:r>
        <w:rPr>
          <w:color w:val="222222"/>
          <w:sz w:val="21"/>
          <w:szCs w:val="21"/>
        </w:rPr>
        <w:t xml:space="preserve">Click Add candidate.</w:t>
      </w:r>
    </w:p>
    <w:p>
      <w:pPr>
        <w:pStyle w:val="Heading2"/>
        <w:spacing w:after="140" w:before="280"/>
      </w:pPr>
      <w:r>
        <w:rPr>
          <w:b/>
          <w:bCs/>
          <w:color w:val="0F6E6A"/>
          <w:sz w:val="24"/>
          <w:szCs w:val="24"/>
        </w:rPr>
        <w:t xml:space="preserve">5.4 Uploading &amp; Scanning a Resume</w:t>
      </w:r>
    </w:p>
    <w:p>
      <w:pPr>
        <w:spacing w:after="160" w:line="276"/>
        <w:jc w:val="both"/>
      </w:pPr>
      <w:r>
        <w:rPr>
          <w:color w:val="222222"/>
          <w:sz w:val="21"/>
          <w:szCs w:val="21"/>
        </w:rPr>
        <w:t xml:space="preserve">Open a candidate's detail panel and use the Resume section to upload a PDF, DOCX, or plain-text file. The platform extracts the text, stores the original file, and — if Required skills were entered — immediately computes a skill-match percentage showing which required skills were found and which are missing. This feeds directly into the Promotion Recommendation Engine's skill-gap analysis.</w:t>
      </w:r>
    </w:p>
    <w:p>
      <w:pPr>
        <w:pStyle w:val="Heading2"/>
        <w:spacing w:after="140" w:before="280"/>
      </w:pPr>
      <w:r>
        <w:rPr>
          <w:b/>
          <w:bCs/>
          <w:color w:val="0F6E6A"/>
          <w:sz w:val="24"/>
          <w:szCs w:val="24"/>
        </w:rPr>
        <w:t xml:space="preserve">5.5 Sending an Invite</w:t>
      </w:r>
    </w:p>
    <w:p>
      <w:pPr>
        <w:spacing w:after="160" w:line="276"/>
        <w:jc w:val="both"/>
      </w:pPr>
      <w:r>
        <w:rPr>
          <w:color w:val="222222"/>
          <w:sz w:val="21"/>
          <w:szCs w:val="21"/>
        </w:rPr>
        <w:t xml:space="preserve">From a candidate's detail panel, choose Send by Email, Send by WhatsApp, or Trigger AI Call. Each option is only available if the corresponding feature is enabled for your organization and the candidate has the right contact detail on file. The candidate receives a private link to /invite.html — they never need a password.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About mock delivery</w:t>
            </w:r>
          </w:p>
          <w:p>
            <w:pPr>
              <w:spacing w:after="0"/>
            </w:pPr>
            <w:r>
              <w:rPr>
                <w:color w:val="222222"/>
                <w:sz w:val="20"/>
                <w:szCs w:val="20"/>
              </w:rPr>
              <w:t xml:space="preserve">Unless a live mail server or telephony vendor has been configured on the Superadmin Integrations page, sends are logged and printed to the server console rather than actually delivered — this lets the whole flow be tested without real credentials.</w:t>
            </w:r>
          </w:p>
        </w:tc>
      </w:tr>
    </w:tbl>
    <w:p>
      <w:pPr>
        <w:pStyle w:val="Heading2"/>
        <w:spacing w:after="140" w:before="280"/>
      </w:pPr>
      <w:r>
        <w:rPr>
          <w:b/>
          <w:bCs/>
          <w:color w:val="0F6E6A"/>
          <w:sz w:val="24"/>
          <w:szCs w:val="24"/>
        </w:rPr>
        <w:t xml:space="preserve">5.6 Setting Your Availability</w:t>
      </w:r>
    </w:p>
    <w:p>
      <w:pPr>
        <w:spacing w:after="160" w:line="276"/>
        <w:jc w:val="both"/>
      </w:pPr>
      <w:r>
        <w:rPr>
          <w:color w:val="222222"/>
          <w:sz w:val="21"/>
          <w:szCs w:val="21"/>
        </w:rPr>
        <w:t xml:space="preserve">The Available/Busy switch at the bottom of your sidebar directly controls how new interviews are scheduled: while you are marked Available, new interviews for your organization are assigned to a human (you, or another available HR/Management user); when nobody is available, the AI interviewer takes over automatically if that feature is enabled — or the case is queued if it is not.</w:t>
      </w:r>
    </w:p>
    <w:p>
      <w:pPr>
        <w:pStyle w:val="Heading2"/>
        <w:spacing w:after="140" w:before="280"/>
      </w:pPr>
      <w:r>
        <w:rPr>
          <w:b/>
          <w:bCs/>
          <w:color w:val="0F6E6A"/>
          <w:sz w:val="24"/>
          <w:szCs w:val="24"/>
        </w:rPr>
        <w:t xml:space="preserve">5.7 Interviews — Joining &amp; Taking Over from AI</w:t>
      </w:r>
    </w:p>
    <w:p>
      <w:pPr>
        <w:spacing w:after="160" w:line="276"/>
        <w:jc w:val="both"/>
      </w:pPr>
      <w:r>
        <w:rPr>
          <w:color w:val="222222"/>
          <w:sz w:val="21"/>
          <w:szCs w:val="21"/>
        </w:rPr>
        <w:t xml:space="preserve">The Interviews tab lists every scheduled session for your organization: candidate name, whether it is Human-conducted or AI-conducted, its status, and who (if anyone) is assigned. Click Join room to open the live WebRTC interview room in a new tab.</w:t>
      </w:r>
    </w:p>
    <w:p>
      <w:pPr>
        <w:pStyle w:val="ListParagraph"/>
        <w:numPr>
          <w:ilvl w:val="0"/>
          <w:numId w:val="2"/>
        </w:numPr>
        <w:spacing w:after="80" w:line="264"/>
      </w:pPr>
      <w:r>
        <w:rPr>
          <w:color w:val="222222"/>
          <w:sz w:val="21"/>
          <w:szCs w:val="21"/>
        </w:rPr>
        <w:t xml:space="preserve">Inside the room you see your own camera/mic preview and the other participant's video.</w:t>
      </w:r>
    </w:p>
    <w:p>
      <w:pPr>
        <w:pStyle w:val="ListParagraph"/>
        <w:numPr>
          <w:ilvl w:val="0"/>
          <w:numId w:val="2"/>
        </w:numPr>
        <w:spacing w:after="80" w:line="264"/>
      </w:pPr>
      <w:r>
        <w:rPr>
          <w:color w:val="222222"/>
          <w:sz w:val="21"/>
          <w:szCs w:val="21"/>
        </w:rPr>
        <w:t xml:space="preserve">If the session is AI-conducted, click Take over from AI at any time — the AI stops asking questions immediately and you continue the conversation live. Click Hand back to AI to return control.</w:t>
      </w:r>
    </w:p>
    <w:p>
      <w:pPr>
        <w:pStyle w:val="ListParagraph"/>
        <w:numPr>
          <w:ilvl w:val="0"/>
          <w:numId w:val="2"/>
        </w:numPr>
        <w:spacing w:after="80" w:line="264"/>
      </w:pPr>
      <w:r>
        <w:rPr>
          <w:color w:val="222222"/>
          <w:sz w:val="21"/>
          <w:szCs w:val="21"/>
        </w:rPr>
        <w:t xml:space="preserve">The Live transcript panel on the right updates in real time, whichever side — AI or human — is speaking.</w:t>
      </w:r>
    </w:p>
    <w:p>
      <w:pPr>
        <w:pStyle w:val="ListParagraph"/>
        <w:numPr>
          <w:ilvl w:val="0"/>
          <w:numId w:val="2"/>
        </w:numPr>
        <w:spacing w:after="80" w:line="264"/>
      </w:pPr>
      <w:r>
        <w:rPr>
          <w:color w:val="222222"/>
          <w:sz w:val="21"/>
          <w:szCs w:val="21"/>
        </w:rPr>
        <w:t xml:space="preserve">Click End &amp; decide to open the decision form without leaving the room.</w:t>
      </w:r>
    </w:p>
    <w:p>
      <w:pPr>
        <w:pStyle w:val="Heading2"/>
        <w:spacing w:after="140" w:before="280"/>
      </w:pPr>
      <w:r>
        <w:rPr>
          <w:b/>
          <w:bCs/>
          <w:color w:val="0F6E6A"/>
          <w:sz w:val="24"/>
          <w:szCs w:val="24"/>
        </w:rPr>
        <w:t xml:space="preserve">5.8 KPI Import &amp; Promotion-Readiness Score</w:t>
      </w:r>
    </w:p>
    <w:p>
      <w:pPr>
        <w:spacing w:after="160" w:line="276"/>
        <w:jc w:val="both"/>
      </w:pPr>
      <w:r>
        <w:rPr>
          <w:color w:val="222222"/>
          <w:sz w:val="21"/>
          <w:szCs w:val="21"/>
        </w:rPr>
        <w:t xml:space="preserve">Available when KPI &amp; Performance Analytics is enabled. From a candidate/employee's detail panel:</w:t>
      </w:r>
    </w:p>
    <w:p>
      <w:pPr>
        <w:pStyle w:val="ListParagraph"/>
        <w:numPr>
          <w:ilvl w:val="0"/>
          <w:numId w:val="3"/>
        </w:numPr>
        <w:spacing w:after="80" w:line="264"/>
      </w:pPr>
      <w:r>
        <w:rPr>
          <w:color w:val="222222"/>
          <w:sz w:val="21"/>
          <w:szCs w:val="21"/>
        </w:rPr>
        <w:t xml:space="preserve">Under Import KPI period, enter a period label (e.g. “Q1 2026”).</w:t>
      </w:r>
    </w:p>
    <w:p>
      <w:pPr>
        <w:pStyle w:val="ListParagraph"/>
        <w:numPr>
          <w:ilvl w:val="0"/>
          <w:numId w:val="3"/>
        </w:numPr>
        <w:spacing w:after="80" w:line="264"/>
      </w:pPr>
      <w:r>
        <w:rPr>
          <w:color w:val="222222"/>
          <w:sz w:val="21"/>
          <w:szCs w:val="21"/>
        </w:rPr>
        <w:t xml:space="preserve">Add one or more metrics with a name, actual value, target, and direction — Higher is better (sales, CSAT) or Lower is better (attrition, cost, defects). Click + Add metric for more than one.</w:t>
      </w:r>
    </w:p>
    <w:p>
      <w:pPr>
        <w:pStyle w:val="ListParagraph"/>
        <w:numPr>
          <w:ilvl w:val="0"/>
          <w:numId w:val="3"/>
        </w:numPr>
        <w:spacing w:after="80" w:line="264"/>
      </w:pPr>
      <w:r>
        <w:rPr>
          <w:color w:val="222222"/>
          <w:sz w:val="21"/>
          <w:szCs w:val="21"/>
        </w:rPr>
        <w:t xml:space="preserve">Click Import KPI record. Repeat each review cycle to build a trend.</w:t>
      </w:r>
    </w:p>
    <w:p>
      <w:pPr>
        <w:pStyle w:val="ListParagraph"/>
        <w:numPr>
          <w:ilvl w:val="0"/>
          <w:numId w:val="3"/>
        </w:numPr>
        <w:spacing w:after="80" w:line="264"/>
      </w:pPr>
      <w:r>
        <w:rPr>
          <w:color w:val="222222"/>
          <w:sz w:val="21"/>
          <w:szCs w:val="21"/>
        </w:rPr>
        <w:t xml:space="preserve">Optionally fill in Interview score and Pre-test score (0–100) under Save scores if you want to factor a manual review score in alongside KPI data.</w:t>
      </w:r>
    </w:p>
    <w:p>
      <w:pPr>
        <w:spacing w:after="160" w:line="276"/>
        <w:jc w:val="both"/>
      </w:pPr>
      <w:r>
        <w:rPr>
          <w:color w:val="222222"/>
          <w:sz w:val="21"/>
          <w:szCs w:val="21"/>
        </w:rPr>
        <w:t xml:space="preserve">The Promotion-readiness score panel shows a single 0–100 score blending whichever of KPI history, interview score, and pre-test score are available, using your organization's configured weights (default 40% KPI / 40% interview / 20% pre-test). If a component is missing, its weight is redistributed across what is available rather than counted as zero.</w:t>
      </w:r>
    </w:p>
    <w:p>
      <w:pPr>
        <w:pStyle w:val="Heading2"/>
        <w:spacing w:after="140" w:before="280"/>
      </w:pPr>
      <w:r>
        <w:rPr>
          <w:b/>
          <w:bCs/>
          <w:color w:val="0F6E6A"/>
          <w:sz w:val="24"/>
          <w:szCs w:val="24"/>
        </w:rPr>
        <w:t xml:space="preserve">5.9 The Promotion Recommendation Engine</w:t>
      </w:r>
    </w:p>
    <w:p>
      <w:pPr>
        <w:spacing w:after="160" w:line="276"/>
        <w:jc w:val="both"/>
      </w:pPr>
      <w:r>
        <w:rPr>
          <w:color w:val="222222"/>
          <w:sz w:val="21"/>
          <w:szCs w:val="21"/>
        </w:rPr>
        <w:t xml:space="preserve">Directly below the readiness score, the Promotion recommendation panel shows:</w:t>
      </w:r>
    </w:p>
    <w:p>
      <w:pPr>
        <w:pStyle w:val="ListParagraph"/>
        <w:numPr>
          <w:ilvl w:val="0"/>
          <w:numId w:val="2"/>
        </w:numPr>
        <w:spacing w:after="80" w:line="264"/>
      </w:pPr>
      <w:r>
        <w:rPr>
          <w:color w:val="222222"/>
          <w:sz w:val="21"/>
          <w:szCs w:val="21"/>
        </w:rPr>
        <w:t xml:space="preserve">Eligibility — whether the score clears the 75-point bar, and the score itself.</w:t>
      </w:r>
    </w:p>
    <w:p>
      <w:pPr>
        <w:pStyle w:val="ListParagraph"/>
        <w:numPr>
          <w:ilvl w:val="0"/>
          <w:numId w:val="2"/>
        </w:numPr>
        <w:spacing w:after="80" w:line="264"/>
      </w:pPr>
      <w:r>
        <w:rPr>
          <w:color w:val="222222"/>
          <w:sz w:val="21"/>
          <w:szCs w:val="21"/>
        </w:rPr>
        <w:t xml:space="preserve">Confidence level (High / Medium / Low) — how much underlying data supports the recommendation.</w:t>
      </w:r>
    </w:p>
    <w:p>
      <w:pPr>
        <w:pStyle w:val="ListParagraph"/>
        <w:numPr>
          <w:ilvl w:val="0"/>
          <w:numId w:val="2"/>
        </w:numPr>
        <w:spacing w:after="80" w:line="264"/>
      </w:pPr>
      <w:r>
        <w:rPr>
          <w:color w:val="222222"/>
          <w:sz w:val="21"/>
          <w:szCs w:val="21"/>
        </w:rPr>
        <w:t xml:space="preserve">Recommended next role — the next rung on the level ladder (Fresher → Associate → Senior Executive → Manager → Senior Manager → GM → VP), or a note that they are not yet ready for it.</w:t>
      </w:r>
    </w:p>
    <w:p>
      <w:pPr>
        <w:pStyle w:val="ListParagraph"/>
        <w:numPr>
          <w:ilvl w:val="0"/>
          <w:numId w:val="2"/>
        </w:numPr>
        <w:spacing w:after="80" w:line="264"/>
      </w:pPr>
      <w:r>
        <w:rPr>
          <w:color w:val="222222"/>
          <w:sz w:val="21"/>
          <w:szCs w:val="21"/>
        </w:rPr>
        <w:t xml:space="preserve">Suggested salary band — an illustrative hike percentage range tied to the score band.</w:t>
      </w:r>
    </w:p>
    <w:p>
      <w:pPr>
        <w:pStyle w:val="ListParagraph"/>
        <w:numPr>
          <w:ilvl w:val="0"/>
          <w:numId w:val="2"/>
        </w:numPr>
        <w:spacing w:after="80" w:line="264"/>
      </w:pPr>
      <w:r>
        <w:rPr>
          <w:color w:val="222222"/>
          <w:sz w:val="21"/>
          <w:szCs w:val="21"/>
        </w:rPr>
        <w:t xml:space="preserve">Risk flags — e.g. a declining KPI trend, missing data, or a low resume/skill match.</w:t>
      </w:r>
    </w:p>
    <w:p>
      <w:pPr>
        <w:pStyle w:val="ListParagraph"/>
        <w:numPr>
          <w:ilvl w:val="0"/>
          <w:numId w:val="2"/>
        </w:numPr>
        <w:spacing w:after="80" w:line="264"/>
      </w:pPr>
      <w:r>
        <w:rPr>
          <w:color w:val="222222"/>
          <w:sz w:val="21"/>
          <w:szCs w:val="21"/>
        </w:rPr>
        <w:t xml:space="preserve">Skill gaps — required skills not found on the uploaded resume.</w:t>
      </w:r>
    </w:p>
    <w:p>
      <w:pPr>
        <w:pStyle w:val="ListParagraph"/>
        <w:numPr>
          <w:ilvl w:val="0"/>
          <w:numId w:val="2"/>
        </w:numPr>
        <w:spacing w:after="80" w:line="264"/>
      </w:pPr>
      <w:r>
        <w:rPr>
          <w:color w:val="222222"/>
          <w:sz w:val="21"/>
          <w:szCs w:val="21"/>
        </w:rPr>
        <w:t xml:space="preserve">Training recommendations — generated from the skill gaps and risk flags.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This is a recommendation, not a decision</w:t>
            </w:r>
          </w:p>
          <w:p>
            <w:pPr>
              <w:spacing w:after="0"/>
            </w:pPr>
            <w:r>
              <w:rPr>
                <w:color w:val="222222"/>
                <w:sz w:val="20"/>
                <w:szCs w:val="20"/>
              </w:rPr>
              <w:t xml:space="preserve">Every figure here is meant to inform your judgement, not replace it — the disclaimer shown on-screen and repeated in the API response says so explicitly.</w:t>
            </w:r>
          </w:p>
        </w:tc>
      </w:tr>
    </w:tbl>
    <w:p>
      <w:pPr>
        <w:pStyle w:val="Heading2"/>
        <w:spacing w:after="140" w:before="280"/>
      </w:pPr>
      <w:r>
        <w:rPr>
          <w:b/>
          <w:bCs/>
          <w:color w:val="0F6E6A"/>
          <w:sz w:val="24"/>
          <w:szCs w:val="24"/>
        </w:rPr>
        <w:t xml:space="preserve">5.10 Finalizing a Decision</w:t>
      </w:r>
    </w:p>
    <w:p>
      <w:pPr>
        <w:spacing w:after="160" w:line="276"/>
        <w:jc w:val="both"/>
      </w:pPr>
      <w:r>
        <w:rPr>
          <w:color w:val="222222"/>
          <w:sz w:val="21"/>
          <w:szCs w:val="21"/>
        </w:rPr>
        <w:t xml:space="preserve">From the interview room or the candidate's detail panel, choose Select/Promote, Hold, or Reject, add notes, and optionally check Email the result to the candidate (only sent if Email Notifications is enabled and the candidate has an email on file). The decision, who made it, and when, are permanently recorded on the case and in the activity log.</w:t>
      </w:r>
    </w:p>
    <w:p>
      <w:pPr>
        <w:pStyle w:val="Heading2"/>
        <w:spacing w:after="140" w:before="280"/>
      </w:pPr>
      <w:r>
        <w:rPr>
          <w:b/>
          <w:bCs/>
          <w:color w:val="0F6E6A"/>
          <w:sz w:val="24"/>
          <w:szCs w:val="24"/>
        </w:rPr>
        <w:t xml:space="preserve">5.11 Reports, Comparison &amp; Compliance Export</w:t>
      </w:r>
    </w:p>
    <w:p>
      <w:pPr>
        <w:spacing w:after="160" w:line="276"/>
        <w:jc w:val="both"/>
      </w:pPr>
      <w:r>
        <w:rPr>
          <w:color w:val="222222"/>
          <w:sz w:val="21"/>
          <w:szCs w:val="21"/>
        </w:rPr>
        <w:t xml:space="preserve">The Reports &amp; Activity tab shows your organization's pipeline stats (candidates, links sent, forms completed, completion rate) and a live activity feed. The underlying API also provides a scorecards endpoint for side-by-side candidate comparison and department (industry) analytics with average readiness scores, an attrition-risk flag for promotion cases with a declining KPI trend, and a compliance-export endpoint that produces a full audit-trail export in JSON or CSV.</w:t>
      </w:r>
    </w:p>
    <w:p>
      <w:pPr>
        <w:pStyle w:val="Heading2"/>
        <w:spacing w:after="140" w:before="280"/>
      </w:pPr>
      <w:r>
        <w:rPr>
          <w:b/>
          <w:bCs/>
          <w:color w:val="0F6E6A"/>
          <w:sz w:val="24"/>
          <w:szCs w:val="24"/>
        </w:rPr>
        <w:t xml:space="preserve">5.12 Security — Setting Up Two-Factor Authentication</w:t>
      </w:r>
    </w:p>
    <w:p>
      <w:pPr>
        <w:pStyle w:val="ListParagraph"/>
        <w:numPr>
          <w:ilvl w:val="0"/>
          <w:numId w:val="3"/>
        </w:numPr>
        <w:spacing w:after="80" w:line="264"/>
      </w:pPr>
      <w:r>
        <w:rPr>
          <w:color w:val="222222"/>
          <w:sz w:val="21"/>
          <w:szCs w:val="21"/>
        </w:rPr>
        <w:t xml:space="preserve">Go to Security in your sidebar and click Set up two-factor authentication.</w:t>
      </w:r>
    </w:p>
    <w:p>
      <w:pPr>
        <w:pStyle w:val="ListParagraph"/>
        <w:numPr>
          <w:ilvl w:val="0"/>
          <w:numId w:val="3"/>
        </w:numPr>
        <w:spacing w:after="80" w:line="264"/>
      </w:pPr>
      <w:r>
        <w:rPr>
          <w:color w:val="222222"/>
          <w:sz w:val="21"/>
          <w:szCs w:val="21"/>
        </w:rPr>
        <w:t xml:space="preserve">Scan the QR code with any authenticator app (Google Authenticator, Authy, 1Password, etc.), or enter the text secret shown beneath it manually.</w:t>
      </w:r>
    </w:p>
    <w:p>
      <w:pPr>
        <w:pStyle w:val="ListParagraph"/>
        <w:numPr>
          <w:ilvl w:val="0"/>
          <w:numId w:val="3"/>
        </w:numPr>
        <w:spacing w:after="80" w:line="264"/>
      </w:pPr>
      <w:r>
        <w:rPr>
          <w:color w:val="222222"/>
          <w:sz w:val="21"/>
          <w:szCs w:val="21"/>
        </w:rPr>
        <w:t xml:space="preserve">Enter the 6-digit code the app displays and click Confirm &amp; enable.</w:t>
      </w:r>
    </w:p>
    <w:p>
      <w:pPr>
        <w:pStyle w:val="ListParagraph"/>
        <w:numPr>
          <w:ilvl w:val="0"/>
          <w:numId w:val="3"/>
        </w:numPr>
        <w:spacing w:after="80" w:line="264"/>
      </w:pPr>
      <w:r>
        <w:rPr>
          <w:color w:val="222222"/>
          <w:sz w:val="21"/>
          <w:szCs w:val="21"/>
        </w:rPr>
        <w:t xml:space="preserve">From then on, logging in asks for your password first, then a fresh 6-digit code.</w:t>
      </w:r>
    </w:p>
    <w:p>
      <w:pPr>
        <w:pStyle w:val="ListParagraph"/>
        <w:numPr>
          <w:ilvl w:val="0"/>
          <w:numId w:val="3"/>
        </w:numPr>
        <w:spacing w:after="80" w:line="264"/>
      </w:pPr>
      <w:r>
        <w:rPr>
          <w:color w:val="222222"/>
          <w:sz w:val="21"/>
          <w:szCs w:val="21"/>
        </w:rPr>
        <w:t xml:space="preserve">To turn it off, enter a current code next to Disable two-factor authentication on the same screen.</w:t>
      </w:r>
    </w:p>
    <w:p>
      <w:r>
        <w:br w:type="page"/>
      </w:r>
    </w:p>
    <w:p>
      <w:pPr>
        <w:pStyle w:val="Heading1"/>
        <w:pBdr>
          <w:bottom w:val="single" w:color="0F6E6A" w:sz="6" w:space="4"/>
        </w:pBdr>
        <w:spacing w:after="200" w:before="400"/>
      </w:pPr>
      <w:r>
        <w:rPr>
          <w:b/>
          <w:bCs/>
          <w:color w:val="13233F"/>
          <w:sz w:val="30"/>
          <w:szCs w:val="30"/>
        </w:rPr>
        <w:t xml:space="preserve">6. Candidate / Employee Journey</w:t>
      </w:r>
    </w:p>
    <w:p>
      <w:pPr>
        <w:pStyle w:val="Heading2"/>
        <w:spacing w:after="140" w:before="280"/>
      </w:pPr>
      <w:r>
        <w:rPr>
          <w:b/>
          <w:bCs/>
          <w:color w:val="0F6E6A"/>
          <w:sz w:val="24"/>
          <w:szCs w:val="24"/>
        </w:rPr>
        <w:t xml:space="preserve">6.1 Receiving Your Invite</w:t>
      </w:r>
    </w:p>
    <w:p>
      <w:pPr>
        <w:spacing w:after="160" w:line="276"/>
        <w:jc w:val="both"/>
      </w:pPr>
      <w:r>
        <w:rPr>
          <w:color w:val="222222"/>
          <w:sz w:val="21"/>
          <w:szCs w:val="21"/>
        </w:rPr>
        <w:t xml:space="preserve">You'll receive a message by email, WhatsApp, or a phone call, with a private link to the platform. No account or password is needed — the link itself is your access.</w:t>
      </w:r>
    </w:p>
    <w:p>
      <w:pPr>
        <w:pStyle w:val="Heading2"/>
        <w:spacing w:after="140" w:before="280"/>
      </w:pPr>
      <w:r>
        <w:rPr>
          <w:b/>
          <w:bCs/>
          <w:color w:val="0F6E6A"/>
          <w:sz w:val="24"/>
          <w:szCs w:val="24"/>
        </w:rPr>
        <w:t xml:space="preserve">6.2 Accepting the Invite</w:t>
      </w:r>
    </w:p>
    <w:p>
      <w:pPr>
        <w:spacing w:after="160" w:line="276"/>
        <w:jc w:val="both"/>
      </w:pPr>
      <w:r>
        <w:rPr>
          <w:color w:val="222222"/>
          <w:sz w:val="21"/>
          <w:szCs w:val="21"/>
        </w:rPr>
        <w:t xml:space="preserve">Opening the link shows a short welcome screen with your name and the role/case it concerns. Click Accept invite &amp; continue to proceed. Depending on your organization's settings, you'll either go straight to your interview or first complete a short pre-assessment.</w:t>
      </w:r>
    </w:p>
    <w:p>
      <w:pPr>
        <w:pStyle w:val="Heading2"/>
        <w:spacing w:after="140" w:before="280"/>
      </w:pPr>
      <w:r>
        <w:rPr>
          <w:b/>
          <w:bCs/>
          <w:color w:val="0F6E6A"/>
          <w:sz w:val="24"/>
          <w:szCs w:val="24"/>
        </w:rPr>
        <w:t xml:space="preserve">6.3 Completing the Pre-Assessment</w:t>
      </w:r>
    </w:p>
    <w:p>
      <w:pPr>
        <w:spacing w:after="160" w:line="276"/>
        <w:jc w:val="both"/>
      </w:pPr>
      <w:r>
        <w:rPr>
          <w:color w:val="222222"/>
          <w:sz w:val="21"/>
          <w:szCs w:val="21"/>
        </w:rPr>
        <w:t xml:space="preserve">If shown, the assessment has four short sections:</w:t>
      </w:r>
    </w:p>
    <w:p>
      <w:pPr>
        <w:pStyle w:val="ListParagraph"/>
        <w:numPr>
          <w:ilvl w:val="0"/>
          <w:numId w:val="2"/>
        </w:numPr>
        <w:spacing w:after="80" w:line="264"/>
      </w:pPr>
      <w:r>
        <w:rPr>
          <w:color w:val="222222"/>
          <w:sz w:val="21"/>
          <w:szCs w:val="21"/>
        </w:rPr>
        <w:t xml:space="preserve">Aptitude — three quick logical/numerical reasoning multiple-choice questions.</w:t>
      </w:r>
    </w:p>
    <w:p>
      <w:pPr>
        <w:pStyle w:val="ListParagraph"/>
        <w:numPr>
          <w:ilvl w:val="0"/>
          <w:numId w:val="2"/>
        </w:numPr>
        <w:spacing w:after="80" w:line="264"/>
      </w:pPr>
      <w:r>
        <w:rPr>
          <w:color w:val="222222"/>
          <w:sz w:val="21"/>
          <w:szCs w:val="21"/>
        </w:rPr>
        <w:t xml:space="preserve">Technical &amp; Behavioral — questions matched to your specific level and industry (see Section 8).</w:t>
      </w:r>
    </w:p>
    <w:p>
      <w:pPr>
        <w:pStyle w:val="ListParagraph"/>
        <w:numPr>
          <w:ilvl w:val="0"/>
          <w:numId w:val="2"/>
        </w:numPr>
        <w:spacing w:after="80" w:line="264"/>
      </w:pPr>
      <w:r>
        <w:rPr>
          <w:color w:val="222222"/>
          <w:sz w:val="21"/>
          <w:szCs w:val="21"/>
        </w:rPr>
        <w:t xml:space="preserve">Personality / Work-style — five simple agree/disagree statements; there are no right or wrong answers here.</w:t>
      </w:r>
    </w:p>
    <w:p>
      <w:pPr>
        <w:pStyle w:val="ListParagraph"/>
        <w:numPr>
          <w:ilvl w:val="0"/>
          <w:numId w:val="2"/>
        </w:numPr>
        <w:spacing w:after="80" w:line="264"/>
      </w:pPr>
      <w:r>
        <w:rPr>
          <w:color w:val="222222"/>
          <w:sz w:val="21"/>
          <w:szCs w:val="21"/>
        </w:rPr>
        <w:t xml:space="preserve">Communication — one open question asking you to describe a real situation in your own words.</w:t>
      </w:r>
    </w:p>
    <w:p>
      <w:pPr>
        <w:spacing w:after="160" w:line="276"/>
        <w:jc w:val="both"/>
      </w:pPr>
      <w:r>
        <w:rPr>
          <w:color w:val="222222"/>
          <w:sz w:val="21"/>
          <w:szCs w:val="21"/>
        </w:rPr>
        <w:t xml:space="preserve">Submit once, and you'll be moved directly into your interview scheduling — the form cannot be resubmitted.</w:t>
      </w:r>
    </w:p>
    <w:p>
      <w:pPr>
        <w:pStyle w:val="Heading2"/>
        <w:spacing w:after="140" w:before="280"/>
      </w:pPr>
      <w:r>
        <w:rPr>
          <w:b/>
          <w:bCs/>
          <w:color w:val="0F6E6A"/>
          <w:sz w:val="24"/>
          <w:szCs w:val="24"/>
        </w:rPr>
        <w:t xml:space="preserve">6.4 The Interview Room</w:t>
      </w:r>
    </w:p>
    <w:p>
      <w:pPr>
        <w:spacing w:after="160" w:line="276"/>
        <w:jc w:val="both"/>
      </w:pPr>
      <w:r>
        <w:rPr>
          <w:color w:val="222222"/>
          <w:sz w:val="21"/>
          <w:szCs w:val="21"/>
        </w:rPr>
        <w:t xml:space="preserve">You'll land in a live video/audio room. Grant microphone (and, if you're comfortable, camera) access when your browser asks.</w:t>
      </w:r>
    </w:p>
    <w:p>
      <w:pPr>
        <w:pStyle w:val="ListParagraph"/>
        <w:numPr>
          <w:ilvl w:val="0"/>
          <w:numId w:val="2"/>
        </w:numPr>
        <w:spacing w:after="80" w:line="264"/>
      </w:pPr>
      <w:r>
        <w:rPr>
          <w:color w:val="222222"/>
          <w:sz w:val="21"/>
          <w:szCs w:val="21"/>
        </w:rPr>
        <w:t xml:space="preserve">If a human interviewer is conducting your session, you'll simply have a live conversation, same as any video call.</w:t>
      </w:r>
    </w:p>
    <w:p>
      <w:pPr>
        <w:pStyle w:val="ListParagraph"/>
        <w:numPr>
          <w:ilvl w:val="0"/>
          <w:numId w:val="2"/>
        </w:numPr>
        <w:spacing w:after="80" w:line="264"/>
      </w:pPr>
      <w:r>
        <w:rPr>
          <w:color w:val="222222"/>
          <w:sz w:val="21"/>
          <w:szCs w:val="21"/>
        </w:rPr>
        <w:t xml:space="preserve">If the AI interviewer is conducting your session, it will ask you each question aloud and listen for your spoken answer — you can also type your answer in the box provided at any time.</w:t>
      </w:r>
    </w:p>
    <w:p>
      <w:pPr>
        <w:pStyle w:val="ListParagraph"/>
        <w:numPr>
          <w:ilvl w:val="0"/>
          <w:numId w:val="2"/>
        </w:numPr>
        <w:spacing w:after="80" w:line="264"/>
      </w:pPr>
      <w:r>
        <w:rPr>
          <w:color w:val="222222"/>
          <w:sz w:val="21"/>
          <w:szCs w:val="21"/>
        </w:rPr>
        <w:t xml:space="preserve">A human interviewer may join and take over the conversation at any point — you'll see a short message when that happens, and can then simply keep talking naturally.</w:t>
      </w:r>
    </w:p>
    <w:p>
      <w:pPr>
        <w:pStyle w:val="Heading2"/>
        <w:spacing w:after="140" w:before="280"/>
      </w:pPr>
      <w:r>
        <w:rPr>
          <w:b/>
          <w:bCs/>
          <w:color w:val="0F6E6A"/>
          <w:sz w:val="24"/>
          <w:szCs w:val="24"/>
        </w:rPr>
        <w:t xml:space="preserve">6.5 After Your Interview</w:t>
      </w:r>
    </w:p>
    <w:p>
      <w:pPr>
        <w:spacing w:after="160" w:line="276"/>
        <w:jc w:val="both"/>
      </w:pPr>
      <w:r>
        <w:rPr>
          <w:color w:val="222222"/>
          <w:sz w:val="21"/>
          <w:szCs w:val="21"/>
        </w:rPr>
        <w:t xml:space="preserve">Once your questions are complete, you'll see a confirmation message and can close the window. HR will review your interview and pre-assessment; if your organization has chosen to notify candidates by email, you will receive the outcome once a decision is finalized.</w:t>
      </w:r>
    </w:p>
    <w:p>
      <w:r>
        <w:br w:type="page"/>
      </w:r>
    </w:p>
    <w:p>
      <w:pPr>
        <w:pStyle w:val="Heading1"/>
        <w:pBdr>
          <w:bottom w:val="single" w:color="0F6E6A" w:sz="6" w:space="4"/>
        </w:pBdr>
        <w:spacing w:after="200" w:before="400"/>
      </w:pPr>
      <w:r>
        <w:rPr>
          <w:b/>
          <w:bCs/>
          <w:color w:val="13233F"/>
          <w:sz w:val="30"/>
          <w:szCs w:val="30"/>
        </w:rPr>
        <w:t xml:space="preserve">7. The Adaptive Question Engine, Explained</w:t>
      </w:r>
    </w:p>
    <w:p>
      <w:pPr>
        <w:spacing w:after="160" w:line="276"/>
        <w:jc w:val="both"/>
      </w:pPr>
      <w:r>
        <w:rPr>
          <w:color w:val="222222"/>
          <w:sz w:val="21"/>
          <w:szCs w:val="21"/>
        </w:rPr>
        <w:t xml:space="preserve">Every candidate's assessment and interview questions are assembled from two independent inputs: their Level and their Industry.</w:t>
      </w:r>
    </w:p>
    <w:p>
      <w:pPr>
        <w:pStyle w:val="Heading2"/>
        <w:spacing w:after="140" w:before="280"/>
      </w:pPr>
      <w:r>
        <w:rPr>
          <w:b/>
          <w:bCs/>
          <w:color w:val="0F6E6A"/>
          <w:sz w:val="24"/>
          <w:szCs w:val="24"/>
        </w:rPr>
        <w:t xml:space="preserve">7.1 Level Question Bank</w:t>
      </w:r>
    </w:p>
    <w:p>
      <w:pPr>
        <w:spacing w:after="160" w:line="276"/>
        <w:jc w:val="both"/>
      </w:pPr>
      <w:r>
        <w:rPr>
          <w:color w:val="222222"/>
          <w:sz w:val="21"/>
          <w:szCs w:val="21"/>
        </w:rPr>
        <w:t xml:space="preserve">Seven levels each have their own fixed set of three Technical &amp; Behavioral questions, pitched at that seniority's complexity.</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6300"/>
      </w:tblGrid>
      <w:tr>
        <w:trPr>
          <w:tblHeader/>
        </w:trPr>
        <w:tc>
          <w:tcPr>
            <w:tcW w:type="dxa" w:w="3000"/>
            <w:shd w:fill="13233F" w:val="clear"/>
            <w:tcMar>
              <w:top w:type="dxa" w:w="100"/>
              <w:left w:type="dxa" w:w="120"/>
              <w:bottom w:type="dxa" w:w="100"/>
              <w:right w:type="dxa" w:w="120"/>
            </w:tcMar>
            <w:vAlign w:val="center"/>
          </w:tcPr>
          <w:p>
            <w:pPr>
              <w:jc w:val="left"/>
            </w:pPr>
            <w:r>
              <w:rPr>
                <w:b/>
                <w:bCs/>
                <w:color w:val="FFFFFF"/>
                <w:sz w:val="19"/>
                <w:szCs w:val="19"/>
              </w:rPr>
              <w:t xml:space="preserve">Level</w:t>
            </w:r>
          </w:p>
        </w:tc>
        <w:tc>
          <w:tcPr>
            <w:tcW w:type="dxa" w:w="6300"/>
            <w:shd w:fill="13233F" w:val="clear"/>
            <w:tcMar>
              <w:top w:type="dxa" w:w="100"/>
              <w:left w:type="dxa" w:w="120"/>
              <w:bottom w:type="dxa" w:w="100"/>
              <w:right w:type="dxa" w:w="120"/>
            </w:tcMar>
            <w:vAlign w:val="center"/>
          </w:tcPr>
          <w:p>
            <w:pPr>
              <w:jc w:val="left"/>
            </w:pPr>
            <w:r>
              <w:rPr>
                <w:b/>
                <w:bCs/>
                <w:color w:val="FFFFFF"/>
                <w:sz w:val="19"/>
                <w:szCs w:val="19"/>
              </w:rPr>
              <w:t xml:space="preserve">Focus</w:t>
            </w:r>
          </w:p>
        </w:tc>
      </w:tr>
      <w:tr>
        <w:tc>
          <w:tcPr>
            <w:tcW w:type="dxa" w:w="3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Fresher / Entry-level</w:t>
            </w:r>
          </w:p>
        </w:tc>
        <w:tc>
          <w:tcPr>
            <w:tcW w:type="dxa" w:w="6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Fundamentals, learning agility, clear communication</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Associate / Executive</w:t>
            </w:r>
          </w:p>
        </w:tc>
        <w:tc>
          <w:tcPr>
            <w:tcW w:type="dxa" w:w="63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Ownership of tasks, prioritization, learning from mistakes</w:t>
            </w:r>
          </w:p>
        </w:tc>
      </w:tr>
      <w:tr>
        <w:tc>
          <w:tcPr>
            <w:tcW w:type="dxa" w:w="3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Senior Executive / Team Lead</w:t>
            </w:r>
          </w:p>
        </w:tc>
        <w:tc>
          <w:tcPr>
            <w:tcW w:type="dxa" w:w="6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Cross-team coordination, handling disagreement, metrics ownership</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Manager</w:t>
            </w:r>
          </w:p>
        </w:tc>
        <w:tc>
          <w:tcPr>
            <w:tcW w:type="dxa" w:w="63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Goal-setting, underperformance handling, stakeholder management</w:t>
            </w:r>
          </w:p>
        </w:tc>
      </w:tr>
      <w:tr>
        <w:tc>
          <w:tcPr>
            <w:tcW w:type="dxa" w:w="3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Senior Manager</w:t>
            </w:r>
          </w:p>
        </w:tc>
        <w:tc>
          <w:tcPr>
            <w:tcW w:type="dxa" w:w="6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Cross-functional leadership, balancing short vs long term</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General Manager (GM)</w:t>
            </w:r>
          </w:p>
        </w:tc>
        <w:tc>
          <w:tcPr>
            <w:tcW w:type="dxa" w:w="63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Strategic decisions, priority conflicts, governance &amp; risk</w:t>
            </w:r>
          </w:p>
        </w:tc>
      </w:tr>
      <w:tr>
        <w:tc>
          <w:tcPr>
            <w:tcW w:type="dxa" w:w="3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Vice President (VP) / CXO</w:t>
            </w:r>
          </w:p>
        </w:tc>
        <w:tc>
          <w:tcPr>
            <w:tcW w:type="dxa" w:w="63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Vision-setting, enterprise risk, leading through change</w:t>
            </w:r>
          </w:p>
        </w:tc>
      </w:tr>
    </w:tbl>
    <w:p>
      <w:pPr>
        <w:pStyle w:val="Heading2"/>
        <w:spacing w:after="140" w:before="280"/>
      </w:pPr>
      <w:r>
        <w:rPr>
          <w:b/>
          <w:bCs/>
          <w:color w:val="0F6E6A"/>
          <w:sz w:val="24"/>
          <w:szCs w:val="24"/>
        </w:rPr>
        <w:t xml:space="preserve">7.2 Industry Question Layer</w:t>
      </w:r>
    </w:p>
    <w:p>
      <w:pPr>
        <w:spacing w:after="160" w:line="276"/>
        <w:jc w:val="both"/>
      </w:pPr>
      <w:r>
        <w:rPr>
          <w:color w:val="222222"/>
          <w:sz w:val="21"/>
          <w:szCs w:val="21"/>
        </w:rPr>
        <w:t xml:space="preserve">Each of the platform's industries (21 built-in, extensible by Superadmin — see Section 4.7) contributes one additional, tailored question. A candidate tagged “Manufacturing + Manager” is asked the standard Manager questions plus a Manufacturing-specific question about safety and quality standards; a “BFSI + VP” candidate gets the VP questions plus a regulatory/compliance-focused question.</w:t>
      </w:r>
    </w:p>
    <w:p>
      <w:pPr>
        <w:pStyle w:val="Heading2"/>
        <w:spacing w:after="140" w:before="280"/>
      </w:pPr>
      <w:r>
        <w:rPr>
          <w:b/>
          <w:bCs/>
          <w:color w:val="0F6E6A"/>
          <w:sz w:val="24"/>
          <w:szCs w:val="24"/>
        </w:rPr>
        <w:t xml:space="preserve">7.3 The Aptitude, Personality &amp; Communication Sections</w:t>
      </w:r>
    </w:p>
    <w:p>
      <w:pPr>
        <w:spacing w:after="160" w:line="276"/>
        <w:jc w:val="both"/>
      </w:pPr>
      <w:r>
        <w:rPr>
          <w:color w:val="222222"/>
          <w:sz w:val="21"/>
          <w:szCs w:val="21"/>
        </w:rPr>
        <w:t xml:space="preserve">These three sections are the same for every candidate, regardless of level or industry:</w:t>
      </w:r>
    </w:p>
    <w:p>
      <w:pPr>
        <w:pStyle w:val="ListParagraph"/>
        <w:numPr>
          <w:ilvl w:val="0"/>
          <w:numId w:val="2"/>
        </w:numPr>
        <w:spacing w:after="80" w:line="264"/>
      </w:pPr>
      <w:r>
        <w:rPr>
          <w:color w:val="222222"/>
          <w:sz w:val="21"/>
          <w:szCs w:val="21"/>
        </w:rPr>
        <w:t xml:space="preserve">Aptitude: three fixed, auto-graded logical/numerical questions; score is the percentage answered correctly.</w:t>
      </w:r>
    </w:p>
    <w:p>
      <w:pPr>
        <w:pStyle w:val="ListParagraph"/>
        <w:numPr>
          <w:ilvl w:val="0"/>
          <w:numId w:val="2"/>
        </w:numPr>
        <w:spacing w:after="80" w:line="264"/>
      </w:pPr>
      <w:r>
        <w:rPr>
          <w:color w:val="222222"/>
          <w:sz w:val="21"/>
          <w:szCs w:val="21"/>
        </w:rPr>
        <w:t xml:space="preserve">Personality: five fixed Likert-scale statements covering teamwork, adaptability, conscientiousness, resilience, and initiative; converted to a 0–100 trait profile per trait, shown for context only and never scored right/wrong.</w:t>
      </w:r>
    </w:p>
    <w:p>
      <w:pPr>
        <w:pStyle w:val="ListParagraph"/>
        <w:numPr>
          <w:ilvl w:val="0"/>
          <w:numId w:val="2"/>
        </w:numPr>
        <w:spacing w:after="80" w:line="264"/>
      </w:pPr>
      <w:r>
        <w:rPr>
          <w:color w:val="222222"/>
          <w:sz w:val="21"/>
          <w:szCs w:val="21"/>
        </w:rPr>
        <w:t xml:space="preserve">Communication: one fixed open-ended prompt; scored heuristically based on response length/depth as a stand-in for a full NLP-based communication assessment.</w:t>
      </w:r>
    </w:p>
    <w:p>
      <w:pPr>
        <w:spacing w:after="160" w:line="276"/>
        <w:jc w:val="both"/>
      </w:pPr>
      <w:r>
        <w:rPr>
          <w:color w:val="222222"/>
          <w:sz w:val="21"/>
          <w:szCs w:val="21"/>
        </w:rPr>
        <w:t xml:space="preserve">The overall pre-test score blends Aptitude (60% weight) and Communication (40% weight); Personality is informational only and is not part of the numeric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An honest limitation</w:t>
            </w:r>
          </w:p>
          <w:p>
            <w:pPr>
              <w:spacing w:after="0"/>
            </w:pPr>
            <w:r>
              <w:rPr>
                <w:color w:val="222222"/>
                <w:sz w:val="20"/>
                <w:szCs w:val="20"/>
              </w:rPr>
              <w:t xml:space="preserve">The Aptitude, Personality, and Communication questions are currently the same fixed set for every industry and level — only the Technical &amp; Behavioral section is genuinely adapted per industry/level combination. Making the other three sections vary by industry as well, or generating them dynamically via an LLM, is listed as a future enhancement in Section 13.</w:t>
            </w:r>
          </w:p>
        </w:tc>
      </w:tr>
    </w:tbl>
    <w:p>
      <w:r>
        <w:br w:type="page"/>
      </w:r>
    </w:p>
    <w:p>
      <w:pPr>
        <w:pStyle w:val="Heading1"/>
        <w:pBdr>
          <w:bottom w:val="single" w:color="0F6E6A" w:sz="6" w:space="4"/>
        </w:pBdr>
        <w:spacing w:after="200" w:before="400"/>
      </w:pPr>
      <w:r>
        <w:rPr>
          <w:b/>
          <w:bCs/>
          <w:color w:val="13233F"/>
          <w:sz w:val="30"/>
          <w:szCs w:val="30"/>
        </w:rPr>
        <w:t xml:space="preserve">8. KPI &amp; Promotion Engine, Explained</w:t>
      </w:r>
    </w:p>
    <w:p>
      <w:pPr>
        <w:pStyle w:val="Heading2"/>
        <w:spacing w:after="140" w:before="280"/>
      </w:pPr>
      <w:r>
        <w:rPr>
          <w:b/>
          <w:bCs/>
          <w:color w:val="0F6E6A"/>
          <w:sz w:val="24"/>
          <w:szCs w:val="24"/>
        </w:rPr>
        <w:t xml:space="preserve">8.1 Scoring a Single KPI Metric</w:t>
      </w:r>
    </w:p>
    <w:p>
      <w:pPr>
        <w:spacing w:after="160" w:line="276"/>
        <w:jc w:val="both"/>
      </w:pPr>
      <w:r>
        <w:rPr>
          <w:color w:val="222222"/>
          <w:sz w:val="21"/>
          <w:szCs w:val="21"/>
        </w:rPr>
        <w:t xml:space="preserve">Each metric you import has a value, a target, and a direction. For a “higher is better” metric (e.g. Sales Achievement), the normalized score is (value ÷ target) × 100. For a “lower is better” metric (e.g. Attrition %), it is (target ÷ value) × 100. Either way the result is capped between 0 and 150, so exceeding target meaningfully still counts, without one runaway metric dominating the average.</w:t>
      </w:r>
    </w:p>
    <w:p>
      <w:pPr>
        <w:pStyle w:val="Heading2"/>
        <w:spacing w:after="140" w:before="280"/>
      </w:pPr>
      <w:r>
        <w:rPr>
          <w:b/>
          <w:bCs/>
          <w:color w:val="0F6E6A"/>
          <w:sz w:val="24"/>
          <w:szCs w:val="24"/>
        </w:rPr>
        <w:t xml:space="preserve">8.2 Scoring a Review Period &amp; the Overall Trend</w:t>
      </w:r>
    </w:p>
    <w:p>
      <w:pPr>
        <w:spacing w:after="160" w:line="276"/>
        <w:jc w:val="both"/>
      </w:pPr>
      <w:r>
        <w:rPr>
          <w:color w:val="222222"/>
          <w:sz w:val="21"/>
          <w:szCs w:val="21"/>
        </w:rPr>
        <w:t xml:space="preserve">A period's score is the average of all its metrics' normalized scores. Across periods, the most recent up-to-4 periods are combined with more weight on the most recent ones, and the trend label (improving / stable / declining) compares the newest period's score against the oldest of that recent set.</w:t>
      </w:r>
    </w:p>
    <w:p>
      <w:pPr>
        <w:pStyle w:val="Heading2"/>
        <w:spacing w:after="140" w:before="280"/>
      </w:pPr>
      <w:r>
        <w:rPr>
          <w:b/>
          <w:bCs/>
          <w:color w:val="0F6E6A"/>
          <w:sz w:val="24"/>
          <w:szCs w:val="24"/>
        </w:rPr>
        <w:t xml:space="preserve">8.3 The Promotion-Readiness Score</w:t>
      </w:r>
    </w:p>
    <w:p>
      <w:pPr>
        <w:spacing w:after="160" w:line="276"/>
        <w:jc w:val="both"/>
      </w:pPr>
      <w:r>
        <w:rPr>
          <w:color w:val="222222"/>
          <w:sz w:val="21"/>
          <w:szCs w:val="21"/>
        </w:rPr>
        <w:t xml:space="preserve">The final 0–100 score blends KPI score, interview score, and pre-test score using your organization's configured weights (default 40 / 40 / 20). If any component is missing — no KPI history, no interview score entered yet — its weight is redistributed proportionally across the components that are present, rather than treating the missing piece as a zero.</w:t>
      </w:r>
    </w:p>
    <w:p>
      <w:pPr>
        <w:pStyle w:val="Heading2"/>
        <w:spacing w:after="140" w:before="280"/>
      </w:pPr>
      <w:r>
        <w:rPr>
          <w:b/>
          <w:bCs/>
          <w:color w:val="0F6E6A"/>
          <w:sz w:val="24"/>
          <w:szCs w:val="24"/>
        </w:rPr>
        <w:t xml:space="preserve">8.4 The Recommendation Package</w:t>
      </w:r>
    </w:p>
    <w:p>
      <w:pPr>
        <w:spacing w:after="160" w:line="276"/>
        <w:jc w:val="both"/>
      </w:pPr>
      <w:r>
        <w:rPr>
          <w:color w:val="222222"/>
          <w:sz w:val="21"/>
          <w:szCs w:val="21"/>
        </w:rPr>
        <w:t xml:space="preserve">From that score, the Promotion Recommendation Engine derives everything shown in Section 5.9: an eligibility call at the 75-point threshold, a confidence level based on how much data was available, the next level on the ladder, an illustrative salary band, risk flags, resume-based skill gaps, and training suggestions.</w:t>
      </w:r>
    </w:p>
    <w:p>
      <w:pPr>
        <w:pStyle w:val="Heading2"/>
        <w:spacing w:after="140" w:before="280"/>
      </w:pPr>
      <w:r>
        <w:rPr>
          <w:b/>
          <w:bCs/>
          <w:color w:val="0F6E6A"/>
          <w:sz w:val="24"/>
          <w:szCs w:val="24"/>
        </w:rPr>
        <w:t xml:space="preserve">8.5 Worked Example</w:t>
      </w:r>
    </w:p>
    <w:p>
      <w:pPr>
        <w:spacing w:after="160" w:line="276"/>
        <w:jc w:val="both"/>
      </w:pPr>
      <w:r>
        <w:rPr>
          <w:color w:val="222222"/>
          <w:sz w:val="21"/>
          <w:szCs w:val="21"/>
        </w:rPr>
        <w:t xml:space="preserve">An employee with one KPI period (Sales Achievement 110 vs target 100 → 110; Attrition 5% vs target 10%, lower-is-better → 200 capped to 150; average 130) plus a manually entered interview score of 88 and no pre-test score gets: KPI 130 × 40 + Interview 88 × 40, divided by the 80 total weight actually in play → a final score of 109 capped where relevant by the underlying metric caps, confidence Medium (only one KPI period, two of three components present), and a risk flag noting the KPI trend can't yet be confirmed from a single period.</w:t>
      </w:r>
    </w:p>
    <w:p>
      <w:r>
        <w:br w:type="page"/>
      </w:r>
    </w:p>
    <w:p>
      <w:pPr>
        <w:pStyle w:val="Heading1"/>
        <w:pBdr>
          <w:bottom w:val="single" w:color="0F6E6A" w:sz="6" w:space="4"/>
        </w:pBdr>
        <w:spacing w:after="200" w:before="400"/>
      </w:pPr>
      <w:r>
        <w:rPr>
          <w:b/>
          <w:bCs/>
          <w:color w:val="13233F"/>
          <w:sz w:val="30"/>
          <w:szCs w:val="30"/>
        </w:rPr>
        <w:t xml:space="preserve">9. Security &amp; Compliance</w:t>
      </w:r>
    </w:p>
    <w:p>
      <w:pPr>
        <w:pStyle w:val="ListParagraph"/>
        <w:numPr>
          <w:ilvl w:val="0"/>
          <w:numId w:val="2"/>
        </w:numPr>
        <w:spacing w:after="80" w:line="264"/>
      </w:pPr>
      <w:r>
        <w:rPr>
          <w:color w:val="222222"/>
          <w:sz w:val="21"/>
          <w:szCs w:val="21"/>
        </w:rPr>
        <w:t xml:space="preserve">Passwords are hashed (bcrypt) and never stored or transmitted in plain text.</w:t>
      </w:r>
    </w:p>
    <w:p>
      <w:pPr>
        <w:pStyle w:val="ListParagraph"/>
        <w:numPr>
          <w:ilvl w:val="0"/>
          <w:numId w:val="2"/>
        </w:numPr>
        <w:spacing w:after="80" w:line="264"/>
      </w:pPr>
      <w:r>
        <w:rPr>
          <w:color w:val="222222"/>
          <w:sz w:val="21"/>
          <w:szCs w:val="21"/>
        </w:rPr>
        <w:t xml:space="preserve">Sessions use signed, expiring JWTs (12-hour default); every request is re-validated against the user's current status, so disabling a user or suspending an organization takes effect immediately.</w:t>
      </w:r>
    </w:p>
    <w:p>
      <w:pPr>
        <w:pStyle w:val="ListParagraph"/>
        <w:numPr>
          <w:ilvl w:val="0"/>
          <w:numId w:val="2"/>
        </w:numPr>
        <w:spacing w:after="80" w:line="264"/>
      </w:pPr>
      <w:r>
        <w:rPr>
          <w:color w:val="222222"/>
          <w:sz w:val="21"/>
          <w:szCs w:val="21"/>
        </w:rPr>
        <w:t xml:space="preserve">Optional TOTP two-factor authentication is available to every HR, Management, and Superadmin account (Section 5.12 / 4.1).</w:t>
      </w:r>
    </w:p>
    <w:p>
      <w:pPr>
        <w:pStyle w:val="ListParagraph"/>
        <w:numPr>
          <w:ilvl w:val="0"/>
          <w:numId w:val="2"/>
        </w:numPr>
        <w:spacing w:after="80" w:line="264"/>
      </w:pPr>
      <w:r>
        <w:rPr>
          <w:color w:val="222222"/>
          <w:sz w:val="21"/>
          <w:szCs w:val="21"/>
        </w:rPr>
        <w:t xml:space="preserve">Role-based access control and per-tenant data scoping ensure HR/Management users can only ever see their own organization's data; Superadmin is the only platform-wide role.</w:t>
      </w:r>
    </w:p>
    <w:p>
      <w:pPr>
        <w:pStyle w:val="ListParagraph"/>
        <w:numPr>
          <w:ilvl w:val="0"/>
          <w:numId w:val="2"/>
        </w:numPr>
        <w:spacing w:after="80" w:line="264"/>
      </w:pPr>
      <w:r>
        <w:rPr>
          <w:color w:val="222222"/>
          <w:sz w:val="21"/>
          <w:szCs w:val="21"/>
        </w:rPr>
        <w:t xml:space="preserve">Every login, decision, feature change, KPI import, and industry/integration change is written to an append-only activity log, exportable via the compliance-export endpoint.</w:t>
      </w:r>
    </w:p>
    <w:p>
      <w:pPr>
        <w:pStyle w:val="ListParagraph"/>
        <w:numPr>
          <w:ilvl w:val="0"/>
          <w:numId w:val="2"/>
        </w:numPr>
        <w:spacing w:after="80" w:line="264"/>
      </w:pPr>
      <w:r>
        <w:rPr>
          <w:color w:val="222222"/>
          <w:sz w:val="21"/>
          <w:szCs w:val="21"/>
        </w:rPr>
        <w:t xml:space="preserve">Vendor credentials (SMTP passwords, API keys, telephony secrets) are masked in every API response after being saved.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Production hardening still needed</w:t>
            </w:r>
          </w:p>
          <w:p>
            <w:pPr>
              <w:spacing w:after="0"/>
            </w:pPr>
            <w:r>
              <w:rPr>
                <w:color w:val="222222"/>
                <w:sz w:val="20"/>
                <w:szCs w:val="20"/>
              </w:rPr>
              <w:t xml:space="preserve">Field-level encryption of vendor secrets at rest, TURN servers for WebRTC across restrictive networks, rate-limiting on the public invite/pretest endpoints, and moving JWT/secret storage to a dedicated secrets manager are all recommended before a production go-live — see Section 13.</w:t>
            </w:r>
          </w:p>
        </w:tc>
      </w:tr>
    </w:tbl>
    <w:p>
      <w:r>
        <w:br w:type="page"/>
      </w:r>
    </w:p>
    <w:p>
      <w:pPr>
        <w:pStyle w:val="Heading1"/>
        <w:pBdr>
          <w:bottom w:val="single" w:color="0F6E6A" w:sz="6" w:space="4"/>
        </w:pBdr>
        <w:spacing w:after="200" w:before="400"/>
      </w:pPr>
      <w:r>
        <w:rPr>
          <w:b/>
          <w:bCs/>
          <w:color w:val="13233F"/>
          <w:sz w:val="30"/>
          <w:szCs w:val="30"/>
        </w:rPr>
        <w:t xml:space="preserve">10. API Reference (Key Endpoints)</w:t>
      </w:r>
    </w:p>
    <w:p>
      <w:pPr>
        <w:pStyle w:val="Heading2"/>
        <w:spacing w:after="140" w:before="280"/>
      </w:pPr>
      <w:r>
        <w:rPr>
          <w:b/>
          <w:bCs/>
          <w:color w:val="0F6E6A"/>
          <w:sz w:val="24"/>
          <w:szCs w:val="24"/>
        </w:rPr>
        <w:t xml:space="preserve">10.1 Authentication</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4400"/>
        <w:gridCol w:w="1400"/>
        <w:gridCol w:w="3500"/>
      </w:tblGrid>
      <w:tr>
        <w:trPr>
          <w:tblHeader/>
        </w:trPr>
        <w:tc>
          <w:tcPr>
            <w:tcW w:type="dxa" w:w="4400"/>
            <w:shd w:fill="13233F" w:val="clear"/>
            <w:tcMar>
              <w:top w:type="dxa" w:w="100"/>
              <w:left w:type="dxa" w:w="120"/>
              <w:bottom w:type="dxa" w:w="100"/>
              <w:right w:type="dxa" w:w="120"/>
            </w:tcMar>
            <w:vAlign w:val="center"/>
          </w:tcPr>
          <w:p>
            <w:pPr>
              <w:jc w:val="left"/>
            </w:pPr>
            <w:r>
              <w:rPr>
                <w:b/>
                <w:bCs/>
                <w:color w:val="FFFFFF"/>
                <w:sz w:val="19"/>
                <w:szCs w:val="19"/>
              </w:rPr>
              <w:t xml:space="preserve">Endpoint</w:t>
            </w:r>
          </w:p>
        </w:tc>
        <w:tc>
          <w:tcPr>
            <w:tcW w:type="dxa" w:w="1400"/>
            <w:shd w:fill="13233F" w:val="clear"/>
            <w:tcMar>
              <w:top w:type="dxa" w:w="100"/>
              <w:left w:type="dxa" w:w="120"/>
              <w:bottom w:type="dxa" w:w="100"/>
              <w:right w:type="dxa" w:w="120"/>
            </w:tcMar>
            <w:vAlign w:val="center"/>
          </w:tcPr>
          <w:p>
            <w:pPr>
              <w:jc w:val="left"/>
            </w:pPr>
            <w:r>
              <w:rPr>
                <w:b/>
                <w:bCs/>
                <w:color w:val="FFFFFF"/>
                <w:sz w:val="19"/>
                <w:szCs w:val="19"/>
              </w:rPr>
              <w:t xml:space="preserve">Method</w:t>
            </w:r>
          </w:p>
        </w:tc>
        <w:tc>
          <w:tcPr>
            <w:tcW w:type="dxa" w:w="3500"/>
            <w:shd w:fill="13233F"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4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/api/auth/login/superadmin</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POST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Superadmin login (or MFA challenge)</w:t>
            </w:r>
          </w:p>
        </w:tc>
      </w:tr>
      <w:tr>
        <w:tc>
          <w:tcPr>
            <w:tcW w:type="dxa" w:w="4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/api/auth/login/tenant</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POST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HR/Management login (or MFA challenge)</w:t>
            </w:r>
          </w:p>
        </w:tc>
      </w:tr>
      <w:tr>
        <w:tc>
          <w:tcPr>
            <w:tcW w:type="dxa" w:w="4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/api/auth/login/mfa</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POST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Completes login with a TOTP code</w:t>
            </w:r>
          </w:p>
        </w:tc>
      </w:tr>
      <w:tr>
        <w:tc>
          <w:tcPr>
            <w:tcW w:type="dxa" w:w="4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/api/me</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Current user, tenant, and enabled features</w:t>
            </w:r>
          </w:p>
        </w:tc>
      </w:tr>
      <w:tr>
        <w:tc>
          <w:tcPr>
            <w:tcW w:type="dxa" w:w="4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/api/me/availability</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PATCH</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Set Available/Busy</w:t>
            </w:r>
          </w:p>
        </w:tc>
      </w:tr>
      <w:tr>
        <w:tc>
          <w:tcPr>
            <w:tcW w:type="dxa" w:w="4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/api/me/mfa/setup, /confirm, /disable, /status</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POST/GET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Two-factor authentication management</w:t>
            </w:r>
          </w:p>
        </w:tc>
      </w:tr>
    </w:tbl>
    <w:p>
      <w:pPr>
        <w:pStyle w:val="Heading2"/>
        <w:spacing w:after="140" w:before="280"/>
      </w:pPr>
      <w:r>
        <w:rPr>
          <w:b/>
          <w:bCs/>
          <w:color w:val="0F6E6A"/>
          <w:sz w:val="24"/>
          <w:szCs w:val="24"/>
        </w:rPr>
        <w:t xml:space="preserve">10.2 Superadmin</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1600"/>
        <w:gridCol w:w="3500"/>
      </w:tblGrid>
      <w:tr>
        <w:trPr>
          <w:tblHeader/>
        </w:trPr>
        <w:tc>
          <w:tcPr>
            <w:tcW w:type="dxa" w:w="4200"/>
            <w:shd w:fill="13233F" w:val="clear"/>
            <w:tcMar>
              <w:top w:type="dxa" w:w="100"/>
              <w:left w:type="dxa" w:w="120"/>
              <w:bottom w:type="dxa" w:w="100"/>
              <w:right w:type="dxa" w:w="120"/>
            </w:tcMar>
            <w:vAlign w:val="center"/>
          </w:tcPr>
          <w:p>
            <w:pPr>
              <w:jc w:val="left"/>
            </w:pPr>
            <w:r>
              <w:rPr>
                <w:b/>
                <w:bCs/>
                <w:color w:val="FFFFFF"/>
                <w:sz w:val="19"/>
                <w:szCs w:val="19"/>
              </w:rPr>
              <w:t xml:space="preserve">Endpoint</w:t>
            </w:r>
          </w:p>
        </w:tc>
        <w:tc>
          <w:tcPr>
            <w:tcW w:type="dxa" w:w="1600"/>
            <w:shd w:fill="13233F" w:val="clear"/>
            <w:tcMar>
              <w:top w:type="dxa" w:w="100"/>
              <w:left w:type="dxa" w:w="120"/>
              <w:bottom w:type="dxa" w:w="100"/>
              <w:right w:type="dxa" w:w="120"/>
            </w:tcMar>
            <w:vAlign w:val="center"/>
          </w:tcPr>
          <w:p>
            <w:pPr>
              <w:jc w:val="left"/>
            </w:pPr>
            <w:r>
              <w:rPr>
                <w:b/>
                <w:bCs/>
                <w:color w:val="FFFFFF"/>
                <w:sz w:val="19"/>
                <w:szCs w:val="19"/>
              </w:rPr>
              <w:t xml:space="preserve">Method</w:t>
            </w:r>
          </w:p>
        </w:tc>
        <w:tc>
          <w:tcPr>
            <w:tcW w:type="dxa" w:w="3500"/>
            <w:shd w:fill="13233F"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/api/superadmin/tenants</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GET/POST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List / create organizations</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/api/superadmin/tenants/:id/features</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GET/PUT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View / set an organization's feature toggles</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/api/superadmin/tenants/:id/users</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GET/POST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List / create HR &amp; Management users</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/api/superadmin/integrations</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All vendor integration configs (secrets redacted)</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/api/superadmin/integrations/:category</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PUT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Save a vendor's configuration</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/api/superadmin/industries</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GET/POST/DELETE</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View, add, or remove custom industries</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/api/superadmin/activity</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Platform-wide audit log</w:t>
            </w:r>
          </w:p>
        </w:tc>
      </w:tr>
    </w:tbl>
    <w:p>
      <w:pPr>
        <w:pStyle w:val="Heading2"/>
        <w:spacing w:after="140" w:before="280"/>
      </w:pPr>
      <w:r>
        <w:rPr>
          <w:b/>
          <w:bCs/>
          <w:color w:val="0F6E6A"/>
          <w:sz w:val="24"/>
          <w:szCs w:val="24"/>
        </w:rPr>
        <w:t xml:space="preserve">10.3 Candidates, Interviews &amp; Promotion</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1600"/>
        <w:gridCol w:w="3500"/>
      </w:tblGrid>
      <w:tr>
        <w:trPr>
          <w:tblHeader/>
        </w:trPr>
        <w:tc>
          <w:tcPr>
            <w:tcW w:type="dxa" w:w="4200"/>
            <w:shd w:fill="13233F" w:val="clear"/>
            <w:tcMar>
              <w:top w:type="dxa" w:w="100"/>
              <w:left w:type="dxa" w:w="120"/>
              <w:bottom w:type="dxa" w:w="100"/>
              <w:right w:type="dxa" w:w="120"/>
            </w:tcMar>
            <w:vAlign w:val="center"/>
          </w:tcPr>
          <w:p>
            <w:pPr>
              <w:jc w:val="left"/>
            </w:pPr>
            <w:r>
              <w:rPr>
                <w:b/>
                <w:bCs/>
                <w:color w:val="FFFFFF"/>
                <w:sz w:val="19"/>
                <w:szCs w:val="19"/>
              </w:rPr>
              <w:t xml:space="preserve">Endpoint</w:t>
            </w:r>
          </w:p>
        </w:tc>
        <w:tc>
          <w:tcPr>
            <w:tcW w:type="dxa" w:w="1600"/>
            <w:shd w:fill="13233F" w:val="clear"/>
            <w:tcMar>
              <w:top w:type="dxa" w:w="100"/>
              <w:left w:type="dxa" w:w="120"/>
              <w:bottom w:type="dxa" w:w="100"/>
              <w:right w:type="dxa" w:w="120"/>
            </w:tcMar>
            <w:vAlign w:val="center"/>
          </w:tcPr>
          <w:p>
            <w:pPr>
              <w:jc w:val="left"/>
            </w:pPr>
            <w:r>
              <w:rPr>
                <w:b/>
                <w:bCs/>
                <w:color w:val="FFFFFF"/>
                <w:sz w:val="19"/>
                <w:szCs w:val="19"/>
              </w:rPr>
              <w:t xml:space="preserve">Method</w:t>
            </w:r>
          </w:p>
        </w:tc>
        <w:tc>
          <w:tcPr>
            <w:tcW w:type="dxa" w:w="3500"/>
            <w:shd w:fill="13233F"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/api/candidates</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GET/POST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List / create candidates or employees</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/api/candidates/:id/send</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POST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Send an invite (email/whatsapp/call)</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/api/candidates/:id/resume</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POST/GET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Upload / download a resume</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/api/candidates/:id/kpi</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GET/POST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View / import KPI review periods</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/api/candidates/:id/scores</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PATCH</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Set interview/pre-test scores manually</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/api/candidates/:id/readiness-score</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Computed promotion-readiness score</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/api/candidates/:id/promotion-recommendation</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Full promotion recommendation package</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/api/public/invite/:token, /accept</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GET/POST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Candidate invite (no login)</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/api/public/form/:token</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GET/POST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Candidate pre-assessment (no login)</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/api/public/room/:token</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Candidate's interview room info (no login)</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/api/interviews</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List interview sessions (HR/Management)</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/api/interviews/:id/takeover</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POST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Take over from / hand back to the AI</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/api/interviews/:id/decision</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POST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Record the final decision</w:t>
            </w:r>
          </w:p>
        </w:tc>
      </w:tr>
    </w:tbl>
    <w:p>
      <w:pPr>
        <w:pStyle w:val="Heading2"/>
        <w:spacing w:after="140" w:before="280"/>
      </w:pPr>
      <w:r>
        <w:rPr>
          <w:b/>
          <w:bCs/>
          <w:color w:val="0F6E6A"/>
          <w:sz w:val="24"/>
          <w:szCs w:val="24"/>
        </w:rPr>
        <w:t xml:space="preserve">10.4 Reports &amp; Meta</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1600"/>
        <w:gridCol w:w="3500"/>
      </w:tblGrid>
      <w:tr>
        <w:trPr>
          <w:tblHeader/>
        </w:trPr>
        <w:tc>
          <w:tcPr>
            <w:tcW w:type="dxa" w:w="4200"/>
            <w:shd w:fill="13233F" w:val="clear"/>
            <w:tcMar>
              <w:top w:type="dxa" w:w="100"/>
              <w:left w:type="dxa" w:w="120"/>
              <w:bottom w:type="dxa" w:w="100"/>
              <w:right w:type="dxa" w:w="120"/>
            </w:tcMar>
            <w:vAlign w:val="center"/>
          </w:tcPr>
          <w:p>
            <w:pPr>
              <w:jc w:val="left"/>
            </w:pPr>
            <w:r>
              <w:rPr>
                <w:b/>
                <w:bCs/>
                <w:color w:val="FFFFFF"/>
                <w:sz w:val="19"/>
                <w:szCs w:val="19"/>
              </w:rPr>
              <w:t xml:space="preserve">Endpoint</w:t>
            </w:r>
          </w:p>
        </w:tc>
        <w:tc>
          <w:tcPr>
            <w:tcW w:type="dxa" w:w="1600"/>
            <w:shd w:fill="13233F" w:val="clear"/>
            <w:tcMar>
              <w:top w:type="dxa" w:w="100"/>
              <w:left w:type="dxa" w:w="120"/>
              <w:bottom w:type="dxa" w:w="100"/>
              <w:right w:type="dxa" w:w="120"/>
            </w:tcMar>
            <w:vAlign w:val="center"/>
          </w:tcPr>
          <w:p>
            <w:pPr>
              <w:jc w:val="left"/>
            </w:pPr>
            <w:r>
              <w:rPr>
                <w:b/>
                <w:bCs/>
                <w:color w:val="FFFFFF"/>
                <w:sz w:val="19"/>
                <w:szCs w:val="19"/>
              </w:rPr>
              <w:t xml:space="preserve">Method</w:t>
            </w:r>
          </w:p>
        </w:tc>
        <w:tc>
          <w:tcPr>
            <w:tcW w:type="dxa" w:w="3500"/>
            <w:shd w:fill="13233F"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/api/reports/pipeline, /activity</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Organization pipeline stats and activity feed</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/api/reports/scorecards</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Candidate comparison + department analytics</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/api/reports/compliance-export</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Full audit-trail export (JSON or CSV)</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/api/scoring/weights</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GET/PUT</w:t>
            </w:r>
          </w:p>
        </w:tc>
        <w:tc>
          <w:tcPr>
            <w:tcW w:type="dxa" w:w="3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View / set KPI-interview-pretest weighting</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/api/meta/industries, /levels</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GET</w:t>
            </w:r>
          </w:p>
        </w:tc>
        <w:tc>
          <w:tcPr>
            <w:tcW w:type="dxa" w:w="3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Full industry and level catalogs</w:t>
            </w:r>
          </w:p>
        </w:tc>
      </w:tr>
    </w:tbl>
    <w:p>
      <w:r>
        <w:br w:type="page"/>
      </w:r>
    </w:p>
    <w:p>
      <w:pPr>
        <w:pStyle w:val="Heading1"/>
        <w:pBdr>
          <w:bottom w:val="single" w:color="0F6E6A" w:sz="6" w:space="4"/>
        </w:pBdr>
        <w:spacing w:after="200" w:before="400"/>
      </w:pPr>
      <w:r>
        <w:rPr>
          <w:b/>
          <w:bCs/>
          <w:color w:val="13233F"/>
          <w:sz w:val="30"/>
          <w:szCs w:val="30"/>
        </w:rPr>
        <w:t xml:space="preserve">11. Troubleshooting &amp; FAQ</w:t>
      </w:r>
    </w:p>
    <w:p>
      <w:pPr>
        <w:pStyle w:val="Heading3"/>
        <w:spacing w:after="100" w:before="200"/>
      </w:pPr>
      <w:r>
        <w:rPr>
          <w:b/>
          <w:bCs/>
          <w:color w:val="13233F"/>
          <w:sz w:val="21"/>
          <w:szCs w:val="21"/>
        </w:rPr>
        <w:t xml:space="preserve">“This feature is not enabled for your organization”</w:t>
      </w:r>
    </w:p>
    <w:p>
      <w:pPr>
        <w:spacing w:after="160" w:line="276"/>
        <w:jc w:val="both"/>
      </w:pPr>
      <w:r>
        <w:rPr>
          <w:color w:val="222222"/>
          <w:sz w:val="21"/>
          <w:szCs w:val="21"/>
        </w:rPr>
        <w:t xml:space="preserve">Your Superadmin has switched off that feature for your organization. Ask them to enable it from Organizations → Manage features &amp; users.</w:t>
      </w:r>
    </w:p>
    <w:p>
      <w:pPr>
        <w:pStyle w:val="Heading3"/>
        <w:spacing w:after="100" w:before="200"/>
      </w:pPr>
      <w:r>
        <w:rPr>
          <w:b/>
          <w:bCs/>
          <w:color w:val="13233F"/>
          <w:sz w:val="21"/>
          <w:szCs w:val="21"/>
        </w:rPr>
        <w:t xml:space="preserve">Sends aren't actually reaching candidates</w:t>
      </w:r>
    </w:p>
    <w:p>
      <w:pPr>
        <w:spacing w:after="160" w:line="276"/>
        <w:jc w:val="both"/>
      </w:pPr>
      <w:r>
        <w:rPr>
          <w:color w:val="222222"/>
          <w:sz w:val="21"/>
          <w:szCs w:val="21"/>
        </w:rPr>
        <w:t xml:space="preserve">By default the platform runs in mock delivery mode — sends are logged, not actually delivered — so the flow can be tested without real credentials. Ask your Superadmin to configure a real vendor on the Integrations page and set NOTIFY_MODE=live.</w:t>
      </w:r>
    </w:p>
    <w:p>
      <w:pPr>
        <w:pStyle w:val="Heading3"/>
        <w:spacing w:after="100" w:before="200"/>
      </w:pPr>
      <w:r>
        <w:rPr>
          <w:b/>
          <w:bCs/>
          <w:color w:val="13233F"/>
          <w:sz w:val="21"/>
          <w:szCs w:val="21"/>
        </w:rPr>
        <w:t xml:space="preserve">The AI isn't asking questions in the interview room</w:t>
      </w:r>
    </w:p>
    <w:p>
      <w:pPr>
        <w:spacing w:after="160" w:line="276"/>
        <w:jc w:val="both"/>
      </w:pPr>
      <w:r>
        <w:rPr>
          <w:color w:val="222222"/>
          <w:sz w:val="21"/>
          <w:szCs w:val="21"/>
        </w:rPr>
        <w:t xml:space="preserve">Check that your browser has granted microphone permission and that it supports the Web Speech API (most Chromium-based browsers do; some browsers do not). A text box is always available as a fallback so the interview can still proceed.</w:t>
      </w:r>
    </w:p>
    <w:p>
      <w:pPr>
        <w:pStyle w:val="Heading3"/>
        <w:spacing w:after="100" w:before="200"/>
      </w:pPr>
      <w:r>
        <w:rPr>
          <w:b/>
          <w:bCs/>
          <w:color w:val="13233F"/>
          <w:sz w:val="21"/>
          <w:szCs w:val="21"/>
        </w:rPr>
        <w:t xml:space="preserve">I can't see another organization's candidates as Superadmin</w:t>
      </w:r>
    </w:p>
    <w:p>
      <w:pPr>
        <w:spacing w:after="160" w:line="276"/>
        <w:jc w:val="both"/>
      </w:pPr>
      <w:r>
        <w:rPr>
          <w:color w:val="222222"/>
          <w:sz w:val="21"/>
          <w:szCs w:val="21"/>
        </w:rPr>
        <w:t xml:space="preserve">This is by design — pass a tenantId when acting on behalf of a specific organization; there is no single view mixing every organization's candidate lists together.</w:t>
      </w:r>
    </w:p>
    <w:p>
      <w:pPr>
        <w:pStyle w:val="Heading3"/>
        <w:spacing w:after="100" w:before="200"/>
      </w:pPr>
      <w:r>
        <w:rPr>
          <w:b/>
          <w:bCs/>
          <w:color w:val="13233F"/>
          <w:sz w:val="21"/>
          <w:szCs w:val="21"/>
        </w:rPr>
        <w:t xml:space="preserve">My promotion-readiness score seems low with almost no data</w:t>
      </w:r>
    </w:p>
    <w:p>
      <w:pPr>
        <w:spacing w:after="160" w:line="276"/>
        <w:jc w:val="both"/>
      </w:pPr>
      <w:r>
        <w:rPr>
          <w:color w:val="222222"/>
          <w:sz w:val="21"/>
          <w:szCs w:val="21"/>
        </w:rPr>
        <w:t xml:space="preserve">A missing component doesn't count as zero, but a low Confidence level and explicit risk flags will appear whenever the recommendation is based on limited data — check the risk flags list before acting on the score.</w:t>
      </w:r>
    </w:p>
    <w:p>
      <w:pPr>
        <w:pStyle w:val="Heading3"/>
        <w:spacing w:after="100" w:before="200"/>
      </w:pPr>
      <w:r>
        <w:rPr>
          <w:b/>
          <w:bCs/>
          <w:color w:val="13233F"/>
          <w:sz w:val="21"/>
          <w:szCs w:val="21"/>
        </w:rPr>
        <w:t xml:space="preserve">I forgot my two-factor authentication code / lost my device</w:t>
      </w:r>
    </w:p>
    <w:p>
      <w:pPr>
        <w:spacing w:after="160" w:line="276"/>
        <w:jc w:val="both"/>
      </w:pPr>
      <w:r>
        <w:rPr>
          <w:color w:val="222222"/>
          <w:sz w:val="21"/>
          <w:szCs w:val="21"/>
        </w:rPr>
        <w:t xml:space="preserve">Ask your Superadmin to disable MFA on your account directly from the platform's user data (there is currently no self-service recovery-code flow — see Section 13).</w:t>
      </w:r>
    </w:p>
    <w:p>
      <w:r>
        <w:br w:type="page"/>
      </w:r>
    </w:p>
    <w:p>
      <w:pPr>
        <w:pStyle w:val="Heading1"/>
        <w:pBdr>
          <w:bottom w:val="single" w:color="0F6E6A" w:sz="6" w:space="4"/>
        </w:pBdr>
        <w:spacing w:after="200" w:before="400"/>
      </w:pPr>
      <w:r>
        <w:rPr>
          <w:b/>
          <w:bCs/>
          <w:color w:val="13233F"/>
          <w:sz w:val="30"/>
          <w:szCs w:val="30"/>
        </w:rPr>
        <w:t xml:space="preserve">12. Known Limitations &amp; Roadmap</w:t>
      </w:r>
    </w:p>
    <w:p>
      <w:pPr>
        <w:spacing w:after="160" w:line="276"/>
        <w:jc w:val="both"/>
      </w:pPr>
      <w:r>
        <w:rPr>
          <w:color w:val="222222"/>
          <w:sz w:val="21"/>
          <w:szCs w:val="21"/>
        </w:rPr>
        <w:t xml:space="preserve">In the interest of setting accurate expectations, here is what is genuinely working today versus what is a wired stub or a known gap:</w:t>
      </w:r>
    </w:p>
    <w:p>
      <w:pPr>
        <w:pStyle w:val="Heading2"/>
        <w:spacing w:after="140" w:before="280"/>
      </w:pPr>
      <w:r>
        <w:rPr>
          <w:b/>
          <w:bCs/>
          <w:color w:val="0F6E6A"/>
          <w:sz w:val="24"/>
          <w:szCs w:val="24"/>
        </w:rPr>
        <w:t xml:space="preserve">12.1 Fully Working Today</w:t>
      </w:r>
    </w:p>
    <w:p>
      <w:pPr>
        <w:pStyle w:val="ListParagraph"/>
        <w:numPr>
          <w:ilvl w:val="0"/>
          <w:numId w:val="2"/>
        </w:numPr>
        <w:spacing w:after="80" w:line="264"/>
      </w:pPr>
      <w:r>
        <w:rPr>
          <w:color w:val="222222"/>
          <w:sz w:val="21"/>
          <w:szCs w:val="21"/>
        </w:rPr>
        <w:t xml:space="preserve">Multi-tenant auth, RBAC, feature toggles, and CouchDB-backed storage (embedded or real CouchDB).</w:t>
      </w:r>
    </w:p>
    <w:p>
      <w:pPr>
        <w:pStyle w:val="ListParagraph"/>
        <w:numPr>
          <w:ilvl w:val="0"/>
          <w:numId w:val="2"/>
        </w:numPr>
        <w:spacing w:after="80" w:line="264"/>
      </w:pPr>
      <w:r>
        <w:rPr>
          <w:color w:val="222222"/>
          <w:sz w:val="21"/>
          <w:szCs w:val="21"/>
        </w:rPr>
        <w:t xml:space="preserve">Invite → pre-assessment → automatic human/AI interview scheduling, based on live HR/Management availability.</w:t>
      </w:r>
    </w:p>
    <w:p>
      <w:pPr>
        <w:pStyle w:val="ListParagraph"/>
        <w:numPr>
          <w:ilvl w:val="0"/>
          <w:numId w:val="2"/>
        </w:numPr>
        <w:spacing w:after="80" w:line="264"/>
      </w:pPr>
      <w:r>
        <w:rPr>
          <w:color w:val="222222"/>
          <w:sz w:val="21"/>
          <w:szCs w:val="21"/>
        </w:rPr>
        <w:t xml:space="preserve">Real 2-party WebRTC audio/video, with a genuinely working browser-based AI voice interviewer (speech synthesis + recognition) and live HR takeover.</w:t>
      </w:r>
    </w:p>
    <w:p>
      <w:pPr>
        <w:pStyle w:val="ListParagraph"/>
        <w:numPr>
          <w:ilvl w:val="0"/>
          <w:numId w:val="2"/>
        </w:numPr>
        <w:spacing w:after="80" w:line="264"/>
      </w:pPr>
      <w:r>
        <w:rPr>
          <w:color w:val="222222"/>
          <w:sz w:val="21"/>
          <w:szCs w:val="21"/>
        </w:rPr>
        <w:t xml:space="preserve">KPI import, trend scoring, and the full Promotion Recommendation Engine (eligibility, confidence, risk, skill-gap, next role, salary band, training).</w:t>
      </w:r>
    </w:p>
    <w:p>
      <w:pPr>
        <w:pStyle w:val="ListParagraph"/>
        <w:numPr>
          <w:ilvl w:val="0"/>
          <w:numId w:val="2"/>
        </w:numPr>
        <w:spacing w:after="80" w:line="264"/>
      </w:pPr>
      <w:r>
        <w:rPr>
          <w:color w:val="222222"/>
          <w:sz w:val="21"/>
          <w:szCs w:val="21"/>
        </w:rPr>
        <w:t xml:space="preserve">Resume upload, text extraction (PDF/DOCX/text), and skill-match scoring.</w:t>
      </w:r>
    </w:p>
    <w:p>
      <w:pPr>
        <w:pStyle w:val="ListParagraph"/>
        <w:numPr>
          <w:ilvl w:val="0"/>
          <w:numId w:val="2"/>
        </w:numPr>
        <w:spacing w:after="80" w:line="264"/>
      </w:pPr>
      <w:r>
        <w:rPr>
          <w:color w:val="222222"/>
          <w:sz w:val="21"/>
          <w:szCs w:val="21"/>
        </w:rPr>
        <w:t xml:space="preserve">Two-factor authentication (TOTP) with QR-code setup.</w:t>
      </w:r>
    </w:p>
    <w:p>
      <w:pPr>
        <w:pStyle w:val="ListParagraph"/>
        <w:numPr>
          <w:ilvl w:val="0"/>
          <w:numId w:val="2"/>
        </w:numPr>
        <w:spacing w:after="80" w:line="264"/>
      </w:pPr>
      <w:r>
        <w:rPr>
          <w:color w:val="222222"/>
          <w:sz w:val="21"/>
          <w:szCs w:val="21"/>
        </w:rPr>
        <w:t xml:space="preserve">Compliance/audit export and candidate comparison scorecards.</w:t>
      </w:r>
    </w:p>
    <w:p>
      <w:pPr>
        <w:pStyle w:val="Heading2"/>
        <w:spacing w:after="140" w:before="280"/>
      </w:pPr>
      <w:r>
        <w:rPr>
          <w:b/>
          <w:bCs/>
          <w:color w:val="0F6E6A"/>
          <w:sz w:val="24"/>
          <w:szCs w:val="24"/>
        </w:rPr>
        <w:t xml:space="preserve">12.2 Stubbed — Ready to Wire, Needs Real Credentials</w:t>
      </w:r>
    </w:p>
    <w:p>
      <w:pPr>
        <w:pStyle w:val="ListParagraph"/>
        <w:numPr>
          <w:ilvl w:val="0"/>
          <w:numId w:val="2"/>
        </w:numPr>
        <w:spacing w:after="80" w:line="264"/>
      </w:pPr>
      <w:r>
        <w:rPr>
          <w:color w:val="222222"/>
          <w:sz w:val="21"/>
          <w:szCs w:val="21"/>
        </w:rPr>
        <w:t xml:space="preserve">Real outbound telephony calls via Asterisk AMI / FreeSWITCH ESL / Twilio.</w:t>
      </w:r>
    </w:p>
    <w:p>
      <w:pPr>
        <w:pStyle w:val="ListParagraph"/>
        <w:numPr>
          <w:ilvl w:val="0"/>
          <w:numId w:val="2"/>
        </w:numPr>
        <w:spacing w:after="80" w:line="264"/>
      </w:pPr>
      <w:r>
        <w:rPr>
          <w:color w:val="222222"/>
          <w:sz w:val="21"/>
          <w:szCs w:val="21"/>
        </w:rPr>
        <w:t xml:space="preserve">Real SMTP email sending (nodemailer is wired; needs a live mail server configured).</w:t>
      </w:r>
    </w:p>
    <w:p>
      <w:pPr>
        <w:pStyle w:val="ListParagraph"/>
        <w:numPr>
          <w:ilvl w:val="0"/>
          <w:numId w:val="2"/>
        </w:numPr>
        <w:spacing w:after="80" w:line="264"/>
      </w:pPr>
      <w:r>
        <w:rPr>
          <w:color w:val="222222"/>
          <w:sz w:val="21"/>
          <w:szCs w:val="21"/>
        </w:rPr>
        <w:t xml:space="preserve">Real WhatsApp delivery (Cloud API / Twilio).</w:t>
      </w:r>
    </w:p>
    <w:p>
      <w:pPr>
        <w:pStyle w:val="ListParagraph"/>
        <w:numPr>
          <w:ilvl w:val="0"/>
          <w:numId w:val="2"/>
        </w:numPr>
        <w:spacing w:after="80" w:line="264"/>
      </w:pPr>
      <w:r>
        <w:rPr>
          <w:color w:val="222222"/>
          <w:sz w:val="21"/>
          <w:szCs w:val="21"/>
        </w:rPr>
        <w:t xml:space="preserve">Swapping browser ASR/TTS for a cloud vendor (Deepgram, ElevenLabs, Azure, Google).</w:t>
      </w:r>
    </w:p>
    <w:p>
      <w:pPr>
        <w:pStyle w:val="ListParagraph"/>
        <w:numPr>
          <w:ilvl w:val="0"/>
          <w:numId w:val="2"/>
        </w:numPr>
        <w:spacing w:after="80" w:line="264"/>
      </w:pPr>
      <w:r>
        <w:rPr>
          <w:color w:val="222222"/>
          <w:sz w:val="21"/>
          <w:szCs w:val="21"/>
        </w:rPr>
        <w:t xml:space="preserve">Google Meet / Microsoft Teams meeting-link creation via their calendar APIs.</w:t>
      </w:r>
    </w:p>
    <w:p>
      <w:pPr>
        <w:pStyle w:val="ListParagraph"/>
        <w:numPr>
          <w:ilvl w:val="0"/>
          <w:numId w:val="2"/>
        </w:numPr>
        <w:spacing w:after="80" w:line="264"/>
      </w:pPr>
      <w:r>
        <w:rPr>
          <w:color w:val="222222"/>
          <w:sz w:val="21"/>
          <w:szCs w:val="21"/>
        </w:rPr>
        <w:t xml:space="preserve">An LLM-backed dynamic follow-up question layer, in place of the current fixed question bank.</w:t>
      </w:r>
    </w:p>
    <w:p>
      <w:pPr>
        <w:pStyle w:val="Heading2"/>
        <w:spacing w:after="140" w:before="280"/>
      </w:pPr>
      <w:r>
        <w:rPr>
          <w:b/>
          <w:bCs/>
          <w:color w:val="0F6E6A"/>
          <w:sz w:val="24"/>
          <w:szCs w:val="24"/>
        </w:rPr>
        <w:t xml:space="preserve">12.3 Known Gaps</w:t>
      </w:r>
    </w:p>
    <w:p>
      <w:pPr>
        <w:pStyle w:val="ListParagraph"/>
        <w:numPr>
          <w:ilvl w:val="0"/>
          <w:numId w:val="2"/>
        </w:numPr>
        <w:spacing w:after="80" w:line="264"/>
      </w:pPr>
      <w:r>
        <w:rPr>
          <w:color w:val="222222"/>
          <w:sz w:val="21"/>
          <w:szCs w:val="21"/>
        </w:rPr>
        <w:t xml:space="preserve">Aptitude, Personality, and Communication assessment sections are currently identical for every industry/level — only Technical &amp; Behavioral truly adapts.</w:t>
      </w:r>
    </w:p>
    <w:p>
      <w:pPr>
        <w:pStyle w:val="ListParagraph"/>
        <w:numPr>
          <w:ilvl w:val="0"/>
          <w:numId w:val="2"/>
        </w:numPr>
        <w:spacing w:after="80" w:line="264"/>
      </w:pPr>
      <w:r>
        <w:rPr>
          <w:color w:val="222222"/>
          <w:sz w:val="21"/>
          <w:szCs w:val="21"/>
        </w:rPr>
        <w:t xml:space="preserve">No self-service MFA recovery-code flow — a Superadmin must disable MFA manually if a device is lost.</w:t>
      </w:r>
    </w:p>
    <w:p>
      <w:pPr>
        <w:pStyle w:val="ListParagraph"/>
        <w:numPr>
          <w:ilvl w:val="0"/>
          <w:numId w:val="2"/>
        </w:numPr>
        <w:spacing w:after="80" w:line="264"/>
      </w:pPr>
      <w:r>
        <w:rPr>
          <w:color w:val="222222"/>
          <w:sz w:val="21"/>
          <w:szCs w:val="21"/>
        </w:rPr>
        <w:t xml:space="preserve">No TURN server configured — WebRTC calls may fail across strict corporate firewalls/NATs.</w:t>
      </w:r>
    </w:p>
    <w:p>
      <w:pPr>
        <w:pStyle w:val="ListParagraph"/>
        <w:numPr>
          <w:ilvl w:val="0"/>
          <w:numId w:val="2"/>
        </w:numPr>
        <w:spacing w:after="80" w:line="264"/>
      </w:pPr>
      <w:r>
        <w:rPr>
          <w:color w:val="222222"/>
          <w:sz w:val="21"/>
          <w:szCs w:val="21"/>
        </w:rPr>
        <w:t xml:space="preserve">Vendor secrets are stored as plain fields in CouchDB, not field-level encrypted.</w:t>
      </w:r>
    </w:p>
    <w:p>
      <w:pPr>
        <w:pStyle w:val="ListParagraph"/>
        <w:numPr>
          <w:ilvl w:val="0"/>
          <w:numId w:val="2"/>
        </w:numPr>
        <w:spacing w:after="80" w:line="264"/>
      </w:pPr>
      <w:r>
        <w:rPr>
          <w:color w:val="222222"/>
          <w:sz w:val="21"/>
          <w:szCs w:val="21"/>
        </w:rPr>
        <w:t xml:space="preserve">No rate limiting or CAPTCHA on the public, token-based candidate endpoints.</w:t>
      </w:r>
    </w:p>
    <w:p>
      <w:pPr>
        <w:pStyle w:val="ListParagraph"/>
        <w:numPr>
          <w:ilvl w:val="0"/>
          <w:numId w:val="2"/>
        </w:numPr>
        <w:spacing w:after="80" w:line="264"/>
      </w:pPr>
      <w:r>
        <w:rPr>
          <w:color w:val="222222"/>
          <w:sz w:val="21"/>
          <w:szCs w:val="21"/>
        </w:rPr>
        <w:t xml:space="preserve">Interview and pre-test scores that feed the readiness score are entered manually by HR, not automatically graded from the transcript/free-text answers.</w:t>
      </w:r>
    </w:p>
    <w:p>
      <w:pPr>
        <w:spacing w:after="160" w:line="276"/>
        <w:jc w:val="both"/>
      </w:pPr>
      <w:r>
        <w:rPr>
          <w:color w:val="222222"/>
          <w:sz w:val="21"/>
          <w:szCs w:val="21"/>
        </w:rPr>
        <w:t xml:space="preserve">A full, prioritized hardening checklist is maintained in RECOMMENDATIONS.md alongside the project source.</w:t>
      </w:r>
    </w:p>
    <w:p>
      <w:pPr>
        <w:pStyle w:val="Heading1"/>
        <w:pBdr>
          <w:bottom w:val="single" w:color="0F6E6A" w:sz="6" w:space="4"/>
        </w:pBdr>
        <w:spacing w:after="200" w:before="400"/>
      </w:pPr>
      <w:r>
        <w:rPr>
          <w:b/>
          <w:bCs/>
          <w:color w:val="13233F"/>
          <w:sz w:val="30"/>
          <w:szCs w:val="30"/>
        </w:rPr>
        <w:t xml:space="preserve">13. Conclusion</w:t>
      </w:r>
    </w:p>
    <w:p>
      <w:pPr>
        <w:spacing w:after="160" w:line="276"/>
        <w:jc w:val="both"/>
      </w:pPr>
      <w:r>
        <w:rPr>
          <w:color w:val="222222"/>
          <w:sz w:val="21"/>
          <w:szCs w:val="21"/>
        </w:rPr>
        <w:t xml:space="preserve">Tech-Life AI HR ties recruitment, promotion, AI-assisted interviewing, KPI-driven scoring, and audit-ready reporting into one CouchDB-backed platform — configurable per organization, adaptive per industry and level, and always leaving the final hiring or promotion call to a human being.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Tech-Life AI HR</w:t>
            </w:r>
          </w:p>
          <w:p>
            <w:pPr>
              <w:spacing w:after="0"/>
            </w:pPr>
            <w:r>
              <w:rPr>
                <w:color w:val="222222"/>
                <w:sz w:val="20"/>
                <w:szCs w:val="20"/>
              </w:rPr>
              <w:t xml:space="preserve">Helping HR and Management make decisions on candidate screening and promotion decisions — for every industry, at every level.</w:t>
            </w:r>
          </w:p>
        </w:tc>
      </w:tr>
    </w:tbl>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0F6E6A"/>
        <w:sz w:val="16"/>
        <w:szCs w:val="16"/>
      </w:rPr>
      <w:t xml:space="preserve">Tech-Life AI HR</w:t>
    </w:r>
    <w:r>
      <w:rPr>
        <w:color w:val="888888"/>
        <w:sz w:val="16"/>
        <w:szCs w:val="16"/>
      </w:rPr>
      <w:t xml:space="preserve">	Complete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2026-07-27T09:45:23.745Z</dcterms:created>
  <dcterms:modified xsi:type="dcterms:W3CDTF">2026-07-27T09:45:23.758Z</dcterms:modified>
</cp:coreProperties>
</file>

<file path=docProps/custom.xml><?xml version="1.0" encoding="utf-8"?>
<Properties xmlns="http://schemas.openxmlformats.org/officeDocument/2006/custom-properties" xmlns:vt="http://schemas.openxmlformats.org/officeDocument/2006/docPropsVTypes"/>
</file>