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val="false"/>
          <w:bCs w:val="false"/>
          <w:i w:val="false"/>
          <w:iCs w:val="false"/>
          <w:smallCaps w:val="false"/>
          <w:sz w:val="48"/>
          <w:szCs w:val="48"/>
        </w:rPr>
        <w:t xml:space="preserve">BlockSource: A Decentralized, Gamified Framework for Sustainable Open-Source Incentivization</w:t>
      </w:r>
    </w:p>
    <w:p>
      <w:pPr>
        <w:jc w:val="center"/>
      </w:pPr>
      <w:r>
        <w:rPr>
          <w:rFonts w:ascii="Times New Roman" w:cs="Times New Roman" w:eastAsia="Times New Roman" w:hAnsi="Times New Roman"/>
          <w:sz w:val="22"/>
          <w:szCs w:val="22"/>
        </w:rPr>
        <w:t xml:space="preserve">Anonymous Authors</w:t>
      </w:r>
    </w:p>
    <w:p>
      <w:pPr>
        <w:spacing w:after="360"/>
        <w:jc w:val="center"/>
      </w:pPr>
      <w:r>
        <w:rPr>
          <w:rFonts w:ascii="Times New Roman" w:cs="Times New Roman" w:eastAsia="Times New Roman" w:hAnsi="Times New Roman"/>
          <w:i/>
          <w:iCs/>
          <w:sz w:val="20"/>
          <w:szCs w:val="20"/>
        </w:rPr>
        <w:t xml:space="preserve">Affiliation withheld for double-blind review</w:t>
      </w:r>
    </w:p>
    <w:p>
      <w:pPr>
        <w:sectPr>
          <w:pgSz w:w="12240" w:h="15840" w:orient="portrait"/>
          <w:pgMar w:top="1080" w:right="900" w:bottom="1440" w:left="900" w:header="708" w:footer="708" w:gutter="0"/>
          <w:pgNumType/>
          <w:cols w:num="1"/>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val="false"/>
          <w:iCs w:val="false"/>
          <w:smallCaps w:val="false"/>
          <w:sz w:val="18"/>
          <w:szCs w:val="18"/>
        </w:rPr>
        <w:t xml:space="preserve">Open-source software (OSS) underpins nearly every commercial software stack, yet most maintainers are unpaid and recognition is decided by a few grant committees and sponsors. Existing mechanisms do not close the gap: Gitcoin’s quadratic-funding rounds are periodic, Coordinape’s peer allocation inherits popularity bias, SourceCred’s graph scores are opaque, and Google Summer of Code is seasonal. This paper reports on BlockSource, a system that converts GitHub activity into Experience Points (XP), 100 levels and UCoin (UCN) ERC-20 rewards on Ethereum. We deployed a prototype on the Sepolia testnet in April 2025 and use its public transaction record as ground truth. An audit of that prototype found that withdrawal requests were not tied to earned rewards, any wallet could claim any GitHub username, XP was computed in the browser and never reached the chain, claimed amounts were kept in </w:t>
      </w:r>
      <w:r>
        <w:rPr>
          <w:rFonts w:ascii="Courier New" w:cs="Courier New" w:eastAsia="Courier New" w:hAnsi="Courier New"/>
          <w:b/>
          <w:bCs/>
          <w:i w:val="false"/>
          <w:iCs w:val="false"/>
          <w:smallCaps w:val="false"/>
          <w:sz w:val="16"/>
          <w:szCs w:val="16"/>
        </w:rPr>
        <w:t xml:space="preserve">localStorage</w:t>
      </w:r>
      <w:r>
        <w:rPr>
          <w:rFonts w:ascii="Times New Roman" w:cs="Times New Roman" w:eastAsia="Times New Roman" w:hAnsi="Times New Roman"/>
          <w:b/>
          <w:bCs/>
          <w:i w:val="false"/>
          <w:iCs w:val="false"/>
          <w:smallCaps w:val="false"/>
          <w:sz w:val="18"/>
          <w:szCs w:val="18"/>
        </w:rPr>
        <w:t xml:space="preserve">, and the OAuth client secret was committed to the repository. BlockSource binds a numeric GitHub id to one wallet through an EIP-712 attestation, synchronises a monotonic all-time count of public contributions, computes levels and rewards (5·1.08</w:t>
      </w:r>
      <w:r>
        <w:rPr>
          <w:rFonts w:ascii="Times New Roman" w:cs="Times New Roman" w:eastAsia="Times New Roman" w:hAnsi="Times New Roman"/>
          <w:b/>
          <w:bCs/>
          <w:i/>
          <w:iCs/>
          <w:smallCaps w:val="false"/>
          <w:sz w:val="18"/>
          <w:szCs w:val="18"/>
          <w:vertAlign w:val="superscript"/>
        </w:rPr>
        <w:t xml:space="preserve">L</w:t>
      </w:r>
      <w:r>
        <w:rPr>
          <w:rFonts w:ascii="Times New Roman" w:cs="Times New Roman" w:eastAsia="Times New Roman" w:hAnsi="Times New Roman"/>
          <w:b/>
          <w:bCs/>
          <w:i w:val="false"/>
          <w:iCs w:val="false"/>
          <w:smallCaps w:val="false"/>
          <w:sz w:val="18"/>
          <w:szCs w:val="18"/>
        </w:rPr>
        <w:t xml:space="preserve"> UCN at level </w:t>
      </w:r>
      <w:r>
        <w:rPr>
          <w:rFonts w:ascii="Times New Roman" w:cs="Times New Roman" w:eastAsia="Times New Roman" w:hAnsi="Times New Roman"/>
          <w:b/>
          <w:bCs/>
          <w:i/>
          <w:iCs/>
          <w:smallCaps w:val="false"/>
          <w:sz w:val="18"/>
          <w:szCs w:val="18"/>
        </w:rPr>
        <w:t xml:space="preserve">L</w:t>
      </w:r>
      <w:r>
        <w:rPr>
          <w:rFonts w:ascii="Times New Roman" w:cs="Times New Roman" w:eastAsia="Times New Roman" w:hAnsi="Times New Roman"/>
          <w:b/>
          <w:bCs/>
          <w:i w:val="false"/>
          <w:iCs w:val="false"/>
          <w:smallCaps w:val="false"/>
          <w:sz w:val="18"/>
          <w:szCs w:val="18"/>
        </w:rPr>
        <w:t xml:space="preserve">) on chain, and caps withdrawals at the on-chain entitlement. Local gas measurements of the prototype’s sources match Sepolia receipts to within 0.6%. In BlockSource a batched sync costs 14,004 gas per user, a withdrawal request 18% less than in the prototype, and a first payout 35% more because claims are now recorded on chain. At 2026’s typical 0.5 gwei base fee every user operation costs under US$0.18; at 15–40 gwei the same operations cost US$0.57–14. We also show that the prototype’s 1,000,001-UCN supply could fund only 4.7 contributors to level 100.</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val="false"/>
          <w:iCs w:val="false"/>
          <w:smallCaps w:val="false"/>
          <w:sz w:val="18"/>
          <w:szCs w:val="18"/>
        </w:rPr>
        <w:t xml:space="preserve">Open-source software, Ethereum, smart contracts, gamification, tokenomics, DApps, security audit, gas optimization</w:t>
      </w:r>
    </w:p>
    <w:p>
      <w:pPr>
        <w:pStyle w:val="Heading1"/>
        <w:keepNext/>
        <w:spacing w:after="80" w:before="200"/>
        <w:jc w:val="center"/>
      </w:pPr>
      <w:r>
        <w:rPr>
          <w:rFonts w:ascii="Times New Roman" w:cs="Times New Roman" w:eastAsia="Times New Roman" w:hAnsi="Times New Roman"/>
          <w:smallCaps/>
        </w:rPr>
        <w:t xml:space="preserve">I. </w:t>
      </w:r>
      <w:r>
        <w:rPr>
          <w:rFonts w:ascii="Times New Roman" w:cs="Times New Roman" w:eastAsia="Times New Roman" w:hAnsi="Times New Roman"/>
          <w:b w:val="false"/>
          <w:bCs w:val="false"/>
          <w:i w:val="false"/>
          <w:iCs w:val="false"/>
          <w:smallCaps/>
        </w:rPr>
        <w:t xml:space="preserve">Introduction</w:t>
      </w:r>
    </w:p>
    <w:p>
      <w:pPr>
        <w:pStyle w:val="Heading2"/>
        <w:keepNext/>
        <w:spacing w:after="40" w:before="80"/>
      </w:pPr>
      <w:r>
        <w:rPr>
          <w:rFonts w:ascii="Times New Roman" w:cs="Times New Roman" w:eastAsia="Times New Roman" w:hAnsi="Times New Roman"/>
          <w:i/>
          <w:iCs/>
        </w:rPr>
        <w:t xml:space="preserve">A. </w:t>
      </w:r>
      <w:r>
        <w:rPr>
          <w:rFonts w:ascii="Times New Roman" w:cs="Times New Roman" w:eastAsia="Times New Roman" w:hAnsi="Times New Roman"/>
          <w:b w:val="false"/>
          <w:bCs w:val="false"/>
          <w:i/>
          <w:iCs/>
          <w:smallCaps w:val="false"/>
        </w:rPr>
        <w:t xml:space="preserve">The economics of shared infrastructure</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value of OSS is lopsided in a way that classical public-goods theory predicts. Hoffmann, Nagle and Zhou estimate that recreating the OSS in widespread use would cost about US$4.15 billion, while the value of that software to the firms that use it is in the order of US$8.8 trillion; firms would spend roughly 3.5 times more on software without it [1]. The Census II study of production dependencies shows that this value rests on a short list of packages, many of them maintained by a handful of people [2]. Career signalling [3] rewards visible, novel work, not the slow upkeep of a library that thousands of projects import. Eghbal describes this maintenance work as invisible labour on which public digital infrastructure depends [4], [5].</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Heartbleed, a bounds-check omission in OpenSSL, exposed a large fraction of HTTPS servers, and patching was still incomplete weeks after disclosure [6]. Log4Shell (CVE-2021-44228) was scanned for and exploited within hours of publication, across a library embedded in an enormous number of Java systems [7]. Both libraries were volunteer-maintained without reliable funding. On the human side, Raman </w:t>
      </w:r>
      <w:r>
        <w:rPr>
          <w:rFonts w:ascii="Times New Roman" w:cs="Times New Roman" w:eastAsia="Times New Roman" w:hAnsi="Times New Roman"/>
          <w:b w:val="false"/>
          <w:bCs w:val="false"/>
          <w:i/>
          <w:iCs/>
          <w:smallCaps w:val="false"/>
        </w:rPr>
        <w:t xml:space="preserve">et al.</w:t>
      </w:r>
      <w:r>
        <w:rPr>
          <w:rFonts w:ascii="Times New Roman" w:cs="Times New Roman" w:eastAsia="Times New Roman" w:hAnsi="Times New Roman"/>
          <w:b w:val="false"/>
          <w:bCs w:val="false"/>
          <w:i w:val="false"/>
          <w:iCs w:val="false"/>
          <w:smallCaps w:val="false"/>
        </w:rPr>
        <w:t xml:space="preserve"> document toxic interactions and stress as drivers of maintainer burnout [8], and Miller </w:t>
      </w:r>
      <w:r>
        <w:rPr>
          <w:rFonts w:ascii="Times New Roman" w:cs="Times New Roman" w:eastAsia="Times New Roman" w:hAnsi="Times New Roman"/>
          <w:b w:val="false"/>
          <w:bCs w:val="false"/>
          <w:i/>
          <w:iCs/>
          <w:smallCaps w:val="false"/>
        </w:rPr>
        <w:t xml:space="preserve">et al.</w:t>
      </w:r>
      <w:r>
        <w:rPr>
          <w:rFonts w:ascii="Times New Roman" w:cs="Times New Roman" w:eastAsia="Times New Roman" w:hAnsi="Times New Roman"/>
          <w:b w:val="false"/>
          <w:bCs w:val="false"/>
          <w:i w:val="false"/>
          <w:iCs w:val="false"/>
          <w:smallCaps w:val="false"/>
        </w:rPr>
        <w:t xml:space="preserve"> find that contributors frequently leave because of shifting priorities and the absence of a reason to stay [9]. Newcomers face further barriers [10]. This is the tragedy of the commons applied to dependency graphs: each consumer benefits from extra maintenance effort, and no single consumer has an incentive to pay for it.</w:t>
      </w:r>
    </w:p>
    <w:p>
      <w:pPr>
        <w:pStyle w:val="Heading2"/>
        <w:keepNext/>
        <w:spacing w:after="40" w:before="80"/>
      </w:pPr>
      <w:r>
        <w:rPr>
          <w:rFonts w:ascii="Times New Roman" w:cs="Times New Roman" w:eastAsia="Times New Roman" w:hAnsi="Times New Roman"/>
          <w:i/>
          <w:iCs/>
        </w:rPr>
        <w:t xml:space="preserve">B. </w:t>
      </w:r>
      <w:r>
        <w:rPr>
          <w:rFonts w:ascii="Times New Roman" w:cs="Times New Roman" w:eastAsia="Times New Roman" w:hAnsi="Times New Roman"/>
          <w:b w:val="false"/>
          <w:bCs w:val="false"/>
          <w:i/>
          <w:iCs/>
          <w:smallCaps w:val="false"/>
        </w:rPr>
        <w:t xml:space="preserve">Limits of current incentive mechanisms</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Several mechanisms try to route money or reputation back to contributors. They differ in how often they pay, how they verify work, and who decides.</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Donations and sponsorship.</w:t>
      </w:r>
      <w:r>
        <w:rPr>
          <w:rFonts w:ascii="Times New Roman" w:cs="Times New Roman" w:eastAsia="Times New Roman" w:hAnsi="Times New Roman"/>
          <w:b w:val="false"/>
          <w:bCs w:val="false"/>
          <w:i w:val="false"/>
          <w:iCs w:val="false"/>
          <w:smallCaps w:val="false"/>
        </w:rPr>
        <w:t xml:space="preserve"> Overney </w:t>
      </w:r>
      <w:r>
        <w:rPr>
          <w:rFonts w:ascii="Times New Roman" w:cs="Times New Roman" w:eastAsia="Times New Roman" w:hAnsi="Times New Roman"/>
          <w:b w:val="false"/>
          <w:bCs w:val="false"/>
          <w:i/>
          <w:iCs/>
          <w:smallCaps w:val="false"/>
        </w:rPr>
        <w:t xml:space="preserve">et al.</w:t>
      </w:r>
      <w:r>
        <w:rPr>
          <w:rFonts w:ascii="Times New Roman" w:cs="Times New Roman" w:eastAsia="Times New Roman" w:hAnsi="Times New Roman"/>
          <w:b w:val="false"/>
          <w:bCs w:val="false"/>
          <w:i w:val="false"/>
          <w:iCs w:val="false"/>
          <w:smallCaps w:val="false"/>
        </w:rPr>
        <w:t xml:space="preserve"> studied donation platforms across npm and GitHub and found that donations are rare, concentrated on already-popular projects, and seldom large enough to change maintainer behaviour [11]. GitHub Sponsors lowered the friction of recurring payments; sponsored developers are more active, but receiving sponsorship correlates strongly with community position [12]. Bitcoin donation addresses placed in repositories collected only around US$8.3 M over a decade across GitHub [13].</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Bounties.</w:t>
      </w:r>
      <w:r>
        <w:rPr>
          <w:rFonts w:ascii="Times New Roman" w:cs="Times New Roman" w:eastAsia="Times New Roman" w:hAnsi="Times New Roman"/>
          <w:b w:val="false"/>
          <w:bCs w:val="false"/>
          <w:i w:val="false"/>
          <w:iCs w:val="false"/>
          <w:smallCaps w:val="false"/>
        </w:rPr>
        <w:t xml:space="preserve"> Bountysource attached money to individual issues. Zhou </w:t>
      </w:r>
      <w:r>
        <w:rPr>
          <w:rFonts w:ascii="Times New Roman" w:cs="Times New Roman" w:eastAsia="Times New Roman" w:hAnsi="Times New Roman"/>
          <w:b w:val="false"/>
          <w:bCs w:val="false"/>
          <w:i/>
          <w:iCs/>
          <w:smallCaps w:val="false"/>
        </w:rPr>
        <w:t xml:space="preserve">et al.</w:t>
      </w:r>
      <w:r>
        <w:rPr>
          <w:rFonts w:ascii="Times New Roman" w:cs="Times New Roman" w:eastAsia="Times New Roman" w:hAnsi="Times New Roman"/>
          <w:b w:val="false"/>
          <w:bCs w:val="false"/>
          <w:i w:val="false"/>
          <w:iCs w:val="false"/>
          <w:smallCaps w:val="false"/>
        </w:rPr>
        <w:t xml:space="preserve"> report that bounty value is only weakly associated with whether an issue is resolved, and that bounties on long-standing issues were addressed less often [14]. Dework brings bounties and task boards to Web3 communities through Discord, but every task is created and priced by hand [15], which does not scale to the volume of small changes in an active repository.</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Matching funds.</w:t>
      </w:r>
      <w:r>
        <w:rPr>
          <w:rFonts w:ascii="Times New Roman" w:cs="Times New Roman" w:eastAsia="Times New Roman" w:hAnsi="Times New Roman"/>
          <w:b w:val="false"/>
          <w:bCs w:val="false"/>
          <w:i w:val="false"/>
          <w:iCs w:val="false"/>
          <w:smallCaps w:val="false"/>
        </w:rPr>
        <w:t xml:space="preserve"> Gitcoin Grants implements quadratic funding [16]: donations are matched in proportion to the square of the sum of square roots of contributions, which favours broad support over large single donors. The mechanism is theoretically attractive, but it runs in discrete rounds, depends on Sybil defences around donor identity [17], and pays projects, not individual commits.</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Algorithmic and peer reputation.</w:t>
      </w:r>
      <w:r>
        <w:rPr>
          <w:rFonts w:ascii="Times New Roman" w:cs="Times New Roman" w:eastAsia="Times New Roman" w:hAnsi="Times New Roman"/>
          <w:b w:val="false"/>
          <w:bCs w:val="false"/>
          <w:i w:val="false"/>
          <w:iCs w:val="false"/>
          <w:smallCaps w:val="false"/>
        </w:rPr>
        <w:t xml:space="preserve"> SourceCred builds a contribution graph and runs an algorithm similar to PageRank to assign “Cred”, which can then drive token distributions [18]. Its weights are configurable per community, which makes it flexible and also hard to audit, and graph-based scores reward the creation of edges as much as useful work. Coordinape distributes GIVE tokens through peer allocation in fixed epochs [19]; it captures tacit knowledge of who helped whom, but peer allocation inherits popularity effects and requires every member to allocate every epoch.</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Programmes.</w:t>
      </w:r>
      <w:r>
        <w:rPr>
          <w:rFonts w:ascii="Times New Roman" w:cs="Times New Roman" w:eastAsia="Times New Roman" w:hAnsi="Times New Roman"/>
          <w:b w:val="false"/>
          <w:bCs w:val="false"/>
          <w:i w:val="false"/>
          <w:iCs w:val="false"/>
          <w:smallCaps w:val="false"/>
        </w:rPr>
        <w:t xml:space="preserve"> Google Summer of Code provides mentorship and a stipend, and Silva </w:t>
      </w:r>
      <w:r>
        <w:rPr>
          <w:rFonts w:ascii="Times New Roman" w:cs="Times New Roman" w:eastAsia="Times New Roman" w:hAnsi="Times New Roman"/>
          <w:b w:val="false"/>
          <w:bCs w:val="false"/>
          <w:i/>
          <w:iCs/>
          <w:smallCaps w:val="false"/>
        </w:rPr>
        <w:t xml:space="preserve">et al.</w:t>
      </w:r>
      <w:r>
        <w:rPr>
          <w:rFonts w:ascii="Times New Roman" w:cs="Times New Roman" w:eastAsia="Times New Roman" w:hAnsi="Times New Roman"/>
          <w:b w:val="false"/>
          <w:bCs w:val="false"/>
          <w:i w:val="false"/>
          <w:iCs w:val="false"/>
          <w:smallCaps w:val="false"/>
        </w:rPr>
        <w:t xml:space="preserve"> show that it can produce lasting engagement [20]. It is also annual, capacity-limited, and centrally administered.</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Gamification.</w:t>
      </w:r>
      <w:r>
        <w:rPr>
          <w:rFonts w:ascii="Times New Roman" w:cs="Times New Roman" w:eastAsia="Times New Roman" w:hAnsi="Times New Roman"/>
          <w:b w:val="false"/>
          <w:bCs w:val="false"/>
          <w:i w:val="false"/>
          <w:iCs w:val="false"/>
          <w:smallCaps w:val="false"/>
        </w:rPr>
        <w:t xml:space="preserve"> Game elements such as points, levels and badges [21] have a mixed but real effect on behaviour [22]. On Stack Overflow, badges shift user activity measurably as users approach a threshold [23], [24], and gamification has been applied across software engineering tasks [25]. GitHub’s own experience is a caution: when GitHub removed public streak counters, long streaks and weekend activity dropped, which means the counters had been shaping when people worked [26].</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Table I summarises the comparison along five axes. The gap that BlockSource targets is the combination of frequent, automatic payouts, a public and machine-checkable record, and a reputation that is portable because it lives on a public ledger rather than in a vendor database [27].</w:t>
      </w:r>
    </w:p>
    <w:p>
      <w:pPr>
        <w:sectPr>
          <w:type w:val="continuous"/>
          <w:pgSz w:w="12240" w:h="15840" w:orient="portrait"/>
          <w:pgMar w:top="1080" w:right="900" w:bottom="1440" w:left="900" w:header="708" w:footer="708" w:gutter="0"/>
          <w:pgNumType/>
          <w:cols w:space="288" w:num="2" w:equalWidth="true"/>
          <w:docGrid w:linePitch="360"/>
        </w:sectPr>
      </w:pPr>
    </w:p>
    <w:p>
      <w:pPr>
        <w:keepNext/>
        <w:spacing w:after="0" w:before="160"/>
        <w:jc w:val="center"/>
      </w:pPr>
      <w:r>
        <w:rPr>
          <w:rFonts w:ascii="Times New Roman" w:cs="Times New Roman" w:eastAsia="Times New Roman" w:hAnsi="Times New Roman"/>
          <w:sz w:val="16"/>
          <w:szCs w:val="16"/>
        </w:rPr>
        <w:t xml:space="preserve">TABLE I</w:t>
      </w:r>
    </w:p>
    <w:p>
      <w:pPr>
        <w:keepNext/>
        <w:spacing w:after="80"/>
        <w:jc w:val="center"/>
      </w:pPr>
      <w:r>
        <w:rPr>
          <w:rFonts w:ascii="Times New Roman" w:cs="Times New Roman" w:eastAsia="Times New Roman" w:hAnsi="Times New Roman"/>
          <w:b w:val="false"/>
          <w:bCs w:val="false"/>
          <w:i w:val="false"/>
          <w:iCs w:val="false"/>
          <w:smallCaps/>
          <w:sz w:val="16"/>
          <w:szCs w:val="16"/>
        </w:rPr>
        <w:t xml:space="preserve">Comparison of OSS incentive mechanisms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473"/>
        <w:gridCol w:w="1473"/>
        <w:gridCol w:w="2370"/>
        <w:gridCol w:w="2114"/>
        <w:gridCol w:w="1601"/>
        <w:gridCol w:w="1409"/>
      </w:tblGrid>
      <w:tr>
        <w:trPr>
          <w:cantSplit/>
          <w:tblHeader/>
        </w:trPr>
        <w:tc>
          <w:tcPr>
            <w:tcW w:type="dxa" w:w="1473"/>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Mechanism</w:t>
            </w:r>
          </w:p>
        </w:tc>
        <w:tc>
          <w:tcPr>
            <w:tcW w:type="dxa" w:w="1473"/>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Incentive frequency</w:t>
            </w:r>
          </w:p>
        </w:tc>
        <w:tc>
          <w:tcPr>
            <w:tcW w:type="dxa" w:w="2370"/>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Verification mechanism</w:t>
            </w:r>
          </w:p>
        </w:tc>
        <w:tc>
          <w:tcPr>
            <w:tcW w:type="dxa" w:w="2114"/>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Decentralisation</w:t>
            </w:r>
          </w:p>
        </w:tc>
        <w:tc>
          <w:tcPr>
            <w:tcW w:type="dxa" w:w="1601"/>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Reputation portability</w:t>
            </w:r>
          </w:p>
        </w:tc>
        <w:tc>
          <w:tcPr>
            <w:tcW w:type="dxa" w:w="1409"/>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Gamification</w:t>
            </w:r>
          </w:p>
        </w:tc>
      </w:tr>
      <w:tr>
        <w:trPr>
          <w:cantSplit/>
          <w:tblHeader w:val="off"/>
        </w:trPr>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Gitcoin Grants [16], [17]</w:t>
            </w:r>
          </w:p>
        </w:tc>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Periodic funding rounds</w:t>
            </w:r>
          </w:p>
        </w:tc>
        <w:tc>
          <w:tcPr>
            <w:tcW w:type="dxa" w:w="237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Donor votes, QF matching; Passport for donor Sybil checks</w:t>
            </w:r>
          </w:p>
        </w:tc>
        <w:tc>
          <w:tcPr>
            <w:tcW w:type="dxa" w:w="211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Partial: on-chain payouts, off-chain round curation</w:t>
            </w:r>
          </w:p>
        </w:tc>
        <w:tc>
          <w:tcPr>
            <w:tcW w:type="dxa" w:w="160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Per round, project-level</w:t>
            </w:r>
          </w:p>
        </w:tc>
        <w:tc>
          <w:tcPr>
            <w:tcW w:type="dxa" w:w="140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None</w:t>
            </w:r>
          </w:p>
        </w:tc>
      </w:tr>
      <w:tr>
        <w:trPr>
          <w:cantSplit/>
          <w:tblHeader w:val="off"/>
        </w:trPr>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Coordinape [19]</w:t>
            </w:r>
          </w:p>
        </w:tc>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Per epoch (weeks)</w:t>
            </w:r>
          </w:p>
        </w:tc>
        <w:tc>
          <w:tcPr>
            <w:tcW w:type="dxa" w:w="237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Peer allocation of GIVE</w:t>
            </w:r>
          </w:p>
        </w:tc>
        <w:tc>
          <w:tcPr>
            <w:tcW w:type="dxa" w:w="211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Partial: on-chain distribution, circle admins</w:t>
            </w:r>
          </w:p>
        </w:tc>
        <w:tc>
          <w:tcPr>
            <w:tcW w:type="dxa" w:w="160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Within circle</w:t>
            </w:r>
          </w:p>
        </w:tc>
        <w:tc>
          <w:tcPr>
            <w:tcW w:type="dxa" w:w="140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Minimal</w:t>
            </w:r>
          </w:p>
        </w:tc>
      </w:tr>
      <w:tr>
        <w:trPr>
          <w:cantSplit/>
          <w:tblHeader w:val="off"/>
        </w:trPr>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SourceCred [18]</w:t>
            </w:r>
          </w:p>
        </w:tc>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Configurable intervals</w:t>
            </w:r>
          </w:p>
        </w:tc>
        <w:tc>
          <w:tcPr>
            <w:tcW w:type="dxa" w:w="237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Graph algorithm over activity</w:t>
            </w:r>
          </w:p>
        </w:tc>
        <w:tc>
          <w:tcPr>
            <w:tcW w:type="dxa" w:w="211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Self-hosted instance, operator-tuned weights</w:t>
            </w:r>
          </w:p>
        </w:tc>
        <w:tc>
          <w:tcPr>
            <w:tcW w:type="dxa" w:w="160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Within instance</w:t>
            </w:r>
          </w:p>
        </w:tc>
        <w:tc>
          <w:tcPr>
            <w:tcW w:type="dxa" w:w="140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Scores, no levels</w:t>
            </w:r>
          </w:p>
        </w:tc>
      </w:tr>
      <w:tr>
        <w:trPr>
          <w:cantSplit/>
          <w:tblHeader w:val="off"/>
        </w:trPr>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GSoC [20]</w:t>
            </w:r>
          </w:p>
        </w:tc>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Annual</w:t>
            </w:r>
          </w:p>
        </w:tc>
        <w:tc>
          <w:tcPr>
            <w:tcW w:type="dxa" w:w="237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Mentor evaluation</w:t>
            </w:r>
          </w:p>
        </w:tc>
        <w:tc>
          <w:tcPr>
            <w:tcW w:type="dxa" w:w="211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Centralised (Google)</w:t>
            </w:r>
          </w:p>
        </w:tc>
        <w:tc>
          <w:tcPr>
            <w:tcW w:type="dxa" w:w="160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CV line, not machine-readable</w:t>
            </w:r>
          </w:p>
        </w:tc>
        <w:tc>
          <w:tcPr>
            <w:tcW w:type="dxa" w:w="140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None</w:t>
            </w:r>
          </w:p>
        </w:tc>
      </w:tr>
      <w:tr>
        <w:trPr>
          <w:cantSplit/>
          <w:tblHeader w:val="off"/>
        </w:trPr>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Dework [15]</w:t>
            </w:r>
          </w:p>
        </w:tc>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Per task</w:t>
            </w:r>
          </w:p>
        </w:tc>
        <w:tc>
          <w:tcPr>
            <w:tcW w:type="dxa" w:w="237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Manual reviewer sign-off</w:t>
            </w:r>
          </w:p>
        </w:tc>
        <w:tc>
          <w:tcPr>
            <w:tcW w:type="dxa" w:w="211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Partial: wallet payouts, central task server</w:t>
            </w:r>
          </w:p>
        </w:tc>
        <w:tc>
          <w:tcPr>
            <w:tcW w:type="dxa" w:w="160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Platform profile</w:t>
            </w:r>
          </w:p>
        </w:tc>
        <w:tc>
          <w:tcPr>
            <w:tcW w:type="dxa" w:w="140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Minimal</w:t>
            </w:r>
          </w:p>
        </w:tc>
      </w:tr>
      <w:tr>
        <w:trPr>
          <w:cantSplit/>
          <w:tblHeader w:val="off"/>
        </w:trPr>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GitHub Sponsors [12]</w:t>
            </w:r>
          </w:p>
        </w:tc>
        <w:tc>
          <w:tcPr>
            <w:tcW w:type="dxa" w:w="147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Monthly</w:t>
            </w:r>
          </w:p>
        </w:tc>
        <w:tc>
          <w:tcPr>
            <w:tcW w:type="dxa" w:w="237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None (gift)</w:t>
            </w:r>
          </w:p>
        </w:tc>
        <w:tc>
          <w:tcPr>
            <w:tcW w:type="dxa" w:w="211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Centralised (GitHub)</w:t>
            </w:r>
          </w:p>
        </w:tc>
        <w:tc>
          <w:tcPr>
            <w:tcW w:type="dxa" w:w="160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GitHub only</w:t>
            </w:r>
          </w:p>
        </w:tc>
        <w:tc>
          <w:tcPr>
            <w:tcW w:type="dxa" w:w="140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None</w:t>
            </w:r>
          </w:p>
        </w:tc>
      </w:tr>
      <w:tr>
        <w:trPr>
          <w:cantSplit/>
          <w:tblHeader w:val="off"/>
        </w:trPr>
        <w:tc>
          <w:tcPr>
            <w:tcW w:type="dxa" w:w="1473"/>
            <w:tcBorders>
              <w:top w:val="none" w:color="FFFFFF" w:sz="0"/>
              <w:left w:val="none" w:color="FFFFFF" w:sz="0"/>
              <w:bottom w:val="single" w:color="000000" w:sz="4"/>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Bountysource [14]</w:t>
            </w:r>
          </w:p>
        </w:tc>
        <w:tc>
          <w:tcPr>
            <w:tcW w:type="dxa" w:w="1473"/>
            <w:tcBorders>
              <w:top w:val="none" w:color="FFFFFF" w:sz="0"/>
              <w:left w:val="none" w:color="FFFFFF" w:sz="0"/>
              <w:bottom w:val="single" w:color="000000" w:sz="4"/>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Per issue</w:t>
            </w:r>
          </w:p>
        </w:tc>
        <w:tc>
          <w:tcPr>
            <w:tcW w:type="dxa" w:w="2370"/>
            <w:tcBorders>
              <w:top w:val="none" w:color="FFFFFF" w:sz="0"/>
              <w:left w:val="none" w:color="FFFFFF" w:sz="0"/>
              <w:bottom w:val="single" w:color="000000" w:sz="4"/>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Backer acceptance</w:t>
            </w:r>
          </w:p>
        </w:tc>
        <w:tc>
          <w:tcPr>
            <w:tcW w:type="dxa" w:w="2114"/>
            <w:tcBorders>
              <w:top w:val="none" w:color="FFFFFF" w:sz="0"/>
              <w:left w:val="none" w:color="FFFFFF" w:sz="0"/>
              <w:bottom w:val="single" w:color="000000" w:sz="4"/>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Centralised</w:t>
            </w:r>
          </w:p>
        </w:tc>
        <w:tc>
          <w:tcPr>
            <w:tcW w:type="dxa" w:w="1601"/>
            <w:tcBorders>
              <w:top w:val="none" w:color="FFFFFF" w:sz="0"/>
              <w:left w:val="none" w:color="FFFFFF" w:sz="0"/>
              <w:bottom w:val="single" w:color="000000" w:sz="4"/>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Platform only</w:t>
            </w:r>
          </w:p>
        </w:tc>
        <w:tc>
          <w:tcPr>
            <w:tcW w:type="dxa" w:w="1409"/>
            <w:tcBorders>
              <w:top w:val="none" w:color="FFFFFF" w:sz="0"/>
              <w:left w:val="none" w:color="FFFFFF" w:sz="0"/>
              <w:bottom w:val="single" w:color="000000" w:sz="4"/>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None</w:t>
            </w:r>
          </w:p>
        </w:tc>
      </w:tr>
      <w:tr>
        <w:trPr>
          <w:cantSplit/>
          <w:tblHeader w:val="off"/>
        </w:trPr>
        <w:tc>
          <w:tcPr>
            <w:tcW w:type="dxa" w:w="1473"/>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bCs/>
                <w:i w:val="false"/>
                <w:iCs w:val="false"/>
                <w:smallCaps w:val="false"/>
                <w:sz w:val="16"/>
                <w:szCs w:val="16"/>
              </w:rPr>
              <w:t xml:space="preserve">BlockSource</w:t>
            </w:r>
          </w:p>
        </w:tc>
        <w:tc>
          <w:tcPr>
            <w:tcW w:type="dxa" w:w="1473"/>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bCs/>
                <w:i w:val="false"/>
                <w:iCs w:val="false"/>
                <w:smallCaps w:val="false"/>
                <w:sz w:val="16"/>
                <w:szCs w:val="16"/>
              </w:rPr>
              <w:t xml:space="preserve">Per sync</w:t>
            </w:r>
            <w:r>
              <w:rPr>
                <w:rFonts w:ascii="Times New Roman" w:cs="Times New Roman" w:eastAsia="Times New Roman" w:hAnsi="Times New Roman"/>
                <w:b w:val="false"/>
                <w:bCs w:val="false"/>
                <w:i w:val="false"/>
                <w:iCs w:val="false"/>
                <w:smallCaps w:val="false"/>
                <w:sz w:val="16"/>
                <w:szCs w:val="16"/>
              </w:rPr>
              <w:t xml:space="preserve"> (on demand, and every 6 h)</w:t>
            </w:r>
          </w:p>
        </w:tc>
        <w:tc>
          <w:tcPr>
            <w:tcW w:type="dxa" w:w="2370"/>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bCs/>
                <w:i w:val="false"/>
                <w:iCs w:val="false"/>
                <w:smallCaps w:val="false"/>
                <w:sz w:val="16"/>
                <w:szCs w:val="16"/>
              </w:rPr>
              <w:t xml:space="preserve">OAuth-attested identity bound on chain; all-time public counts that anyone can recompute; monotonic sync</w:t>
            </w:r>
          </w:p>
        </w:tc>
        <w:tc>
          <w:tcPr>
            <w:tcW w:type="dxa" w:w="2114"/>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bCs/>
                <w:i w:val="false"/>
                <w:iCs w:val="false"/>
                <w:smallCaps w:val="false"/>
                <w:sz w:val="16"/>
                <w:szCs w:val="16"/>
              </w:rPr>
              <w:t xml:space="preserve">On-chain ledger and entitlements; attester and payout review are trusted roles (Sec. III-A)</w:t>
            </w:r>
          </w:p>
        </w:tc>
        <w:tc>
          <w:tcPr>
            <w:tcW w:type="dxa" w:w="1601"/>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bCs/>
                <w:i w:val="false"/>
                <w:iCs w:val="false"/>
                <w:smallCaps w:val="false"/>
                <w:sz w:val="16"/>
                <w:szCs w:val="16"/>
              </w:rPr>
              <w:t xml:space="preserve">Public ledger, any EVM reader</w:t>
            </w:r>
          </w:p>
        </w:tc>
        <w:tc>
          <w:tcPr>
            <w:tcW w:type="dxa" w:w="1409"/>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bCs/>
                <w:i w:val="false"/>
                <w:iCs w:val="false"/>
                <w:smallCaps w:val="false"/>
                <w:sz w:val="16"/>
                <w:szCs w:val="16"/>
              </w:rPr>
              <w:t xml:space="preserve">XP, 100 levels, 21 titles, role</w:t>
            </w:r>
          </w:p>
        </w:tc>
      </w:tr>
    </w:tbl>
    <w:p>
      <w:pPr>
        <w:spacing w:after="120"/>
      </w:pPr>
    </w:p>
    <w:p>
      <w:pPr>
        <w:sectPr>
          <w:type w:val="continuous"/>
          <w:pgSz w:w="12240" w:h="15840" w:orient="portrait"/>
          <w:pgMar w:top="1080" w:right="900" w:bottom="1440" w:left="900" w:header="708" w:footer="708" w:gutter="0"/>
          <w:pgNumType/>
          <w:cols w:num="1"/>
          <w:docGrid w:linePitch="360"/>
        </w:sectPr>
      </w:pPr>
    </w:p>
    <w:p>
      <w:pPr>
        <w:pStyle w:val="Heading2"/>
        <w:keepNext/>
        <w:spacing w:after="40" w:before="80"/>
      </w:pPr>
      <w:r>
        <w:rPr>
          <w:rFonts w:ascii="Times New Roman" w:cs="Times New Roman" w:eastAsia="Times New Roman" w:hAnsi="Times New Roman"/>
          <w:i/>
          <w:iCs/>
        </w:rPr>
        <w:t xml:space="preserve">C. </w:t>
      </w:r>
      <w:r>
        <w:rPr>
          <w:rFonts w:ascii="Times New Roman" w:cs="Times New Roman" w:eastAsia="Times New Roman" w:hAnsi="Times New Roman"/>
          <w:b w:val="false"/>
          <w:bCs w:val="false"/>
          <w:i/>
          <w:iCs/>
          <w:smallCaps w:val="false"/>
        </w:rPr>
        <w:t xml:space="preserve">Contributions</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This paper is a report on a working system rather than a proposal. It makes four contributions.</w:t>
      </w:r>
    </w:p>
    <w:p>
      <w:pPr>
        <w:pStyle w:val="ListParagraph"/>
        <w:numPr>
          <w:ilvl w:val="0"/>
          <w:numId w:val="2"/>
        </w:numPr>
        <w:spacing w:after="0"/>
        <w:jc w:val="both"/>
      </w:pPr>
      <w:r>
        <w:rPr>
          <w:rFonts w:ascii="Times New Roman" w:cs="Times New Roman" w:eastAsia="Times New Roman" w:hAnsi="Times New Roman"/>
          <w:b/>
          <w:bCs/>
          <w:i w:val="false"/>
          <w:iCs w:val="false"/>
          <w:smallCaps w:val="false"/>
        </w:rPr>
        <w:t xml:space="preserve">A deployed baseline and its audit.</w:t>
      </w:r>
      <w:r>
        <w:rPr>
          <w:rFonts w:ascii="Times New Roman" w:cs="Times New Roman" w:eastAsia="Times New Roman" w:hAnsi="Times New Roman"/>
          <w:b w:val="false"/>
          <w:bCs w:val="false"/>
          <w:i w:val="false"/>
          <w:iCs w:val="false"/>
          <w:smallCaps w:val="false"/>
        </w:rPr>
        <w:t xml:space="preserve"> We describe the BlockSource prototype as it was built and deployed on Sepolia, use its on-chain history as evidence, and reproduce each weakness with an executable test (Sec. II).</w:t>
      </w:r>
    </w:p>
    <w:p>
      <w:pPr>
        <w:pStyle w:val="ListParagraph"/>
        <w:numPr>
          <w:ilvl w:val="0"/>
          <w:numId w:val="2"/>
        </w:numPr>
        <w:spacing w:after="0"/>
        <w:jc w:val="both"/>
      </w:pPr>
      <w:r>
        <w:rPr>
          <w:rFonts w:ascii="Times New Roman" w:cs="Times New Roman" w:eastAsia="Times New Roman" w:hAnsi="Times New Roman"/>
          <w:b/>
          <w:bCs/>
          <w:i w:val="false"/>
          <w:iCs w:val="false"/>
          <w:smallCaps w:val="false"/>
        </w:rPr>
        <w:t xml:space="preserve">A hardened design</w:t>
      </w:r>
      <w:r>
        <w:rPr>
          <w:rFonts w:ascii="Times New Roman" w:cs="Times New Roman" w:eastAsia="Times New Roman" w:hAnsi="Times New Roman"/>
          <w:b w:val="false"/>
          <w:bCs w:val="false"/>
          <w:i w:val="false"/>
          <w:iCs w:val="false"/>
          <w:smallCaps w:val="false"/>
        </w:rPr>
        <w:t xml:space="preserve"> with an EIP-712 identity binding [28], a monotonic count-based XP sync that is idempotent by construction, and withdrawals capped by on-chain entitlement (Sec. III).</w:t>
      </w:r>
    </w:p>
    <w:p>
      <w:pPr>
        <w:pStyle w:val="ListParagraph"/>
        <w:numPr>
          <w:ilvl w:val="0"/>
          <w:numId w:val="2"/>
        </w:numPr>
        <w:spacing w:after="0"/>
        <w:jc w:val="both"/>
      </w:pPr>
      <w:r>
        <w:rPr>
          <w:rFonts w:ascii="Times New Roman" w:cs="Times New Roman" w:eastAsia="Times New Roman" w:hAnsi="Times New Roman"/>
          <w:b/>
          <w:bCs/>
          <w:i w:val="false"/>
          <w:iCs w:val="false"/>
          <w:smallCaps w:val="false"/>
        </w:rPr>
        <w:t xml:space="preserve">A closed-form progression and reward model</w:t>
      </w:r>
      <w:r>
        <w:rPr>
          <w:rFonts w:ascii="Times New Roman" w:cs="Times New Roman" w:eastAsia="Times New Roman" w:hAnsi="Times New Roman"/>
          <w:b w:val="false"/>
          <w:bCs w:val="false"/>
          <w:i w:val="false"/>
          <w:iCs w:val="false"/>
          <w:smallCaps w:val="false"/>
        </w:rPr>
        <w:t xml:space="preserve"> using the parameters actually shipped, with an exact integer level inverse, emission bounds for both token supplies, and the per-contribution yield (Sec. III-B).</w:t>
      </w:r>
    </w:p>
    <w:p>
      <w:pPr>
        <w:pStyle w:val="ListParagraph"/>
        <w:numPr>
          <w:ilvl w:val="0"/>
          <w:numId w:val="2"/>
        </w:numPr>
        <w:spacing w:after="0"/>
        <w:jc w:val="both"/>
      </w:pPr>
      <w:r>
        <w:rPr>
          <w:rFonts w:ascii="Times New Roman" w:cs="Times New Roman" w:eastAsia="Times New Roman" w:hAnsi="Times New Roman"/>
          <w:b/>
          <w:bCs/>
          <w:i w:val="false"/>
          <w:iCs w:val="false"/>
          <w:smallCaps w:val="false"/>
        </w:rPr>
        <w:t xml:space="preserve">An evaluation</w:t>
      </w:r>
      <w:r>
        <w:rPr>
          <w:rFonts w:ascii="Times New Roman" w:cs="Times New Roman" w:eastAsia="Times New Roman" w:hAnsi="Times New Roman"/>
          <w:b w:val="false"/>
          <w:bCs w:val="false"/>
          <w:i w:val="false"/>
          <w:iCs w:val="false"/>
          <w:smallCaps w:val="false"/>
        </w:rPr>
        <w:t xml:space="preserve"> that validates local gas measurement against Sepolia receipts and then compares the prototype and the hardened design on gas, throughput, latency and treasury capacity (Sec. IV).</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Section V discusses limitations and Section VI concludes.</w:t>
      </w:r>
    </w:p>
    <w:p>
      <w:pPr>
        <w:pStyle w:val="Heading1"/>
        <w:keepNext/>
        <w:spacing w:after="80" w:before="200"/>
        <w:jc w:val="center"/>
      </w:pPr>
      <w:r>
        <w:rPr>
          <w:rFonts w:ascii="Times New Roman" w:cs="Times New Roman" w:eastAsia="Times New Roman" w:hAnsi="Times New Roman"/>
          <w:smallCaps/>
        </w:rPr>
        <w:t xml:space="preserve">II. </w:t>
      </w:r>
      <w:r>
        <w:rPr>
          <w:rFonts w:ascii="Times New Roman" w:cs="Times New Roman" w:eastAsia="Times New Roman" w:hAnsi="Times New Roman"/>
          <w:b w:val="false"/>
          <w:bCs w:val="false"/>
          <w:i w:val="false"/>
          <w:iCs w:val="false"/>
          <w:smallCaps/>
        </w:rPr>
        <w:t xml:space="preserve">The Deployed Prototype and Its Audit</w:t>
      </w:r>
    </w:p>
    <w:p>
      <w:pPr>
        <w:pStyle w:val="Heading2"/>
        <w:keepNext/>
        <w:spacing w:after="40" w:before="80"/>
      </w:pPr>
      <w:r>
        <w:rPr>
          <w:rFonts w:ascii="Times New Roman" w:cs="Times New Roman" w:eastAsia="Times New Roman" w:hAnsi="Times New Roman"/>
          <w:i/>
          <w:iCs/>
        </w:rPr>
        <w:t xml:space="preserve">A. </w:t>
      </w:r>
      <w:r>
        <w:rPr>
          <w:rFonts w:ascii="Times New Roman" w:cs="Times New Roman" w:eastAsia="Times New Roman" w:hAnsi="Times New Roman"/>
          <w:b w:val="false"/>
          <w:bCs w:val="false"/>
          <w:i/>
          <w:iCs/>
          <w:smallCaps w:val="false"/>
        </w:rPr>
        <w:t xml:space="preserve">Architecture as built</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prototype has three parts. A React application (Vite, Tailwind CSS, shadcn/ui, Ethers.js 6) talks to MetaMask and to GitHub. A small Express server performs the GitHub OAuth code exchange. Three Solidity contracts, compiled with solc 0.8.20 and deployed with Hardhat, run on Sepolia: </w:t>
      </w:r>
      <w:r>
        <w:rPr>
          <w:rFonts w:ascii="Courier New" w:cs="Courier New" w:eastAsia="Courier New" w:hAnsi="Courier New"/>
          <w:b w:val="false"/>
          <w:bCs w:val="false"/>
          <w:i w:val="false"/>
          <w:iCs w:val="false"/>
          <w:smallCaps w:val="false"/>
          <w:sz w:val="18"/>
          <w:szCs w:val="18"/>
        </w:rPr>
        <w:t xml:space="preserve">UCoin</w:t>
      </w:r>
      <w:r>
        <w:rPr>
          <w:rFonts w:ascii="Times New Roman" w:cs="Times New Roman" w:eastAsia="Times New Roman" w:hAnsi="Times New Roman"/>
          <w:b w:val="false"/>
          <w:bCs w:val="false"/>
          <w:i w:val="false"/>
          <w:iCs w:val="false"/>
          <w:smallCaps w:val="false"/>
        </w:rPr>
        <w:t xml:space="preserve">, a hand-written ERC-20 with 1,000,001 UCN split 70/30 between a reward treasury and a developer wallet; </w:t>
      </w:r>
      <w:r>
        <w:rPr>
          <w:rFonts w:ascii="Courier New" w:cs="Courier New" w:eastAsia="Courier New" w:hAnsi="Courier New"/>
          <w:b w:val="false"/>
          <w:bCs w:val="false"/>
          <w:i w:val="false"/>
          <w:iCs w:val="false"/>
          <w:smallCaps w:val="false"/>
          <w:sz w:val="18"/>
          <w:szCs w:val="18"/>
        </w:rPr>
        <w:t xml:space="preserve">UserDatabase</w:t>
      </w:r>
      <w:r>
        <w:rPr>
          <w:rFonts w:ascii="Times New Roman" w:cs="Times New Roman" w:eastAsia="Times New Roman" w:hAnsi="Times New Roman"/>
          <w:b w:val="false"/>
          <w:bCs w:val="false"/>
          <w:i w:val="false"/>
          <w:iCs w:val="false"/>
          <w:smallCaps w:val="false"/>
        </w:rPr>
        <w:t xml:space="preserve">, which stores a wallet, a username string, an XP value and a last-rewarded level per user under OpenZeppelin </w:t>
      </w:r>
      <w:r>
        <w:rPr>
          <w:rFonts w:ascii="Courier New" w:cs="Courier New" w:eastAsia="Courier New" w:hAnsi="Courier New"/>
          <w:b w:val="false"/>
          <w:bCs w:val="false"/>
          <w:i w:val="false"/>
          <w:iCs w:val="false"/>
          <w:smallCaps w:val="false"/>
          <w:sz w:val="18"/>
          <w:szCs w:val="18"/>
        </w:rPr>
        <w:t xml:space="preserve">AccessControl</w:t>
      </w:r>
      <w:r>
        <w:rPr>
          <w:rFonts w:ascii="Times New Roman" w:cs="Times New Roman" w:eastAsia="Times New Roman" w:hAnsi="Times New Roman"/>
          <w:b w:val="false"/>
          <w:bCs w:val="false"/>
          <w:i w:val="false"/>
          <w:iCs w:val="false"/>
          <w:smallCaps w:val="false"/>
        </w:rPr>
        <w:t xml:space="preserve">; and </w:t>
      </w:r>
      <w:r>
        <w:rPr>
          <w:rFonts w:ascii="Courier New" w:cs="Courier New" w:eastAsia="Courier New" w:hAnsi="Courier New"/>
          <w:b w:val="false"/>
          <w:bCs w:val="false"/>
          <w:i w:val="false"/>
          <w:iCs w:val="false"/>
          <w:smallCaps w:val="false"/>
          <w:sz w:val="18"/>
          <w:szCs w:val="18"/>
        </w:rPr>
        <w:t xml:space="preserve">RewardMechanism</w:t>
      </w:r>
      <w:r>
        <w:rPr>
          <w:rFonts w:ascii="Times New Roman" w:cs="Times New Roman" w:eastAsia="Times New Roman" w:hAnsi="Times New Roman"/>
          <w:b w:val="false"/>
          <w:bCs w:val="false"/>
          <w:i w:val="false"/>
          <w:iCs w:val="false"/>
          <w:smallCaps w:val="false"/>
        </w:rPr>
        <w:t xml:space="preserve">, which holds the treasury and pays a user’s withdrawal request after the owner approves it.</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progression rules live in the browser. The dashboard reads the 12-month total of GitHub’s contribution calendar through the GraphQL API, multiplies it by 50 to obtain XP, derives a level from XP</w:t>
      </w:r>
      <w:r>
        <w:rPr>
          <w:rFonts w:ascii="Times New Roman" w:cs="Times New Roman" w:eastAsia="Times New Roman" w:hAnsi="Times New Roman"/>
          <w:b w:val="false"/>
          <w:bCs w:val="false"/>
          <w:i/>
          <w:iCs/>
          <w:smallCaps w:val="false"/>
          <w:vertAlign w:val="subscript"/>
        </w:rPr>
        <w:t xml:space="preserve">n</w:t>
      </w:r>
      <w:r>
        <w:rPr>
          <w:rFonts w:ascii="Times New Roman" w:cs="Times New Roman" w:eastAsia="Times New Roman" w:hAnsi="Times New Roman"/>
          <w:b w:val="false"/>
          <w:bCs w:val="false"/>
          <w:i w:val="false"/>
          <w:iCs w:val="false"/>
          <w:smallCaps w:val="false"/>
        </w:rPr>
        <w:t xml:space="preserve"> = 50</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 + 1), a title from 21 milestone names, and an entitlement of 5·1.08</w:t>
      </w:r>
      <w:r>
        <w:rPr>
          <w:rFonts w:ascii="Times New Roman" w:cs="Times New Roman" w:eastAsia="Times New Roman" w:hAnsi="Times New Roman"/>
          <w:b w:val="false"/>
          <w:bCs w:val="false"/>
          <w:i/>
          <w:iCs/>
          <w:smallCaps w:val="false"/>
          <w:vertAlign w:val="superscript"/>
        </w:rPr>
        <w:t xml:space="preserve">L</w:t>
      </w:r>
      <w:r>
        <w:rPr>
          <w:rFonts w:ascii="Times New Roman" w:cs="Times New Roman" w:eastAsia="Times New Roman" w:hAnsi="Times New Roman"/>
          <w:b w:val="false"/>
          <w:bCs w:val="false"/>
          <w:i w:val="false"/>
          <w:iCs w:val="false"/>
          <w:smallCaps w:val="false"/>
        </w:rPr>
        <w:t xml:space="preserve"> UCN per level. It subtracts a “claimed” total kept in </w:t>
      </w:r>
      <w:r>
        <w:rPr>
          <w:rFonts w:ascii="Courier New" w:cs="Courier New" w:eastAsia="Courier New" w:hAnsi="Courier New"/>
          <w:b w:val="false"/>
          <w:bCs w:val="false"/>
          <w:i w:val="false"/>
          <w:iCs w:val="false"/>
          <w:smallCaps w:val="false"/>
          <w:sz w:val="18"/>
          <w:szCs w:val="18"/>
        </w:rPr>
        <w:t xml:space="preserve">localStorage</w:t>
      </w:r>
      <w:r>
        <w:rPr>
          <w:rFonts w:ascii="Times New Roman" w:cs="Times New Roman" w:eastAsia="Times New Roman" w:hAnsi="Times New Roman"/>
          <w:b w:val="false"/>
          <w:bCs w:val="false"/>
          <w:i w:val="false"/>
          <w:iCs w:val="false"/>
          <w:smallCaps w:val="false"/>
        </w:rPr>
        <w:t xml:space="preserve"> and lets the user request the difference.</w:t>
      </w:r>
    </w:p>
    <w:p>
      <w:pPr>
        <w:pStyle w:val="Heading2"/>
        <w:keepNext/>
        <w:spacing w:after="40" w:before="80"/>
      </w:pPr>
      <w:r>
        <w:rPr>
          <w:rFonts w:ascii="Times New Roman" w:cs="Times New Roman" w:eastAsia="Times New Roman" w:hAnsi="Times New Roman"/>
          <w:i/>
          <w:iCs/>
        </w:rPr>
        <w:t xml:space="preserve">B. </w:t>
      </w:r>
      <w:r>
        <w:rPr>
          <w:rFonts w:ascii="Times New Roman" w:cs="Times New Roman" w:eastAsia="Times New Roman" w:hAnsi="Times New Roman"/>
          <w:b w:val="false"/>
          <w:bCs w:val="false"/>
          <w:i/>
          <w:iCs/>
          <w:smallCaps w:val="false"/>
        </w:rPr>
        <w:t xml:space="preserve">On-chain record</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three contracts are still live, which gives an unusually clean view of how the prototype was used (Table II). All nine </w:t>
      </w:r>
      <w:r>
        <w:rPr>
          <w:rFonts w:ascii="Courier New" w:cs="Courier New" w:eastAsia="Courier New" w:hAnsi="Courier New"/>
          <w:b w:val="false"/>
          <w:bCs w:val="false"/>
          <w:i w:val="false"/>
          <w:iCs w:val="false"/>
          <w:smallCaps w:val="false"/>
          <w:sz w:val="18"/>
          <w:szCs w:val="18"/>
        </w:rPr>
        <w:t xml:space="preserve">UserDatabase</w:t>
      </w:r>
      <w:r>
        <w:rPr>
          <w:rFonts w:ascii="Times New Roman" w:cs="Times New Roman" w:eastAsia="Times New Roman" w:hAnsi="Times New Roman"/>
          <w:b w:val="false"/>
          <w:bCs w:val="false"/>
          <w:i w:val="false"/>
          <w:iCs w:val="false"/>
          <w:smallCaps w:val="false"/>
        </w:rPr>
        <w:t xml:space="preserve"> transactions carry selector </w:t>
      </w:r>
      <w:r>
        <w:rPr>
          <w:rFonts w:ascii="Courier New" w:cs="Courier New" w:eastAsia="Courier New" w:hAnsi="Courier New"/>
          <w:b w:val="false"/>
          <w:bCs w:val="false"/>
          <w:i w:val="false"/>
          <w:iCs w:val="false"/>
          <w:smallCaps w:val="false"/>
          <w:sz w:val="18"/>
          <w:szCs w:val="18"/>
        </w:rPr>
        <w:t xml:space="preserve">0xd0020fad</w:t>
      </w:r>
      <w:r>
        <w:rPr>
          <w:rFonts w:ascii="Times New Roman" w:cs="Times New Roman" w:eastAsia="Times New Roman" w:hAnsi="Times New Roman"/>
          <w:b w:val="false"/>
          <w:bCs w:val="false"/>
          <w:i w:val="false"/>
          <w:iCs w:val="false"/>
          <w:smallCaps w:val="false"/>
        </w:rPr>
        <w:t xml:space="preserve">, which is </w:t>
      </w:r>
      <w:r>
        <w:rPr>
          <w:rFonts w:ascii="Courier New" w:cs="Courier New" w:eastAsia="Courier New" w:hAnsi="Courier New"/>
          <w:b w:val="false"/>
          <w:bCs w:val="false"/>
          <w:i w:val="false"/>
          <w:iCs w:val="false"/>
          <w:smallCaps w:val="false"/>
          <w:sz w:val="18"/>
          <w:szCs w:val="18"/>
        </w:rPr>
        <w:t xml:space="preserve">setUser(string)</w:t>
      </w:r>
      <w:r>
        <w:rPr>
          <w:rFonts w:ascii="Times New Roman" w:cs="Times New Roman" w:eastAsia="Times New Roman" w:hAnsi="Times New Roman"/>
          <w:b w:val="false"/>
          <w:bCs w:val="false"/>
          <w:i w:val="false"/>
          <w:iCs w:val="false"/>
          <w:smallCaps w:val="false"/>
        </w:rPr>
        <w:t xml:space="preserve">: seven registrations from seven wallets, and two duplicates that reverted. </w:t>
      </w:r>
      <w:r>
        <w:rPr>
          <w:rFonts w:ascii="Courier New" w:cs="Courier New" w:eastAsia="Courier New" w:hAnsi="Courier New"/>
          <w:b w:val="false"/>
          <w:bCs w:val="false"/>
          <w:i w:val="false"/>
          <w:iCs w:val="false"/>
          <w:smallCaps w:val="false"/>
          <w:sz w:val="18"/>
          <w:szCs w:val="18"/>
        </w:rPr>
        <w:t xml:space="preserve">updateUserXP</w:t>
      </w:r>
      <w:r>
        <w:rPr>
          <w:rFonts w:ascii="Times New Roman" w:cs="Times New Roman" w:eastAsia="Times New Roman" w:hAnsi="Times New Roman"/>
          <w:b w:val="false"/>
          <w:bCs w:val="false"/>
          <w:i w:val="false"/>
          <w:iCs w:val="false"/>
          <w:smallCaps w:val="false"/>
        </w:rPr>
        <w:t xml:space="preserve"> was never called, so every user’s on-chain XP is still zero. The reward contract recorded 36 transactions, alternating requests and owner approvals; one wallet submitted five requests between April and May 2025 and each was approved by hand. The treasury still holds 699,974.7 UCN, so 26.0 UCN were paid out in total.</w:t>
      </w:r>
    </w:p>
    <w:p>
      <w:pPr>
        <w:keepNext/>
        <w:spacing w:after="0" w:before="160"/>
        <w:jc w:val="center"/>
      </w:pPr>
      <w:r>
        <w:rPr>
          <w:rFonts w:ascii="Times New Roman" w:cs="Times New Roman" w:eastAsia="Times New Roman" w:hAnsi="Times New Roman"/>
          <w:sz w:val="16"/>
          <w:szCs w:val="16"/>
        </w:rPr>
        <w:t xml:space="preserve">TABLE II</w:t>
      </w:r>
    </w:p>
    <w:p>
      <w:pPr>
        <w:keepNext/>
        <w:spacing w:after="80"/>
        <w:jc w:val="center"/>
      </w:pPr>
      <w:r>
        <w:rPr>
          <w:rFonts w:ascii="Times New Roman" w:cs="Times New Roman" w:eastAsia="Times New Roman" w:hAnsi="Times New Roman"/>
          <w:b w:val="false"/>
          <w:bCs w:val="false"/>
          <w:i w:val="false"/>
          <w:iCs w:val="false"/>
          <w:smallCaps/>
          <w:sz w:val="16"/>
          <w:szCs w:val="16"/>
        </w:rPr>
        <w:t xml:space="preserve">Prototype contracts on Sepolia (snapshot 21 Oct 2026)</w:t>
      </w:r>
    </w:p>
    <w:tbl>
      <w:tblPr>
        <w:tblW w:type="dxa" w:w="5076"/>
        <w:jc w:val="center"/>
        <w:tblBorders>
          <w:top w:val="single" w:color="auto" w:sz="4"/>
          <w:left w:val="single" w:color="auto" w:sz="4"/>
          <w:bottom w:val="single" w:color="auto" w:sz="4"/>
          <w:right w:val="single" w:color="auto" w:sz="4"/>
          <w:insideH w:val="single" w:color="auto" w:sz="4"/>
          <w:insideV w:val="single" w:color="auto" w:sz="4"/>
        </w:tblBorders>
      </w:tblPr>
      <w:tblGrid>
        <w:gridCol w:w="1546"/>
        <w:gridCol w:w="3530"/>
      </w:tblGrid>
      <w:tr>
        <w:trPr>
          <w:cantSplit/>
          <w:tblHeader/>
        </w:trPr>
        <w:tc>
          <w:tcPr>
            <w:tcW w:type="dxa" w:w="1546"/>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Contract</w:t>
            </w:r>
          </w:p>
        </w:tc>
        <w:tc>
          <w:tcPr>
            <w:tcW w:type="dxa" w:w="3530"/>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Observed activity</w:t>
            </w:r>
          </w:p>
        </w:tc>
      </w:tr>
      <w:tr>
        <w:trPr>
          <w:cantSplit/>
          <w:tblHeader w:val="off"/>
        </w:trPr>
        <w:tc>
          <w:tcPr>
            <w:tcW w:type="dxa" w:w="154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UserDatabase</w:t>
            </w:r>
          </w:p>
        </w:tc>
        <w:tc>
          <w:tcPr>
            <w:tcW w:type="dxa" w:w="353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9 txs, all </w:t>
            </w:r>
            <w:r>
              <w:rPr>
                <w:rFonts w:ascii="Courier New" w:cs="Courier New" w:eastAsia="Courier New" w:hAnsi="Courier New"/>
                <w:b w:val="false"/>
                <w:bCs w:val="false"/>
                <w:i w:val="false"/>
                <w:iCs w:val="false"/>
                <w:smallCaps w:val="false"/>
                <w:sz w:val="14"/>
                <w:szCs w:val="14"/>
              </w:rPr>
              <w:t xml:space="preserve">setUser</w:t>
            </w:r>
            <w:r>
              <w:rPr>
                <w:rFonts w:ascii="Times New Roman" w:cs="Times New Roman" w:eastAsia="Times New Roman" w:hAnsi="Times New Roman"/>
                <w:b w:val="false"/>
                <w:bCs w:val="false"/>
                <w:i w:val="false"/>
                <w:iCs w:val="false"/>
                <w:smallCaps w:val="false"/>
                <w:sz w:val="16"/>
                <w:szCs w:val="16"/>
              </w:rPr>
              <w:t xml:space="preserve">: 7 registrations, 2 reverted duplicates; no </w:t>
            </w:r>
            <w:r>
              <w:rPr>
                <w:rFonts w:ascii="Courier New" w:cs="Courier New" w:eastAsia="Courier New" w:hAnsi="Courier New"/>
                <w:b w:val="false"/>
                <w:bCs w:val="false"/>
                <w:i w:val="false"/>
                <w:iCs w:val="false"/>
                <w:smallCaps w:val="false"/>
                <w:sz w:val="14"/>
                <w:szCs w:val="14"/>
              </w:rPr>
              <w:t xml:space="preserve">updateUserXP</w:t>
            </w:r>
          </w:p>
        </w:tc>
      </w:tr>
      <w:tr>
        <w:trPr>
          <w:cantSplit/>
          <w:tblHeader w:val="off"/>
        </w:trPr>
        <w:tc>
          <w:tcPr>
            <w:tcW w:type="dxa" w:w="154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RewardMechanism</w:t>
            </w:r>
          </w:p>
        </w:tc>
        <w:tc>
          <w:tcPr>
            <w:tcW w:type="dxa" w:w="353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36 txs (requests and approvals) from Apr 2025; balance 699,974.7 UCN</w:t>
            </w:r>
          </w:p>
        </w:tc>
      </w:tr>
      <w:tr>
        <w:trPr>
          <w:cantSplit/>
          <w:tblHeader w:val="off"/>
        </w:trPr>
        <w:tc>
          <w:tcPr>
            <w:tcW w:type="dxa" w:w="1546"/>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Courier New" w:cs="Courier New" w:eastAsia="Courier New" w:hAnsi="Courier New"/>
                <w:b w:val="false"/>
                <w:bCs w:val="false"/>
                <w:i w:val="false"/>
                <w:iCs w:val="false"/>
                <w:smallCaps w:val="false"/>
                <w:sz w:val="14"/>
                <w:szCs w:val="14"/>
              </w:rPr>
              <w:t xml:space="preserve">UCoin</w:t>
            </w:r>
          </w:p>
        </w:tc>
        <w:tc>
          <w:tcPr>
            <w:tcW w:type="dxa" w:w="3530"/>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val="false"/>
                <w:bCs w:val="false"/>
                <w:i w:val="false"/>
                <w:iCs w:val="false"/>
                <w:smallCaps w:val="false"/>
                <w:sz w:val="16"/>
                <w:szCs w:val="16"/>
              </w:rPr>
              <w:t xml:space="preserve">supply 1,000,001 UCN; 6 holders</w:t>
            </w:r>
          </w:p>
        </w:tc>
      </w:tr>
    </w:tbl>
    <w:p>
      <w:pPr>
        <w:spacing w:after="120"/>
      </w:pPr>
    </w:p>
    <w:p>
      <w:pPr>
        <w:pStyle w:val="Heading2"/>
        <w:keepNext/>
        <w:spacing w:after="40" w:before="80"/>
      </w:pPr>
      <w:r>
        <w:rPr>
          <w:rFonts w:ascii="Times New Roman" w:cs="Times New Roman" w:eastAsia="Times New Roman" w:hAnsi="Times New Roman"/>
          <w:i/>
          <w:iCs/>
        </w:rPr>
        <w:t xml:space="preserve">C. </w:t>
      </w:r>
      <w:r>
        <w:rPr>
          <w:rFonts w:ascii="Times New Roman" w:cs="Times New Roman" w:eastAsia="Times New Roman" w:hAnsi="Times New Roman"/>
          <w:b w:val="false"/>
          <w:bCs w:val="false"/>
          <w:i/>
          <w:iCs/>
          <w:smallCaps w:val="false"/>
        </w:rPr>
        <w:t xml:space="preserve">Findings</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We audited the repository at its initial commit and the deployed contracts. Table III lists the findings. Each contract finding is reproduced by a passing test that runs the prototype’s sources compiled exactly as deployed.</w:t>
      </w:r>
    </w:p>
    <w:p>
      <w:pPr>
        <w:sectPr>
          <w:type w:val="continuous"/>
          <w:pgSz w:w="12240" w:h="15840" w:orient="portrait"/>
          <w:pgMar w:top="1080" w:right="900" w:bottom="1440" w:left="900" w:header="708" w:footer="708" w:gutter="0"/>
          <w:pgNumType/>
          <w:cols w:space="288" w:num="2" w:equalWidth="true"/>
          <w:docGrid w:linePitch="360"/>
        </w:sectPr>
      </w:pPr>
    </w:p>
    <w:p>
      <w:pPr>
        <w:keepNext/>
        <w:spacing w:after="0" w:before="160"/>
        <w:jc w:val="center"/>
      </w:pPr>
      <w:r>
        <w:rPr>
          <w:rFonts w:ascii="Times New Roman" w:cs="Times New Roman" w:eastAsia="Times New Roman" w:hAnsi="Times New Roman"/>
          <w:sz w:val="16"/>
          <w:szCs w:val="16"/>
        </w:rPr>
        <w:t xml:space="preserve">TABLE III</w:t>
      </w:r>
    </w:p>
    <w:p>
      <w:pPr>
        <w:keepNext/>
        <w:spacing w:after="80"/>
        <w:jc w:val="center"/>
      </w:pPr>
      <w:r>
        <w:rPr>
          <w:rFonts w:ascii="Times New Roman" w:cs="Times New Roman" w:eastAsia="Times New Roman" w:hAnsi="Times New Roman"/>
          <w:b w:val="false"/>
          <w:bCs w:val="false"/>
          <w:i w:val="false"/>
          <w:iCs w:val="false"/>
          <w:smallCaps/>
          <w:sz w:val="16"/>
          <w:szCs w:val="16"/>
        </w:rPr>
        <w:t xml:space="preserve">Audit of the prototype and the corresponding change in BlockSource</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526"/>
        <w:gridCol w:w="776"/>
        <w:gridCol w:w="4552"/>
        <w:gridCol w:w="4586"/>
      </w:tblGrid>
      <w:tr>
        <w:trPr>
          <w:cantSplit/>
          <w:tblHeader/>
        </w:trPr>
        <w:tc>
          <w:tcPr>
            <w:tcW w:type="dxa" w:w="526"/>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ID</w:t>
            </w:r>
          </w:p>
        </w:tc>
        <w:tc>
          <w:tcPr>
            <w:tcW w:type="dxa" w:w="776"/>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Severity</w:t>
            </w:r>
          </w:p>
        </w:tc>
        <w:tc>
          <w:tcPr>
            <w:tcW w:type="dxa" w:w="4552"/>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Finding in the prototype</w:t>
            </w:r>
          </w:p>
        </w:tc>
        <w:tc>
          <w:tcPr>
            <w:tcW w:type="dxa" w:w="4586"/>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Change in BlockSource</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S1</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Critical</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OAuth client secret committed in the server source</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Secret moved to environment; old secret must be revoked</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F2</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Critical</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requestWithdrawal</w:t>
            </w:r>
            <w:r>
              <w:rPr>
                <w:rFonts w:ascii="Times New Roman" w:cs="Times New Roman" w:eastAsia="Times New Roman" w:hAnsi="Times New Roman"/>
                <w:b w:val="false"/>
                <w:bCs w:val="false"/>
                <w:i w:val="false"/>
                <w:iCs w:val="false"/>
                <w:smallCaps w:val="false"/>
                <w:sz w:val="16"/>
                <w:szCs w:val="16"/>
              </w:rPr>
              <w:t xml:space="preserve"> accepts any amount from any wallet; only the owner’s manual check protects the treasury</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Request capped at on-chain </w:t>
            </w:r>
            <w:r>
              <w:rPr>
                <w:rFonts w:ascii="Times New Roman" w:cs="Times New Roman" w:eastAsia="Times New Roman" w:hAnsi="Times New Roman"/>
                <w:b w:val="false"/>
                <w:bCs w:val="false"/>
                <w:i/>
                <w:iCs/>
                <w:smallCaps w:val="false"/>
                <w:sz w:val="16"/>
                <w:szCs w:val="16"/>
              </w:rPr>
              <w:t xml:space="preserve">earned</w:t>
            </w:r>
            <w:r>
              <w:rPr>
                <w:rFonts w:ascii="Times New Roman" w:cs="Times New Roman" w:eastAsia="Times New Roman" w:hAnsi="Times New Roman"/>
                <w:b w:val="false"/>
                <w:bCs w:val="false"/>
                <w:i w:val="false"/>
                <w:iCs w:val="false"/>
                <w:smallCaps w:val="false"/>
                <w:sz w:val="16"/>
                <w:szCs w:val="16"/>
              </w:rPr>
              <w:t xml:space="preserve"> − </w:t>
            </w:r>
            <w:r>
              <w:rPr>
                <w:rFonts w:ascii="Times New Roman" w:cs="Times New Roman" w:eastAsia="Times New Roman" w:hAnsi="Times New Roman"/>
                <w:b w:val="false"/>
                <w:bCs w:val="false"/>
                <w:i/>
                <w:iCs/>
                <w:smallCaps w:val="false"/>
                <w:sz w:val="16"/>
                <w:szCs w:val="16"/>
              </w:rPr>
              <w:t xml:space="preserve">claimed</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S2–S4</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High</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OAuth scope </w:t>
            </w:r>
            <w:r>
              <w:rPr>
                <w:rFonts w:ascii="Courier New" w:cs="Courier New" w:eastAsia="Courier New" w:hAnsi="Courier New"/>
                <w:b w:val="false"/>
                <w:bCs w:val="false"/>
                <w:i w:val="false"/>
                <w:iCs w:val="false"/>
                <w:smallCaps w:val="false"/>
                <w:sz w:val="14"/>
                <w:szCs w:val="14"/>
              </w:rPr>
              <w:t xml:space="preserve">repo</w:t>
            </w:r>
            <w:r>
              <w:rPr>
                <w:rFonts w:ascii="Times New Roman" w:cs="Times New Roman" w:eastAsia="Times New Roman" w:hAnsi="Times New Roman"/>
                <w:b w:val="false"/>
                <w:bCs w:val="false"/>
                <w:i w:val="false"/>
                <w:iCs w:val="false"/>
                <w:smallCaps w:val="false"/>
                <w:sz w:val="16"/>
                <w:szCs w:val="16"/>
              </w:rPr>
              <w:t xml:space="preserve"> (all private repositories), no </w:t>
            </w:r>
            <w:r>
              <w:rPr>
                <w:rFonts w:ascii="Courier New" w:cs="Courier New" w:eastAsia="Courier New" w:hAnsi="Courier New"/>
                <w:b w:val="false"/>
                <w:bCs w:val="false"/>
                <w:i w:val="false"/>
                <w:iCs w:val="false"/>
                <w:smallCaps w:val="false"/>
                <w:sz w:val="14"/>
                <w:szCs w:val="14"/>
              </w:rPr>
              <w:t xml:space="preserve">state</w:t>
            </w:r>
            <w:r>
              <w:rPr>
                <w:rFonts w:ascii="Times New Roman" w:cs="Times New Roman" w:eastAsia="Times New Roman" w:hAnsi="Times New Roman"/>
                <w:b w:val="false"/>
                <w:bCs w:val="false"/>
                <w:i w:val="false"/>
                <w:iCs w:val="false"/>
                <w:smallCaps w:val="false"/>
                <w:sz w:val="16"/>
                <w:szCs w:val="16"/>
              </w:rPr>
              <w:t xml:space="preserve"> check, access token returned in a URL and kept in </w:t>
            </w:r>
            <w:r>
              <w:rPr>
                <w:rFonts w:ascii="Courier New" w:cs="Courier New" w:eastAsia="Courier New" w:hAnsi="Courier New"/>
                <w:b w:val="false"/>
                <w:bCs w:val="false"/>
                <w:i w:val="false"/>
                <w:iCs w:val="false"/>
                <w:smallCaps w:val="false"/>
                <w:sz w:val="14"/>
                <w:szCs w:val="14"/>
              </w:rPr>
              <w:t xml:space="preserve">localStorage</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Scope </w:t>
            </w:r>
            <w:r>
              <w:rPr>
                <w:rFonts w:ascii="Courier New" w:cs="Courier New" w:eastAsia="Courier New" w:hAnsi="Courier New"/>
                <w:b w:val="false"/>
                <w:bCs w:val="false"/>
                <w:i w:val="false"/>
                <w:iCs w:val="false"/>
                <w:smallCaps w:val="false"/>
                <w:sz w:val="14"/>
                <w:szCs w:val="14"/>
              </w:rPr>
              <w:t xml:space="preserve">read:user</w:t>
            </w:r>
            <w:r>
              <w:rPr>
                <w:rFonts w:ascii="Times New Roman" w:cs="Times New Roman" w:eastAsia="Times New Roman" w:hAnsi="Times New Roman"/>
                <w:b w:val="false"/>
                <w:bCs w:val="false"/>
                <w:i w:val="false"/>
                <w:iCs w:val="false"/>
                <w:smallCaps w:val="false"/>
                <w:sz w:val="16"/>
                <w:szCs w:val="16"/>
              </w:rPr>
              <w:t xml:space="preserve">, random </w:t>
            </w:r>
            <w:r>
              <w:rPr>
                <w:rFonts w:ascii="Courier New" w:cs="Courier New" w:eastAsia="Courier New" w:hAnsi="Courier New"/>
                <w:b w:val="false"/>
                <w:bCs w:val="false"/>
                <w:i w:val="false"/>
                <w:iCs w:val="false"/>
                <w:smallCaps w:val="false"/>
                <w:sz w:val="14"/>
                <w:szCs w:val="14"/>
              </w:rPr>
              <w:t xml:space="preserve">state</w:t>
            </w:r>
            <w:r>
              <w:rPr>
                <w:rFonts w:ascii="Times New Roman" w:cs="Times New Roman" w:eastAsia="Times New Roman" w:hAnsi="Times New Roman"/>
                <w:b w:val="false"/>
                <w:bCs w:val="false"/>
                <w:i w:val="false"/>
                <w:iCs w:val="false"/>
                <w:smallCaps w:val="false"/>
                <w:sz w:val="16"/>
                <w:szCs w:val="16"/>
              </w:rPr>
              <w:t xml:space="preserve"> in a signed cookie, token discarded after reading the account id</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F3</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High</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setUser(string)</w:t>
            </w:r>
            <w:r>
              <w:rPr>
                <w:rFonts w:ascii="Times New Roman" w:cs="Times New Roman" w:eastAsia="Times New Roman" w:hAnsi="Times New Roman"/>
                <w:b w:val="false"/>
                <w:bCs w:val="false"/>
                <w:i w:val="false"/>
                <w:iCs w:val="false"/>
                <w:smallCaps w:val="false"/>
                <w:sz w:val="16"/>
                <w:szCs w:val="16"/>
              </w:rPr>
              <w:t xml:space="preserve"> lets any wallet claim any GitHub login</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EIP-712 attestation binds numeric GitHub id  ↔  wallet one-to-one</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F5</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High</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XP, level and rewards computed in the browser; on-chain XP never updated</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Backend </w:t>
            </w:r>
            <w:r>
              <w:rPr>
                <w:rFonts w:ascii="Courier New" w:cs="Courier New" w:eastAsia="Courier New" w:hAnsi="Courier New"/>
                <w:b w:val="false"/>
                <w:bCs w:val="false"/>
                <w:i w:val="false"/>
                <w:iCs w:val="false"/>
                <w:smallCaps w:val="false"/>
                <w:sz w:val="14"/>
                <w:szCs w:val="14"/>
              </w:rPr>
              <w:t xml:space="preserve">syncXP</w:t>
            </w:r>
            <w:r>
              <w:rPr>
                <w:rFonts w:ascii="Times New Roman" w:cs="Times New Roman" w:eastAsia="Times New Roman" w:hAnsi="Times New Roman"/>
                <w:b w:val="false"/>
                <w:bCs w:val="false"/>
                <w:i w:val="false"/>
                <w:iCs w:val="false"/>
                <w:smallCaps w:val="false"/>
                <w:sz w:val="16"/>
                <w:szCs w:val="16"/>
              </w:rPr>
              <w:t xml:space="preserve">; level and </w:t>
            </w:r>
            <w:r>
              <w:rPr>
                <w:rFonts w:ascii="Times New Roman" w:cs="Times New Roman" w:eastAsia="Times New Roman" w:hAnsi="Times New Roman"/>
                <w:b w:val="false"/>
                <w:bCs w:val="false"/>
                <w:i/>
                <w:iCs/>
                <w:smallCaps w:val="false"/>
                <w:sz w:val="16"/>
                <w:szCs w:val="16"/>
              </w:rPr>
              <w:t xml:space="preserve">earned</w:t>
            </w:r>
            <w:r>
              <w:rPr>
                <w:rFonts w:ascii="Times New Roman" w:cs="Times New Roman" w:eastAsia="Times New Roman" w:hAnsi="Times New Roman"/>
                <w:b w:val="false"/>
                <w:bCs w:val="false"/>
                <w:i w:val="false"/>
                <w:iCs w:val="false"/>
                <w:smallCaps w:val="false"/>
                <w:sz w:val="16"/>
                <w:szCs w:val="16"/>
              </w:rPr>
              <w:t xml:space="preserve"> computed on chain</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F6</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High</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“Claimed” total stored in </w:t>
            </w:r>
            <w:r>
              <w:rPr>
                <w:rFonts w:ascii="Courier New" w:cs="Courier New" w:eastAsia="Courier New" w:hAnsi="Courier New"/>
                <w:b w:val="false"/>
                <w:bCs w:val="false"/>
                <w:i w:val="false"/>
                <w:iCs w:val="false"/>
                <w:smallCaps w:val="false"/>
                <w:sz w:val="14"/>
                <w:szCs w:val="14"/>
              </w:rPr>
              <w:t xml:space="preserve">localStorage</w:t>
            </w:r>
            <w:r>
              <w:rPr>
                <w:rFonts w:ascii="Times New Roman" w:cs="Times New Roman" w:eastAsia="Times New Roman" w:hAnsi="Times New Roman"/>
                <w:b w:val="false"/>
                <w:bCs w:val="false"/>
                <w:i w:val="false"/>
                <w:iCs w:val="false"/>
                <w:smallCaps w:val="false"/>
                <w:sz w:val="16"/>
                <w:szCs w:val="16"/>
              </w:rPr>
              <w:t xml:space="preserve">; clearing storage restores the allowance</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claimed[user]</w:t>
            </w:r>
            <w:r>
              <w:rPr>
                <w:rFonts w:ascii="Times New Roman" w:cs="Times New Roman" w:eastAsia="Times New Roman" w:hAnsi="Times New Roman"/>
                <w:b w:val="false"/>
                <w:bCs w:val="false"/>
                <w:i w:val="false"/>
                <w:iCs w:val="false"/>
                <w:smallCaps w:val="false"/>
                <w:sz w:val="16"/>
                <w:szCs w:val="16"/>
              </w:rPr>
              <w:t xml:space="preserve"> stored on chain</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F4</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Medium</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updateUserXP</w:t>
            </w:r>
            <w:r>
              <w:rPr>
                <w:rFonts w:ascii="Times New Roman" w:cs="Times New Roman" w:eastAsia="Times New Roman" w:hAnsi="Times New Roman"/>
                <w:b w:val="false"/>
                <w:bCs w:val="false"/>
                <w:i w:val="false"/>
                <w:iCs w:val="false"/>
                <w:smallCaps w:val="false"/>
                <w:sz w:val="16"/>
                <w:szCs w:val="16"/>
              </w:rPr>
              <w:t xml:space="preserve"> overwrites XP, so XP can fall</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Monotonic sync; lower counts ignored</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X1</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Medium</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XP from a 12-month calendar (decays over time) that includes private work visible to the viewer’s token</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All-time public commits, PRs, issues and reviews</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X2–X3</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Medium</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Leaderboard recomputes XP per viewer (falls back to 10·repos + 5·followers); on-chain usernames interpolated into GraphQL</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Ranking by on-chain XP; login passed as a GraphQL variable</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F7</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Medium</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removeUser</w:t>
            </w:r>
            <w:r>
              <w:rPr>
                <w:rFonts w:ascii="Times New Roman" w:cs="Times New Roman" w:eastAsia="Times New Roman" w:hAnsi="Times New Roman"/>
                <w:b w:val="false"/>
                <w:bCs w:val="false"/>
                <w:i w:val="false"/>
                <w:iCs w:val="false"/>
                <w:smallCaps w:val="false"/>
                <w:sz w:val="16"/>
                <w:szCs w:val="16"/>
              </w:rPr>
              <w:t xml:space="preserve"> deletes history; the wallet can re-register from zero</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setSuspended</w:t>
            </w:r>
            <w:r>
              <w:rPr>
                <w:rFonts w:ascii="Times New Roman" w:cs="Times New Roman" w:eastAsia="Times New Roman" w:hAnsi="Times New Roman"/>
                <w:b w:val="false"/>
                <w:bCs w:val="false"/>
                <w:i w:val="false"/>
                <w:iCs w:val="false"/>
                <w:smallCaps w:val="false"/>
                <w:sz w:val="16"/>
                <w:szCs w:val="16"/>
              </w:rPr>
              <w:t xml:space="preserve"> keeps history</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F8</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Low</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getAllUsers</w:t>
            </w:r>
            <w:r>
              <w:rPr>
                <w:rFonts w:ascii="Times New Roman" w:cs="Times New Roman" w:eastAsia="Times New Roman" w:hAnsi="Times New Roman"/>
                <w:b w:val="false"/>
                <w:bCs w:val="false"/>
                <w:i w:val="false"/>
                <w:iCs w:val="false"/>
                <w:smallCaps w:val="false"/>
                <w:sz w:val="16"/>
                <w:szCs w:val="16"/>
              </w:rPr>
              <w:t xml:space="preserve"> is unbounded (13,470 gas per user)</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Paginated </w:t>
            </w:r>
            <w:r>
              <w:rPr>
                <w:rFonts w:ascii="Courier New" w:cs="Courier New" w:eastAsia="Courier New" w:hAnsi="Courier New"/>
                <w:b w:val="false"/>
                <w:bCs w:val="false"/>
                <w:i w:val="false"/>
                <w:iCs w:val="false"/>
                <w:smallCaps w:val="false"/>
                <w:sz w:val="14"/>
                <w:szCs w:val="14"/>
              </w:rPr>
              <w:t xml:space="preserve">getUsers</w:t>
            </w:r>
          </w:p>
        </w:tc>
      </w:tr>
      <w:tr>
        <w:trPr>
          <w:cantSplit/>
          <w:tblHeader w:val="off"/>
        </w:trPr>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F1</w:t>
            </w:r>
          </w:p>
        </w:tc>
        <w:tc>
          <w:tcPr>
            <w:tcW w:type="dxa" w:w="77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Low</w:t>
            </w:r>
          </w:p>
        </w:tc>
        <w:tc>
          <w:tcPr>
            <w:tcW w:type="dxa" w:w="455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1,000,001 UCN supply funds only 4.7 users to level 100 (Sec. III-B)</w:t>
            </w:r>
          </w:p>
        </w:tc>
        <w:tc>
          <w:tcPr>
            <w:tcW w:type="dxa" w:w="458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100,000,000 UCN</w:t>
            </w:r>
          </w:p>
        </w:tc>
      </w:tr>
      <w:tr>
        <w:trPr>
          <w:cantSplit/>
          <w:tblHeader w:val="off"/>
        </w:trPr>
        <w:tc>
          <w:tcPr>
            <w:tcW w:type="dxa" w:w="526"/>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val="false"/>
                <w:bCs w:val="false"/>
                <w:i w:val="false"/>
                <w:iCs w:val="false"/>
                <w:smallCaps w:val="false"/>
                <w:sz w:val="16"/>
                <w:szCs w:val="16"/>
              </w:rPr>
              <w:t xml:space="preserve">M1</w:t>
            </w:r>
          </w:p>
        </w:tc>
        <w:tc>
          <w:tcPr>
            <w:tcW w:type="dxa" w:w="776"/>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val="false"/>
                <w:bCs w:val="false"/>
                <w:i w:val="false"/>
                <w:iCs w:val="false"/>
                <w:smallCaps w:val="false"/>
                <w:sz w:val="16"/>
                <w:szCs w:val="16"/>
              </w:rPr>
              <w:t xml:space="preserve">Low</w:t>
            </w:r>
          </w:p>
        </w:tc>
        <w:tc>
          <w:tcPr>
            <w:tcW w:type="dxa" w:w="4552"/>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val="false"/>
                <w:bCs w:val="false"/>
                <w:i w:val="false"/>
                <w:iCs w:val="false"/>
                <w:smallCaps w:val="false"/>
                <w:sz w:val="16"/>
                <w:szCs w:val="16"/>
              </w:rPr>
              <w:t xml:space="preserve">Reviewer rule differs between UI ( &gt; 50 contributions), README (15,000 XP) and design (21,000 XP)</w:t>
            </w:r>
          </w:p>
        </w:tc>
        <w:tc>
          <w:tcPr>
            <w:tcW w:type="dxa" w:w="4586"/>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val="false"/>
                <w:bCs w:val="false"/>
                <w:i w:val="false"/>
                <w:iCs w:val="false"/>
                <w:smallCaps w:val="false"/>
                <w:sz w:val="16"/>
                <w:szCs w:val="16"/>
              </w:rPr>
              <w:t xml:space="preserve">One rule on chain: 21,000 XP</w:t>
            </w:r>
          </w:p>
        </w:tc>
      </w:tr>
    </w:tbl>
    <w:p>
      <w:pPr>
        <w:spacing w:after="120"/>
      </w:pPr>
    </w:p>
    <w:p>
      <w:pPr>
        <w:sectPr>
          <w:type w:val="continuous"/>
          <w:pgSz w:w="12240" w:h="15840" w:orient="portrait"/>
          <w:pgMar w:top="1080" w:right="900" w:bottom="1440" w:left="900" w:header="708" w:footer="708" w:gutter="0"/>
          <w:pgNumType/>
          <w:cols w:num="1"/>
          <w:docGrid w:linePitch="360"/>
        </w:sectPr>
      </w:pP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two critical findings matter most. Because </w:t>
      </w:r>
      <w:r>
        <w:rPr>
          <w:rFonts w:ascii="Courier New" w:cs="Courier New" w:eastAsia="Courier New" w:hAnsi="Courier New"/>
          <w:b w:val="false"/>
          <w:bCs w:val="false"/>
          <w:i w:val="false"/>
          <w:iCs w:val="false"/>
          <w:smallCaps w:val="false"/>
          <w:sz w:val="18"/>
          <w:szCs w:val="18"/>
        </w:rPr>
        <w:t xml:space="preserve">RewardMechanism</w:t>
      </w:r>
      <w:r>
        <w:rPr>
          <w:rFonts w:ascii="Times New Roman" w:cs="Times New Roman" w:eastAsia="Times New Roman" w:hAnsi="Times New Roman"/>
          <w:b w:val="false"/>
          <w:bCs w:val="false"/>
          <w:i w:val="false"/>
          <w:iCs w:val="false"/>
          <w:smallCaps w:val="false"/>
        </w:rPr>
        <w:t xml:space="preserve"> never consults </w:t>
      </w:r>
      <w:r>
        <w:rPr>
          <w:rFonts w:ascii="Courier New" w:cs="Courier New" w:eastAsia="Courier New" w:hAnsi="Courier New"/>
          <w:b w:val="false"/>
          <w:bCs w:val="false"/>
          <w:i w:val="false"/>
          <w:iCs w:val="false"/>
          <w:smallCaps w:val="false"/>
          <w:sz w:val="18"/>
          <w:szCs w:val="18"/>
        </w:rPr>
        <w:t xml:space="preserve">UserDatabase</w:t>
      </w:r>
      <w:r>
        <w:rPr>
          <w:rFonts w:ascii="Times New Roman" w:cs="Times New Roman" w:eastAsia="Times New Roman" w:hAnsi="Times New Roman"/>
          <w:b w:val="false"/>
          <w:bCs w:val="false"/>
          <w:i w:val="false"/>
          <w:iCs w:val="false"/>
          <w:smallCaps w:val="false"/>
        </w:rPr>
        <w:t xml:space="preserve">, the dashboard’s “Max Requestable” limit is a convenience, not a control: our test F2 drains the full 700,000.7 UCN treasury from an unregistered wallet with one request and one approval. On Sepolia the owner approved every request seen, which is safe only while the owner recognises every user. The committed OAuth secret lets anyone impersonate the application to GitHub users, and combined with the </w:t>
      </w:r>
      <w:r>
        <w:rPr>
          <w:rFonts w:ascii="Courier New" w:cs="Courier New" w:eastAsia="Courier New" w:hAnsi="Courier New"/>
          <w:b w:val="false"/>
          <w:bCs w:val="false"/>
          <w:i w:val="false"/>
          <w:iCs w:val="false"/>
          <w:smallCaps w:val="false"/>
          <w:sz w:val="18"/>
          <w:szCs w:val="18"/>
        </w:rPr>
        <w:t xml:space="preserve">repo</w:t>
      </w:r>
      <w:r>
        <w:rPr>
          <w:rFonts w:ascii="Times New Roman" w:cs="Times New Roman" w:eastAsia="Times New Roman" w:hAnsi="Times New Roman"/>
          <w:b w:val="false"/>
          <w:bCs w:val="false"/>
          <w:i w:val="false"/>
          <w:iCs w:val="false"/>
          <w:smallCaps w:val="false"/>
        </w:rPr>
        <w:t xml:space="preserve"> scope it could have been used to request write access to their private repositories. Neither finding needs a clever attacker.</w:t>
      </w:r>
    </w:p>
    <w:p>
      <w:pPr>
        <w:pStyle w:val="Heading1"/>
        <w:keepNext/>
        <w:spacing w:after="80" w:before="200"/>
        <w:jc w:val="center"/>
      </w:pPr>
      <w:r>
        <w:rPr>
          <w:rFonts w:ascii="Times New Roman" w:cs="Times New Roman" w:eastAsia="Times New Roman" w:hAnsi="Times New Roman"/>
          <w:smallCaps/>
        </w:rPr>
        <w:t xml:space="preserve">III. </w:t>
      </w:r>
      <w:r>
        <w:rPr>
          <w:rFonts w:ascii="Times New Roman" w:cs="Times New Roman" w:eastAsia="Times New Roman" w:hAnsi="Times New Roman"/>
          <w:b w:val="false"/>
          <w:bCs w:val="false"/>
          <w:i w:val="false"/>
          <w:iCs w:val="false"/>
          <w:smallCaps/>
        </w:rPr>
        <w:t xml:space="preserve">BlockSource Design</w:t>
      </w:r>
    </w:p>
    <w:p>
      <w:pPr>
        <w:pStyle w:val="Heading2"/>
        <w:keepNext/>
        <w:spacing w:after="40" w:before="80"/>
      </w:pPr>
      <w:r>
        <w:rPr>
          <w:rFonts w:ascii="Times New Roman" w:cs="Times New Roman" w:eastAsia="Times New Roman" w:hAnsi="Times New Roman"/>
          <w:i/>
          <w:iCs/>
        </w:rPr>
        <w:t xml:space="preserve">A. </w:t>
      </w:r>
      <w:r>
        <w:rPr>
          <w:rFonts w:ascii="Times New Roman" w:cs="Times New Roman" w:eastAsia="Times New Roman" w:hAnsi="Times New Roman"/>
          <w:b w:val="false"/>
          <w:bCs w:val="false"/>
          <w:i/>
          <w:iCs/>
          <w:smallCaps w:val="false"/>
        </w:rPr>
        <w:t xml:space="preserve">Roles, trust model and access control</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BlockSource keeps the prototype’s three-contract layout so that the frontend and deployment scripts change little, but moves every rule that affects money on chain. </w:t>
      </w:r>
      <w:r>
        <w:rPr>
          <w:rFonts w:ascii="Courier New" w:cs="Courier New" w:eastAsia="Courier New" w:hAnsi="Courier New"/>
          <w:b w:val="false"/>
          <w:bCs w:val="false"/>
          <w:i w:val="false"/>
          <w:iCs w:val="false"/>
          <w:smallCaps w:val="false"/>
          <w:sz w:val="18"/>
          <w:szCs w:val="18"/>
        </w:rPr>
        <w:t xml:space="preserve">UserDatabase</w:t>
      </w:r>
      <w:r>
        <w:rPr>
          <w:rFonts w:ascii="Times New Roman" w:cs="Times New Roman" w:eastAsia="Times New Roman" w:hAnsi="Times New Roman"/>
          <w:b w:val="false"/>
          <w:bCs w:val="false"/>
          <w:i w:val="false"/>
          <w:iCs w:val="false"/>
          <w:smallCaps w:val="false"/>
        </w:rPr>
        <w:t xml:space="preserve"> (under OpenZeppelin </w:t>
      </w:r>
      <w:r>
        <w:rPr>
          <w:rFonts w:ascii="Courier New" w:cs="Courier New" w:eastAsia="Courier New" w:hAnsi="Courier New"/>
          <w:b w:val="false"/>
          <w:bCs w:val="false"/>
          <w:i w:val="false"/>
          <w:iCs w:val="false"/>
          <w:smallCaps w:val="false"/>
          <w:sz w:val="18"/>
          <w:szCs w:val="18"/>
        </w:rPr>
        <w:t xml:space="preserve">AccessControl</w:t>
      </w:r>
      <w:r>
        <w:rPr>
          <w:rFonts w:ascii="Times New Roman" w:cs="Times New Roman" w:eastAsia="Times New Roman" w:hAnsi="Times New Roman"/>
          <w:b w:val="false"/>
          <w:bCs w:val="false"/>
          <w:i w:val="false"/>
          <w:iCs w:val="false"/>
          <w:smallCaps w:val="false"/>
        </w:rPr>
        <w:t xml:space="preserve">) recognises three roles: </w:t>
      </w:r>
      <w:r>
        <w:rPr>
          <w:rFonts w:ascii="Courier New" w:cs="Courier New" w:eastAsia="Courier New" w:hAnsi="Courier New"/>
          <w:b w:val="false"/>
          <w:bCs w:val="false"/>
          <w:i w:val="false"/>
          <w:iCs w:val="false"/>
          <w:smallCaps w:val="false"/>
          <w:sz w:val="18"/>
          <w:szCs w:val="18"/>
        </w:rPr>
        <w:t xml:space="preserve">DEFAULT_ADMIN</w:t>
      </w:r>
      <w:r>
        <w:rPr>
          <w:rFonts w:ascii="Times New Roman" w:cs="Times New Roman" w:eastAsia="Times New Roman" w:hAnsi="Times New Roman"/>
          <w:b w:val="false"/>
          <w:bCs w:val="false"/>
          <w:i w:val="false"/>
          <w:iCs w:val="false"/>
          <w:smallCaps w:val="false"/>
        </w:rPr>
        <w:t xml:space="preserve"> can suspend users; </w:t>
      </w:r>
      <w:r>
        <w:rPr>
          <w:rFonts w:ascii="Courier New" w:cs="Courier New" w:eastAsia="Courier New" w:hAnsi="Courier New"/>
          <w:b w:val="false"/>
          <w:bCs w:val="false"/>
          <w:i w:val="false"/>
          <w:iCs w:val="false"/>
          <w:smallCaps w:val="false"/>
          <w:sz w:val="18"/>
          <w:szCs w:val="18"/>
        </w:rPr>
        <w:t xml:space="preserve">ATTESTER</w:t>
      </w:r>
      <w:r>
        <w:rPr>
          <w:rFonts w:ascii="Times New Roman" w:cs="Times New Roman" w:eastAsia="Times New Roman" w:hAnsi="Times New Roman"/>
          <w:b w:val="false"/>
          <w:bCs w:val="false"/>
          <w:i w:val="false"/>
          <w:iCs w:val="false"/>
          <w:smallCaps w:val="false"/>
        </w:rPr>
        <w:t xml:space="preserve"> signs identity bindings; </w:t>
      </w:r>
      <w:r>
        <w:rPr>
          <w:rFonts w:ascii="Courier New" w:cs="Courier New" w:eastAsia="Courier New" w:hAnsi="Courier New"/>
          <w:b w:val="false"/>
          <w:bCs w:val="false"/>
          <w:i w:val="false"/>
          <w:iCs w:val="false"/>
          <w:smallCaps w:val="false"/>
          <w:sz w:val="18"/>
          <w:szCs w:val="18"/>
        </w:rPr>
        <w:t xml:space="preserve">XP_UPDATER</w:t>
      </w:r>
      <w:r>
        <w:rPr>
          <w:rFonts w:ascii="Times New Roman" w:cs="Times New Roman" w:eastAsia="Times New Roman" w:hAnsi="Times New Roman"/>
          <w:b w:val="false"/>
          <w:bCs w:val="false"/>
          <w:i w:val="false"/>
          <w:iCs w:val="false"/>
          <w:smallCaps w:val="false"/>
        </w:rPr>
        <w:t xml:space="preserve"> submits contribution counts. </w:t>
      </w:r>
      <w:r>
        <w:rPr>
          <w:rFonts w:ascii="Courier New" w:cs="Courier New" w:eastAsia="Courier New" w:hAnsi="Courier New"/>
          <w:b w:val="false"/>
          <w:bCs w:val="false"/>
          <w:i w:val="false"/>
          <w:iCs w:val="false"/>
          <w:smallCaps w:val="false"/>
          <w:sz w:val="18"/>
          <w:szCs w:val="18"/>
        </w:rPr>
        <w:t xml:space="preserve">RewardMechanism</w:t>
      </w:r>
      <w:r>
        <w:rPr>
          <w:rFonts w:ascii="Times New Roman" w:cs="Times New Roman" w:eastAsia="Times New Roman" w:hAnsi="Times New Roman"/>
          <w:b w:val="false"/>
          <w:bCs w:val="false"/>
          <w:i w:val="false"/>
          <w:iCs w:val="false"/>
          <w:smallCaps w:val="false"/>
        </w:rPr>
        <w:t xml:space="preserve"> uses </w:t>
      </w:r>
      <w:r>
        <w:rPr>
          <w:rFonts w:ascii="Courier New" w:cs="Courier New" w:eastAsia="Courier New" w:hAnsi="Courier New"/>
          <w:b w:val="false"/>
          <w:bCs w:val="false"/>
          <w:i w:val="false"/>
          <w:iCs w:val="false"/>
          <w:smallCaps w:val="false"/>
          <w:sz w:val="18"/>
          <w:szCs w:val="18"/>
        </w:rPr>
        <w:t xml:space="preserve">Ownable2Step</w:t>
      </w:r>
      <w:r>
        <w:rPr>
          <w:rFonts w:ascii="Times New Roman" w:cs="Times New Roman" w:eastAsia="Times New Roman" w:hAnsi="Times New Roman"/>
          <w:b w:val="false"/>
          <w:bCs w:val="false"/>
          <w:i w:val="false"/>
          <w:iCs w:val="false"/>
          <w:smallCaps w:val="false"/>
        </w:rPr>
        <w:t xml:space="preserve"> [29]: the owner reviews withdrawals above a configurable </w:t>
      </w:r>
      <w:r>
        <w:rPr>
          <w:rFonts w:ascii="Courier New" w:cs="Courier New" w:eastAsia="Courier New" w:hAnsi="Courier New"/>
          <w:b w:val="false"/>
          <w:bCs w:val="false"/>
          <w:i w:val="false"/>
          <w:iCs w:val="false"/>
          <w:smallCaps w:val="false"/>
          <w:sz w:val="18"/>
          <w:szCs w:val="18"/>
        </w:rPr>
        <w:t xml:space="preserve">instantLimit</w:t>
      </w:r>
      <w:r>
        <w:rPr>
          <w:rFonts w:ascii="Times New Roman" w:cs="Times New Roman" w:eastAsia="Times New Roman" w:hAnsi="Times New Roman"/>
          <w:b w:val="false"/>
          <w:bCs w:val="false"/>
          <w:i w:val="false"/>
          <w:iCs w:val="false"/>
          <w:smallCaps w:val="false"/>
        </w:rPr>
        <w:t xml:space="preserve"> and can change that limit.</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Users hold one of two roles derived from XP: Contributor, and Reviewer from XP</w:t>
      </w:r>
      <w:r>
        <w:rPr>
          <w:rFonts w:ascii="Times New Roman" w:cs="Times New Roman" w:eastAsia="Times New Roman" w:hAnsi="Times New Roman"/>
          <w:b w:val="false"/>
          <w:bCs w:val="false"/>
          <w:i w:val="false"/>
          <w:iCs w:val="false"/>
          <w:smallCaps w:val="false"/>
          <w:vertAlign w:val="superscript"/>
        </w:rPr>
        <w:t xml:space="preserve">rev</w:t>
      </w:r>
      <w:r>
        <w:rPr>
          <w:rFonts w:ascii="Times New Roman" w:cs="Times New Roman" w:eastAsia="Times New Roman" w:hAnsi="Times New Roman"/>
          <w:b w:val="false"/>
          <w:bCs w:val="false"/>
          <w:i w:val="false"/>
          <w:iCs w:val="false"/>
          <w:smallCaps w:val="false"/>
        </w:rPr>
        <w:t xml:space="preserve"> = 21,000. Because XP</w:t>
      </w:r>
      <w:r>
        <w:rPr>
          <w:rFonts w:ascii="Times New Roman" w:cs="Times New Roman" w:eastAsia="Times New Roman" w:hAnsi="Times New Roman"/>
          <w:b w:val="false"/>
          <w:bCs w:val="false"/>
          <w:i w:val="false"/>
          <w:iCs w:val="false"/>
          <w:smallCaps w:val="false"/>
          <w:vertAlign w:val="subscript"/>
        </w:rPr>
        <w:t xml:space="preserve">20</w:t>
      </w:r>
      <w:r>
        <w:rPr>
          <w:rFonts w:ascii="Times New Roman" w:cs="Times New Roman" w:eastAsia="Times New Roman" w:hAnsi="Times New Roman"/>
          <w:b w:val="false"/>
          <w:bCs w:val="false"/>
          <w:i w:val="false"/>
          <w:iCs w:val="false"/>
          <w:smallCaps w:val="false"/>
        </w:rPr>
        <w:t xml:space="preserve"> = 50·20·21 = 21,000, promotion coincides with level 20 and 420 counted contributions. The role is computed on read and announced once by a </w:t>
      </w:r>
      <w:r>
        <w:rPr>
          <w:rFonts w:ascii="Courier New" w:cs="Courier New" w:eastAsia="Courier New" w:hAnsi="Courier New"/>
          <w:b w:val="false"/>
          <w:bCs w:val="false"/>
          <w:i w:val="false"/>
          <w:iCs w:val="false"/>
          <w:smallCaps w:val="false"/>
          <w:sz w:val="18"/>
          <w:szCs w:val="18"/>
        </w:rPr>
        <w:t xml:space="preserve">ReviewerPromoted</w:t>
      </w:r>
      <w:r>
        <w:rPr>
          <w:rFonts w:ascii="Times New Roman" w:cs="Times New Roman" w:eastAsia="Times New Roman" w:hAnsi="Times New Roman"/>
          <w:b w:val="false"/>
          <w:bCs w:val="false"/>
          <w:i w:val="false"/>
          <w:iCs w:val="false"/>
          <w:smallCaps w:val="false"/>
        </w:rPr>
        <w:t xml:space="preserve"> event, so promotion writes no storage.</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trust model is explicit. The ledger and the rules are public, so anyone can recompute a user’s level and entitlement from events. Two parties remain trusted: the backend reports contribution counts, which is the oracle problem in its usual form [30], and the owner reviews large withdrawals. The design narrows both. Counts are restricted to public data, so a third party can recompute every count from GitHub’s API and detect a dishonest attester; and the owner can now only </w:t>
      </w:r>
      <w:r>
        <w:rPr>
          <w:rFonts w:ascii="Times New Roman" w:cs="Times New Roman" w:eastAsia="Times New Roman" w:hAnsi="Times New Roman"/>
          <w:b w:val="false"/>
          <w:bCs w:val="false"/>
          <w:i/>
          <w:iCs/>
          <w:smallCaps w:val="false"/>
        </w:rPr>
        <w:t xml:space="preserve">delay or refuse</w:t>
      </w:r>
      <w:r>
        <w:rPr>
          <w:rFonts w:ascii="Times New Roman" w:cs="Times New Roman" w:eastAsia="Times New Roman" w:hAnsi="Times New Roman"/>
          <w:b w:val="false"/>
          <w:bCs w:val="false"/>
          <w:i w:val="false"/>
          <w:iCs w:val="false"/>
          <w:smallCaps w:val="false"/>
        </w:rPr>
        <w:t xml:space="preserve"> a payout, never pay more than the contract has credited.</w:t>
      </w:r>
    </w:p>
    <w:p>
      <w:pPr>
        <w:pStyle w:val="Heading2"/>
        <w:keepNext/>
        <w:spacing w:after="40" w:before="80"/>
      </w:pPr>
      <w:r>
        <w:rPr>
          <w:rFonts w:ascii="Times New Roman" w:cs="Times New Roman" w:eastAsia="Times New Roman" w:hAnsi="Times New Roman"/>
          <w:i/>
          <w:iCs/>
        </w:rPr>
        <w:t xml:space="preserve">B. </w:t>
      </w:r>
      <w:r>
        <w:rPr>
          <w:rFonts w:ascii="Times New Roman" w:cs="Times New Roman" w:eastAsia="Times New Roman" w:hAnsi="Times New Roman"/>
          <w:b w:val="false"/>
          <w:bCs w:val="false"/>
          <w:i/>
          <w:iCs/>
          <w:smallCaps w:val="false"/>
        </w:rPr>
        <w:t xml:space="preserve">Progression and reward model</w:t>
      </w:r>
    </w:p>
    <w:p>
      <w:pPr>
        <w:spacing w:after="60" w:before="100"/>
        <w:jc w:val="both"/>
      </w:pPr>
      <w:r>
        <w:rPr>
          <w:rFonts w:ascii="Times New Roman" w:cs="Times New Roman" w:eastAsia="Times New Roman" w:hAnsi="Times New Roman"/>
          <w:b/>
          <w:bCs/>
        </w:rPr>
        <w:t xml:space="preserve">Definition 1</w:t>
      </w:r>
      <w:r>
        <w:rPr>
          <w:rFonts w:ascii="Times New Roman" w:cs="Times New Roman" w:eastAsia="Times New Roman" w:hAnsi="Times New Roman"/>
        </w:rPr>
        <w:t xml:space="preserve"> (Level threshold). </w:t>
      </w:r>
      <w:r>
        <w:rPr>
          <w:rFonts w:ascii="Times New Roman" w:cs="Times New Roman" w:eastAsia="Times New Roman" w:hAnsi="Times New Roman"/>
          <w:b w:val="false"/>
          <w:bCs w:val="false"/>
          <w:i/>
          <w:iCs/>
          <w:smallCaps w:val="false"/>
        </w:rPr>
        <w:t xml:space="preserve">Level </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 ∈ {1,…,100} requires cumulative XP XP</w:t>
      </w:r>
      <w:r>
        <w:rPr>
          <w:rFonts w:ascii="Times New Roman" w:cs="Times New Roman" w:eastAsia="Times New Roman" w:hAnsi="Times New Roman"/>
          <w:b w:val="false"/>
          <w:bCs w:val="false"/>
          <w:i/>
          <w:iCs/>
          <w:smallCaps w:val="false"/>
          <w:vertAlign w:val="subscript"/>
        </w:rPr>
        <w:t xml:space="preserve">n</w:t>
      </w:r>
      <w:r>
        <w:rPr>
          <w:rFonts w:ascii="Times New Roman" w:cs="Times New Roman" w:eastAsia="Times New Roman" w:hAnsi="Times New Roman"/>
          <w:b w:val="false"/>
          <w:bCs w:val="false"/>
          <w:i/>
          <w:iCs/>
          <w:smallCaps w:val="false"/>
        </w:rPr>
        <w:t xml:space="preserve"> = 50 </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 + 1); each counted contribution adds 50 XP.</w:t>
      </w:r>
    </w:p>
    <w:p>
      <w:pPr>
        <w:spacing w:after="60" w:before="100"/>
        <w:jc w:val="both"/>
      </w:pPr>
      <w:r>
        <w:rPr>
          <w:rFonts w:ascii="Times New Roman" w:cs="Times New Roman" w:eastAsia="Times New Roman" w:hAnsi="Times New Roman"/>
          <w:b/>
          <w:bCs/>
        </w:rPr>
        <w:t xml:space="preserve">Proposition 1</w:t>
      </w:r>
      <w:r>
        <w:rPr>
          <w:rFonts w:ascii="Times New Roman" w:cs="Times New Roman" w:eastAsia="Times New Roman" w:hAnsi="Times New Roman"/>
        </w:rPr>
        <w:t xml:space="preserve"> (Monotone, convex effort). </w:t>
      </w:r>
      <w:r>
        <w:rPr>
          <w:rFonts w:ascii="Times New Roman" w:cs="Times New Roman" w:eastAsia="Times New Roman" w:hAnsi="Times New Roman"/>
          <w:b w:val="false"/>
          <w:bCs w:val="false"/>
          <w:i/>
          <w:iCs/>
          <w:smallCaps w:val="false"/>
        </w:rPr>
        <w:t xml:space="preserve">XP</w:t>
      </w:r>
      <w:r>
        <w:rPr>
          <w:rFonts w:ascii="Times New Roman" w:cs="Times New Roman" w:eastAsia="Times New Roman" w:hAnsi="Times New Roman"/>
          <w:b w:val="false"/>
          <w:bCs w:val="false"/>
          <w:i/>
          <w:iCs/>
          <w:smallCaps w:val="false"/>
          <w:vertAlign w:val="subscript"/>
        </w:rPr>
        <w:t xml:space="preserve">n</w:t>
      </w:r>
      <w:r>
        <w:rPr>
          <w:rFonts w:ascii="Times New Roman" w:cs="Times New Roman" w:eastAsia="Times New Roman" w:hAnsi="Times New Roman"/>
          <w:b w:val="false"/>
          <w:bCs w:val="false"/>
          <w:i/>
          <w:iCs/>
          <w:smallCaps w:val="false"/>
        </w:rPr>
        <w:t xml:space="preserve"> is strictly increasing and convex. Reaching level </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 takes </w:t>
      </w:r>
      <w:r>
        <w:rPr>
          <w:rFonts w:ascii="Times New Roman" w:cs="Times New Roman" w:eastAsia="Times New Roman" w:hAnsi="Times New Roman"/>
          <w:b w:val="false"/>
          <w:bCs w:val="false"/>
          <w:i/>
          <w:iCs/>
          <w:smallCaps w:val="false"/>
        </w:rPr>
        <w:t xml:space="preserve">C</w:t>
      </w:r>
      <w:r>
        <w:rPr>
          <w:rFonts w:ascii="Times New Roman" w:cs="Times New Roman" w:eastAsia="Times New Roman" w:hAnsi="Times New Roman"/>
          <w:b w:val="false"/>
          <w:bCs w:val="false"/>
          <w:i/>
          <w:iCs/>
          <w:smallCaps w:val="false"/>
        </w:rPr>
        <w:t xml:space="preserve">(</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 = </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 + 1) contributions, and level </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 − 1 → </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 takes 2</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iCs/>
          <w:smallCaps w:val="false"/>
        </w:rPr>
        <w:t xml:space="preserve">.</w:t>
      </w:r>
    </w:p>
    <w:p>
      <w:pPr>
        <w:spacing w:after="100"/>
        <w:jc w:val="both"/>
      </w:pPr>
      <w:r>
        <w:rPr>
          <w:rFonts w:ascii="Times New Roman" w:cs="Times New Roman" w:eastAsia="Times New Roman" w:hAnsi="Times New Roman"/>
          <w:i/>
          <w:iCs/>
        </w:rPr>
        <w:t xml:space="preserve">Proof. </w:t>
      </w:r>
      <w:r>
        <w:rPr>
          <w:rFonts w:ascii="Times New Roman" w:cs="Times New Roman" w:eastAsia="Times New Roman" w:hAnsi="Times New Roman"/>
          <w:b w:val="false"/>
          <w:bCs w:val="false"/>
          <w:i w:val="false"/>
          <w:iCs w:val="false"/>
          <w:smallCaps w:val="false"/>
        </w:rPr>
        <w:t xml:space="preserve">XP</w:t>
      </w:r>
      <w:r>
        <w:rPr>
          <w:rFonts w:ascii="Times New Roman" w:cs="Times New Roman" w:eastAsia="Times New Roman" w:hAnsi="Times New Roman"/>
          <w:b w:val="false"/>
          <w:bCs w:val="false"/>
          <w:i/>
          <w:iCs/>
          <w:smallCaps w:val="false"/>
          <w:vertAlign w:val="subscript"/>
        </w:rPr>
        <w:t xml:space="preserve">n</w:t>
      </w:r>
      <w:r>
        <w:rPr>
          <w:rFonts w:ascii="Times New Roman" w:cs="Times New Roman" w:eastAsia="Times New Roman" w:hAnsi="Times New Roman"/>
          <w:b w:val="false"/>
          <w:bCs w:val="false"/>
          <w:i w:val="false"/>
          <w:iCs w:val="false"/>
          <w:smallCaps w:val="false"/>
          <w:vertAlign w:val="subscript"/>
        </w:rPr>
        <w:t xml:space="preserve"> + 1</w:t>
      </w:r>
      <w:r>
        <w:rPr>
          <w:rFonts w:ascii="Times New Roman" w:cs="Times New Roman" w:eastAsia="Times New Roman" w:hAnsi="Times New Roman"/>
          <w:b w:val="false"/>
          <w:bCs w:val="false"/>
          <w:i w:val="false"/>
          <w:iCs w:val="false"/>
          <w:smallCaps w:val="false"/>
        </w:rPr>
        <w:t xml:space="preserve"> − XP</w:t>
      </w:r>
      <w:r>
        <w:rPr>
          <w:rFonts w:ascii="Times New Roman" w:cs="Times New Roman" w:eastAsia="Times New Roman" w:hAnsi="Times New Roman"/>
          <w:b w:val="false"/>
          <w:bCs w:val="false"/>
          <w:i/>
          <w:iCs/>
          <w:smallCaps w:val="false"/>
          <w:vertAlign w:val="subscript"/>
        </w:rPr>
        <w:t xml:space="preserve">n</w:t>
      </w:r>
      <w:r>
        <w:rPr>
          <w:rFonts w:ascii="Times New Roman" w:cs="Times New Roman" w:eastAsia="Times New Roman" w:hAnsi="Times New Roman"/>
          <w:b w:val="false"/>
          <w:bCs w:val="false"/>
          <w:i w:val="false"/>
          <w:iCs w:val="false"/>
          <w:smallCaps w:val="false"/>
        </w:rPr>
        <w:t xml:space="preserve"> = 100(</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 + 1) &gt; 0 and the second difference is 100 &gt; 0; divide by 50.</w:t>
      </w:r>
      <w:r>
        <w:rPr>
          <w:rFonts w:ascii="Times New Roman" w:cs="Times New Roman" w:eastAsia="Times New Roman" w:hAnsi="Times New Roman"/>
        </w:rPr>
        <w:t xml:space="preserve"> ∎</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Level 20 takes 420 contributions, level 50 takes 2,550 and level 100 takes 10,100. At five counted contributions a week, level 20 arrives after 84 weeks and level 100 after about 39 years.</w:t>
      </w:r>
    </w:p>
    <w:p>
      <w:pPr>
        <w:spacing w:after="60" w:before="100"/>
        <w:jc w:val="both"/>
      </w:pPr>
      <w:r>
        <w:rPr>
          <w:rFonts w:ascii="Times New Roman" w:cs="Times New Roman" w:eastAsia="Times New Roman" w:hAnsi="Times New Roman"/>
          <w:b/>
          <w:bCs/>
        </w:rPr>
        <w:t xml:space="preserve">Proposition 2</w:t>
      </w:r>
      <w:r>
        <w:rPr>
          <w:rFonts w:ascii="Times New Roman" w:cs="Times New Roman" w:eastAsia="Times New Roman" w:hAnsi="Times New Roman"/>
        </w:rPr>
        <w:t xml:space="preserve"> (Exact integer inverse). </w:t>
      </w:r>
      <w:r>
        <w:rPr>
          <w:rFonts w:ascii="Times New Roman" w:cs="Times New Roman" w:eastAsia="Times New Roman" w:hAnsi="Times New Roman"/>
          <w:b w:val="false"/>
          <w:bCs w:val="false"/>
          <w:i/>
          <w:iCs/>
          <w:smallCaps w:val="false"/>
        </w:rPr>
        <w:t xml:space="preserve">For XP </w:t>
      </w:r>
      <w:r>
        <w:rPr>
          <w:rFonts w:ascii="Times New Roman" w:cs="Times New Roman" w:eastAsia="Times New Roman" w:hAnsi="Times New Roman"/>
          <w:b w:val="false"/>
          <w:bCs w:val="false"/>
          <w:i/>
          <w:iCs/>
          <w:smallCaps w:val="false"/>
        </w:rPr>
        <w:t xml:space="preserve">x</w:t>
      </w:r>
      <w:r>
        <w:rPr>
          <w:rFonts w:ascii="Times New Roman" w:cs="Times New Roman" w:eastAsia="Times New Roman" w:hAnsi="Times New Roman"/>
          <w:b w:val="false"/>
          <w:bCs w:val="false"/>
          <w:i/>
          <w:iCs/>
          <w:smallCaps w:val="false"/>
        </w:rPr>
        <w:t xml:space="preserve">, let </w:t>
      </w:r>
      <w:r>
        <w:rPr>
          <w:rFonts w:ascii="Times New Roman" w:cs="Times New Roman" w:eastAsia="Times New Roman" w:hAnsi="Times New Roman"/>
          <w:b w:val="false"/>
          <w:bCs w:val="false"/>
          <w:i/>
          <w:iCs/>
          <w:smallCaps w:val="false"/>
        </w:rPr>
        <w:t xml:space="preserve">m</w:t>
      </w:r>
      <w:r>
        <w:rPr>
          <w:rFonts w:ascii="Times New Roman" w:cs="Times New Roman" w:eastAsia="Times New Roman" w:hAnsi="Times New Roman"/>
          <w:b w:val="false"/>
          <w:bCs w:val="false"/>
          <w:i/>
          <w:iCs/>
          <w:smallCaps w:val="false"/>
        </w:rPr>
        <w:t xml:space="preserve"> = ⌊</w:t>
      </w:r>
      <w:r>
        <w:rPr>
          <w:rFonts w:ascii="Times New Roman" w:cs="Times New Roman" w:eastAsia="Times New Roman" w:hAnsi="Times New Roman"/>
          <w:b w:val="false"/>
          <w:bCs w:val="false"/>
          <w:i/>
          <w:iCs/>
          <w:smallCaps w:val="false"/>
        </w:rPr>
        <w:t xml:space="preserve">x</w:t>
      </w:r>
      <w:r>
        <w:rPr>
          <w:rFonts w:ascii="Times New Roman" w:cs="Times New Roman" w:eastAsia="Times New Roman" w:hAnsi="Times New Roman"/>
          <w:b w:val="false"/>
          <w:bCs w:val="false"/>
          <w:i/>
          <w:iCs/>
          <w:smallCaps w:val="false"/>
        </w:rPr>
        <w:t xml:space="preserve">/50⌋ and </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iCs/>
          <w:smallCaps w:val="false"/>
        </w:rPr>
        <w:t xml:space="preserve"> = ⌊√(4</w:t>
      </w:r>
      <w:r>
        <w:rPr>
          <w:rFonts w:ascii="Times New Roman" w:cs="Times New Roman" w:eastAsia="Times New Roman" w:hAnsi="Times New Roman"/>
          <w:b w:val="false"/>
          <w:bCs w:val="false"/>
          <w:i/>
          <w:iCs/>
          <w:smallCaps w:val="false"/>
        </w:rPr>
        <w:t xml:space="preserve">m</w:t>
      </w:r>
      <w:r>
        <w:rPr>
          <w:rFonts w:ascii="Times New Roman" w:cs="Times New Roman" w:eastAsia="Times New Roman" w:hAnsi="Times New Roman"/>
          <w:b w:val="false"/>
          <w:bCs w:val="false"/>
          <w:i/>
          <w:iCs/>
          <w:smallCaps w:val="false"/>
        </w:rPr>
        <w:t xml:space="preserve"> + 1)⌋. Then ℓ(</w:t>
      </w:r>
      <w:r>
        <w:rPr>
          <w:rFonts w:ascii="Times New Roman" w:cs="Times New Roman" w:eastAsia="Times New Roman" w:hAnsi="Times New Roman"/>
          <w:b w:val="false"/>
          <w:bCs w:val="false"/>
          <w:i/>
          <w:iCs/>
          <w:smallCaps w:val="false"/>
        </w:rPr>
        <w:t xml:space="preserve">x</w:t>
      </w:r>
      <w:r>
        <w:rPr>
          <w:rFonts w:ascii="Times New Roman" w:cs="Times New Roman" w:eastAsia="Times New Roman" w:hAnsi="Times New Roman"/>
          <w:b w:val="false"/>
          <w:bCs w:val="false"/>
          <w:i/>
          <w:iCs/>
          <w:smallCaps w:val="false"/>
        </w:rPr>
        <w:t xml:space="preserve">) = min(100,⌊(</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iCs/>
          <w:smallCaps w:val="false"/>
        </w:rPr>
        <w:t xml:space="preserve"> − 1)/2⌋).</w:t>
      </w:r>
    </w:p>
    <w:p>
      <w:pPr>
        <w:spacing w:after="100"/>
        <w:jc w:val="both"/>
      </w:pPr>
      <w:r>
        <w:rPr>
          <w:rFonts w:ascii="Times New Roman" w:cs="Times New Roman" w:eastAsia="Times New Roman" w:hAnsi="Times New Roman"/>
          <w:i/>
          <w:iCs/>
        </w:rPr>
        <w:t xml:space="preserve">Proof. </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 + 1) ≤ </w:t>
      </w:r>
      <w:r>
        <w:rPr>
          <w:rFonts w:ascii="Times New Roman" w:cs="Times New Roman" w:eastAsia="Times New Roman" w:hAnsi="Times New Roman"/>
          <w:b w:val="false"/>
          <w:bCs w:val="false"/>
          <w:i/>
          <w:iCs/>
          <w:smallCaps w:val="false"/>
        </w:rPr>
        <w:t xml:space="preserve">m</w:t>
      </w:r>
      <w:r>
        <w:rPr>
          <w:rFonts w:ascii="Times New Roman" w:cs="Times New Roman" w:eastAsia="Times New Roman" w:hAnsi="Times New Roman"/>
          <w:b w:val="false"/>
          <w:bCs w:val="false"/>
          <w:i w:val="false"/>
          <w:iCs w:val="false"/>
          <w:smallCaps w:val="false"/>
        </w:rPr>
        <w:t xml:space="preserve"> ⇔ (2</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 + 1)</w:t>
      </w:r>
      <w:r>
        <w:rPr>
          <w:rFonts w:ascii="Times New Roman" w:cs="Times New Roman" w:eastAsia="Times New Roman" w:hAnsi="Times New Roman"/>
          <w:b w:val="false"/>
          <w:bCs w:val="false"/>
          <w:i w:val="false"/>
          <w:iCs w:val="false"/>
          <w:smallCaps w:val="false"/>
          <w:vertAlign w:val="superscript"/>
        </w:rPr>
        <w:t xml:space="preserve">2</w:t>
      </w:r>
      <w:r>
        <w:rPr>
          <w:rFonts w:ascii="Times New Roman" w:cs="Times New Roman" w:eastAsia="Times New Roman" w:hAnsi="Times New Roman"/>
          <w:b w:val="false"/>
          <w:bCs w:val="false"/>
          <w:i w:val="false"/>
          <w:iCs w:val="false"/>
          <w:smallCaps w:val="false"/>
        </w:rPr>
        <w:t xml:space="preserve"> ≤ 4</w:t>
      </w:r>
      <w:r>
        <w:rPr>
          <w:rFonts w:ascii="Times New Roman" w:cs="Times New Roman" w:eastAsia="Times New Roman" w:hAnsi="Times New Roman"/>
          <w:b w:val="false"/>
          <w:bCs w:val="false"/>
          <w:i/>
          <w:iCs/>
          <w:smallCaps w:val="false"/>
        </w:rPr>
        <w:t xml:space="preserve">m</w:t>
      </w:r>
      <w:r>
        <w:rPr>
          <w:rFonts w:ascii="Times New Roman" w:cs="Times New Roman" w:eastAsia="Times New Roman" w:hAnsi="Times New Roman"/>
          <w:b w:val="false"/>
          <w:bCs w:val="false"/>
          <w:i w:val="false"/>
          <w:iCs w:val="false"/>
          <w:smallCaps w:val="false"/>
        </w:rPr>
        <w:t xml:space="preserve"> + 1 ⇔ 2</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 + 1 ≤ </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val="false"/>
          <w:iCs w:val="false"/>
          <w:smallCaps w:val="false"/>
        </w:rPr>
        <w:t xml:space="preserve"> since 2</w:t>
      </w:r>
      <w:r>
        <w:rPr>
          <w:rFonts w:ascii="Times New Roman" w:cs="Times New Roman" w:eastAsia="Times New Roman" w:hAnsi="Times New Roman"/>
          <w:b w:val="false"/>
          <w:bCs w:val="false"/>
          <w:i/>
          <w:iCs/>
          <w:smallCaps w:val="false"/>
        </w:rPr>
        <w:t xml:space="preserve">n</w:t>
      </w:r>
      <w:r>
        <w:rPr>
          <w:rFonts w:ascii="Times New Roman" w:cs="Times New Roman" w:eastAsia="Times New Roman" w:hAnsi="Times New Roman"/>
          <w:b w:val="false"/>
          <w:bCs w:val="false"/>
          <w:i w:val="false"/>
          <w:iCs w:val="false"/>
          <w:smallCaps w:val="false"/>
        </w:rPr>
        <w:t xml:space="preserve"> + 1 is an integer.</w:t>
      </w:r>
      <w:r>
        <w:rPr>
          <w:rFonts w:ascii="Times New Roman" w:cs="Times New Roman" w:eastAsia="Times New Roman" w:hAnsi="Times New Roman"/>
        </w:rPr>
        <w:t xml:space="preserve"> ∎</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prototype’s dashboard found the level with a loop; the contract evaluates Proposition 2 in constant gas with an integer square root, and the frontend uses the same formula so both always agree.</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Rewards.</w:t>
      </w:r>
      <w:r>
        <w:rPr>
          <w:rFonts w:ascii="Times New Roman" w:cs="Times New Roman" w:eastAsia="Times New Roman" w:hAnsi="Times New Roman"/>
          <w:b w:val="false"/>
          <w:bCs w:val="false"/>
          <w:i w:val="false"/>
          <w:iCs w:val="false"/>
          <w:smallCaps w:val="false"/>
        </w:rPr>
        <w:t xml:space="preserve"> Reaching level </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val="false"/>
          <w:iCs w:val="false"/>
          <w:smallCaps w:val="false"/>
        </w:rPr>
        <w:t xml:space="preserve"> credits </w:t>
      </w:r>
      <w:r>
        <w:rPr>
          <w:rFonts w:ascii="Times New Roman" w:cs="Times New Roman" w:eastAsia="Times New Roman" w:hAnsi="Times New Roman"/>
          <w:b w:val="false"/>
          <w:bCs w:val="false"/>
          <w:i/>
          <w:iCs/>
          <w:smallCaps w:val="false"/>
        </w:rPr>
        <w:t xml:space="preserve">R</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val="false"/>
          <w:iCs w:val="false"/>
          <w:smallCaps w:val="false"/>
        </w:rPr>
        <w:t xml:space="preserve">) = 5·1.08</w:t>
      </w:r>
      <w:r>
        <w:rPr>
          <w:rFonts w:ascii="Times New Roman" w:cs="Times New Roman" w:eastAsia="Times New Roman" w:hAnsi="Times New Roman"/>
          <w:b w:val="false"/>
          <w:bCs w:val="false"/>
          <w:i/>
          <w:iCs/>
          <w:smallCaps w:val="false"/>
          <w:vertAlign w:val="superscript"/>
        </w:rPr>
        <w:t xml:space="preserve">L</w:t>
      </w:r>
      <w:r>
        <w:rPr>
          <w:rFonts w:ascii="Times New Roman" w:cs="Times New Roman" w:eastAsia="Times New Roman" w:hAnsi="Times New Roman"/>
          <w:b w:val="false"/>
          <w:bCs w:val="false"/>
          <w:i w:val="false"/>
          <w:iCs w:val="false"/>
          <w:smallCaps w:val="false"/>
        </w:rPr>
        <w:t xml:space="preserve"> UCN, the rule shipped in the prototype. The contract computes it in 18-decimal fixed point with </w:t>
      </w:r>
      <w:r>
        <w:rPr>
          <w:rFonts w:ascii="Times New Roman" w:cs="Times New Roman" w:eastAsia="Times New Roman" w:hAnsi="Times New Roman"/>
          <w:b w:val="false"/>
          <w:bCs w:val="false"/>
          <w:i/>
          <w:iCs/>
          <w:smallCaps w:val="false"/>
        </w:rPr>
        <w:t xml:space="preserve">r</w:t>
      </w:r>
      <w:r>
        <w:rPr>
          <w:rFonts w:ascii="Times New Roman" w:cs="Times New Roman" w:eastAsia="Times New Roman" w:hAnsi="Times New Roman"/>
          <w:b w:val="false"/>
          <w:bCs w:val="false"/>
          <w:i w:val="false"/>
          <w:iCs w:val="false"/>
          <w:smallCaps w:val="false"/>
          <w:vertAlign w:val="subscript"/>
        </w:rPr>
        <w:t xml:space="preserve">ℓ</w:t>
      </w:r>
      <w:r>
        <w:rPr>
          <w:rFonts w:ascii="Times New Roman" w:cs="Times New Roman" w:eastAsia="Times New Roman" w:hAnsi="Times New Roman"/>
          <w:b w:val="false"/>
          <w:bCs w:val="false"/>
          <w:i w:val="false"/>
          <w:iCs w:val="false"/>
          <w:smallCaps w:val="false"/>
        </w:rPr>
        <w:t xml:space="preserve"> = ⌊108 </w:t>
      </w:r>
      <w:r>
        <w:rPr>
          <w:rFonts w:ascii="Times New Roman" w:cs="Times New Roman" w:eastAsia="Times New Roman" w:hAnsi="Times New Roman"/>
          <w:b w:val="false"/>
          <w:bCs w:val="false"/>
          <w:i/>
          <w:iCs/>
          <w:smallCaps w:val="false"/>
        </w:rPr>
        <w:t xml:space="preserve">r</w:t>
      </w:r>
      <w:r>
        <w:rPr>
          <w:rFonts w:ascii="Times New Roman" w:cs="Times New Roman" w:eastAsia="Times New Roman" w:hAnsi="Times New Roman"/>
          <w:b w:val="false"/>
          <w:bCs w:val="false"/>
          <w:i w:val="false"/>
          <w:iCs w:val="false"/>
          <w:smallCaps w:val="false"/>
          <w:vertAlign w:val="subscript"/>
        </w:rPr>
        <w:t xml:space="preserve">ℓ − 1</w:t>
      </w:r>
      <w:r>
        <w:rPr>
          <w:rFonts w:ascii="Times New Roman" w:cs="Times New Roman" w:eastAsia="Times New Roman" w:hAnsi="Times New Roman"/>
          <w:b w:val="false"/>
          <w:bCs w:val="false"/>
          <w:i w:val="false"/>
          <w:iCs w:val="false"/>
          <w:smallCaps w:val="false"/>
        </w:rPr>
        <w:t xml:space="preserve">/100⌋; the result differs from the browser’s floating-point value by less than 10</w:t>
      </w:r>
      <w:r>
        <w:rPr>
          <w:rFonts w:ascii="Times New Roman" w:cs="Times New Roman" w:eastAsia="Times New Roman" w:hAnsi="Times New Roman"/>
          <w:b w:val="false"/>
          <w:bCs w:val="false"/>
          <w:i w:val="false"/>
          <w:iCs w:val="false"/>
          <w:smallCaps w:val="false"/>
          <w:vertAlign w:val="superscript"/>
        </w:rPr>
        <w:t xml:space="preserve">−12</w:t>
      </w:r>
      <w:r>
        <w:rPr>
          <w:rFonts w:ascii="Times New Roman" w:cs="Times New Roman" w:eastAsia="Times New Roman" w:hAnsi="Times New Roman"/>
          <w:b w:val="false"/>
          <w:bCs w:val="false"/>
          <w:i w:val="false"/>
          <w:iCs w:val="false"/>
          <w:smallCaps w:val="false"/>
        </w:rPr>
        <w:t xml:space="preserve"> relative.</w:t>
      </w:r>
    </w:p>
    <w:p>
      <w:pPr>
        <w:spacing w:after="60" w:before="100"/>
        <w:jc w:val="both"/>
      </w:pPr>
      <w:r>
        <w:rPr>
          <w:rFonts w:ascii="Times New Roman" w:cs="Times New Roman" w:eastAsia="Times New Roman" w:hAnsi="Times New Roman"/>
          <w:b/>
          <w:bCs/>
        </w:rPr>
        <w:t xml:space="preserve">Proposition 3</w:t>
      </w:r>
      <w:r>
        <w:rPr>
          <w:rFonts w:ascii="Times New Roman" w:cs="Times New Roman" w:eastAsia="Times New Roman" w:hAnsi="Times New Roman"/>
        </w:rPr>
        <w:t xml:space="preserve"> (Emission bounds). </w:t>
      </w:r>
      <w:r>
        <w:rPr>
          <w:rFonts w:ascii="Times New Roman" w:cs="Times New Roman" w:eastAsia="Times New Roman" w:hAnsi="Times New Roman"/>
          <w:b w:val="false"/>
          <w:bCs w:val="false"/>
          <w:i/>
          <w:iCs/>
          <w:smallCaps w:val="false"/>
        </w:rPr>
        <w:t xml:space="preserve">The cumulative reward at level </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 is </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iCs/>
          <w:smallCaps w:val="false"/>
        </w:rPr>
        <w:t xml:space="preserve">(</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 = ∑</w:t>
      </w:r>
      <w:r>
        <w:rPr>
          <w:rFonts w:ascii="Times New Roman" w:cs="Times New Roman" w:eastAsia="Times New Roman" w:hAnsi="Times New Roman"/>
          <w:b w:val="false"/>
          <w:bCs w:val="false"/>
          <w:i/>
          <w:iCs/>
          <w:smallCaps w:val="false"/>
          <w:vertAlign w:val="subscript"/>
        </w:rPr>
        <w:t xml:space="preserve">ℓ = 1</w:t>
      </w:r>
      <w:r>
        <w:rPr>
          <w:rFonts w:ascii="Times New Roman" w:cs="Times New Roman" w:eastAsia="Times New Roman" w:hAnsi="Times New Roman"/>
          <w:b w:val="false"/>
          <w:bCs w:val="false"/>
          <w:i/>
          <w:iCs/>
          <w:smallCaps w:val="false"/>
          <w:vertAlign w:val="superscript"/>
        </w:rPr>
        <w:t xml:space="preserve">L</w:t>
      </w:r>
      <w:r>
        <w:rPr>
          <w:rFonts w:ascii="Times New Roman" w:cs="Times New Roman" w:eastAsia="Times New Roman" w:hAnsi="Times New Roman"/>
          <w:b w:val="false"/>
          <w:bCs w:val="false"/>
          <w:i/>
          <w:iCs/>
          <w:smallCaps w:val="false"/>
        </w:rPr>
        <w:t xml:space="preserve">5·1.08</w:t>
      </w:r>
      <w:r>
        <w:rPr>
          <w:rFonts w:ascii="Times New Roman" w:cs="Times New Roman" w:eastAsia="Times New Roman" w:hAnsi="Times New Roman"/>
          <w:b w:val="false"/>
          <w:bCs w:val="false"/>
          <w:i/>
          <w:iCs/>
          <w:smallCaps w:val="false"/>
          <w:vertAlign w:val="superscript"/>
        </w:rPr>
        <w:t xml:space="preserve">ℓ</w:t>
      </w:r>
      <w:r>
        <w:rPr>
          <w:rFonts w:ascii="Times New Roman" w:cs="Times New Roman" w:eastAsia="Times New Roman" w:hAnsi="Times New Roman"/>
          <w:b w:val="false"/>
          <w:bCs w:val="false"/>
          <w:i/>
          <w:iCs/>
          <w:smallCaps w:val="false"/>
        </w:rPr>
        <w:t xml:space="preserve"> = 67.5 (1.08</w:t>
      </w:r>
      <w:r>
        <w:rPr>
          <w:rFonts w:ascii="Times New Roman" w:cs="Times New Roman" w:eastAsia="Times New Roman" w:hAnsi="Times New Roman"/>
          <w:b w:val="false"/>
          <w:bCs w:val="false"/>
          <w:i/>
          <w:iCs/>
          <w:smallCaps w:val="false"/>
          <w:vertAlign w:val="superscript"/>
        </w:rPr>
        <w:t xml:space="preserve">L</w:t>
      </w:r>
      <w:r>
        <w:rPr>
          <w:rFonts w:ascii="Times New Roman" w:cs="Times New Roman" w:eastAsia="Times New Roman" w:hAnsi="Times New Roman"/>
          <w:b w:val="false"/>
          <w:bCs w:val="false"/>
          <w:i/>
          <w:iCs/>
          <w:smallCaps w:val="false"/>
        </w:rPr>
        <w:t xml:space="preserve"> − 1) UCN; </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iCs/>
          <w:smallCaps w:val="false"/>
        </w:rPr>
        <w:t xml:space="preserve">(20) = 247.1 and </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iCs/>
          <w:smallCaps w:val="false"/>
        </w:rPr>
        <w:t xml:space="preserve">(100) ≈ 1.484×10</w:t>
      </w:r>
      <w:r>
        <w:rPr>
          <w:rFonts w:ascii="Times New Roman" w:cs="Times New Roman" w:eastAsia="Times New Roman" w:hAnsi="Times New Roman"/>
          <w:b w:val="false"/>
          <w:bCs w:val="false"/>
          <w:i/>
          <w:iCs/>
          <w:smallCaps w:val="false"/>
          <w:vertAlign w:val="superscript"/>
        </w:rPr>
        <w:t xml:space="preserve">5</w:t>
      </w:r>
      <w:r>
        <w:rPr>
          <w:rFonts w:ascii="Times New Roman" w:cs="Times New Roman" w:eastAsia="Times New Roman" w:hAnsi="Times New Roman"/>
          <w:b w:val="false"/>
          <w:bCs w:val="false"/>
          <w:i/>
          <w:iCs/>
          <w:smallCaps w:val="false"/>
        </w:rPr>
        <w:t xml:space="preserve">. The per-user </w:t>
      </w:r>
      <w:r>
        <w:rPr>
          <w:rFonts w:ascii="Courier New" w:cs="Courier New" w:eastAsia="Courier New" w:hAnsi="Courier New"/>
          <w:b w:val="false"/>
          <w:bCs w:val="false"/>
          <w:i w:val="false"/>
          <w:iCs w:val="false"/>
          <w:smallCaps w:val="false"/>
          <w:sz w:val="18"/>
          <w:szCs w:val="18"/>
        </w:rPr>
        <w:t xml:space="preserve">uint96</w:t>
      </w:r>
      <w:r>
        <w:rPr>
          <w:rFonts w:ascii="Times New Roman" w:cs="Times New Roman" w:eastAsia="Times New Roman" w:hAnsi="Times New Roman"/>
          <w:b w:val="false"/>
          <w:bCs w:val="false"/>
          <w:i/>
          <w:iCs/>
          <w:smallCaps w:val="false"/>
        </w:rPr>
        <w:t xml:space="preserve"> field cannot overflow.</w:t>
      </w:r>
    </w:p>
    <w:p>
      <w:pPr>
        <w:spacing w:after="100"/>
        <w:jc w:val="both"/>
      </w:pPr>
      <w:r>
        <w:rPr>
          <w:rFonts w:ascii="Times New Roman" w:cs="Times New Roman" w:eastAsia="Times New Roman" w:hAnsi="Times New Roman"/>
          <w:i/>
          <w:iCs/>
        </w:rPr>
        <w:t xml:space="preserve">Proof. </w:t>
      </w:r>
      <w:r>
        <w:rPr>
          <w:rFonts w:ascii="Times New Roman" w:cs="Times New Roman" w:eastAsia="Times New Roman" w:hAnsi="Times New Roman"/>
          <w:b w:val="false"/>
          <w:bCs w:val="false"/>
          <w:i w:val="false"/>
          <w:iCs w:val="false"/>
          <w:smallCaps w:val="false"/>
        </w:rPr>
        <w:t xml:space="preserve">Geometric series with ratio 1.08: 5·1.08/0.08 = 67.5; 1.08</w:t>
      </w:r>
      <w:r>
        <w:rPr>
          <w:rFonts w:ascii="Times New Roman" w:cs="Times New Roman" w:eastAsia="Times New Roman" w:hAnsi="Times New Roman"/>
          <w:b w:val="false"/>
          <w:bCs w:val="false"/>
          <w:i w:val="false"/>
          <w:iCs w:val="false"/>
          <w:smallCaps w:val="false"/>
          <w:vertAlign w:val="superscript"/>
        </w:rPr>
        <w:t xml:space="preserve">100</w:t>
      </w:r>
      <w:r>
        <w:rPr>
          <w:rFonts w:ascii="Times New Roman" w:cs="Times New Roman" w:eastAsia="Times New Roman" w:hAnsi="Times New Roman"/>
          <w:b w:val="false"/>
          <w:bCs w:val="false"/>
          <w:i w:val="false"/>
          <w:iCs w:val="false"/>
          <w:smallCaps w:val="false"/>
        </w:rPr>
        <w:t xml:space="preserve"> ≈ 2199.76; </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val="false"/>
          <w:iCs w:val="false"/>
          <w:smallCaps w:val="false"/>
        </w:rPr>
        <w:t xml:space="preserve">(100) ≪ 2</w:t>
      </w:r>
      <w:r>
        <w:rPr>
          <w:rFonts w:ascii="Times New Roman" w:cs="Times New Roman" w:eastAsia="Times New Roman" w:hAnsi="Times New Roman"/>
          <w:b w:val="false"/>
          <w:bCs w:val="false"/>
          <w:i w:val="false"/>
          <w:iCs w:val="false"/>
          <w:smallCaps w:val="false"/>
          <w:vertAlign w:val="superscript"/>
        </w:rPr>
        <w:t xml:space="preserve">96</w:t>
      </w:r>
      <w:r>
        <w:rPr>
          <w:rFonts w:ascii="Times New Roman" w:cs="Times New Roman" w:eastAsia="Times New Roman" w:hAnsi="Times New Roman"/>
          <w:b w:val="false"/>
          <w:bCs w:val="false"/>
          <w:i w:val="false"/>
          <w:iCs w:val="false"/>
          <w:smallCaps w:val="false"/>
        </w:rPr>
        <w:t xml:space="preserve"> wei.</w:t>
      </w:r>
      <w:r>
        <w:rPr>
          <w:rFonts w:ascii="Times New Roman" w:cs="Times New Roman" w:eastAsia="Times New Roman" w:hAnsi="Times New Roman"/>
        </w:rPr>
        <w:t xml:space="preserve"> ∎</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With the prototype’s treasury of 700,000.7 UCN, </w:t>
      </w:r>
      <w:r>
        <w:rPr>
          <w:rFonts w:ascii="Times New Roman" w:cs="Times New Roman" w:eastAsia="Times New Roman" w:hAnsi="Times New Roman"/>
          <w:b w:val="false"/>
          <w:bCs w:val="false"/>
          <w:i/>
          <w:iCs/>
          <w:smallCaps w:val="false"/>
        </w:rPr>
        <w:t xml:space="preserve">S</w:t>
      </w:r>
      <w:r>
        <w:rPr>
          <w:rFonts w:ascii="Times New Roman" w:cs="Times New Roman" w:eastAsia="Times New Roman" w:hAnsi="Times New Roman"/>
          <w:b w:val="false"/>
          <w:bCs w:val="false"/>
          <w:i w:val="false"/>
          <w:iCs w:val="false"/>
          <w:smallCaps w:val="false"/>
        </w:rPr>
        <w:t xml:space="preserve">(100) means only 4.7 contributors could ever reach level 100 and 2,833 could reach level 20. BlockSource therefore mints 10</w:t>
      </w:r>
      <w:r>
        <w:rPr>
          <w:rFonts w:ascii="Times New Roman" w:cs="Times New Roman" w:eastAsia="Times New Roman" w:hAnsi="Times New Roman"/>
          <w:b w:val="false"/>
          <w:bCs w:val="false"/>
          <w:i w:val="false"/>
          <w:iCs w:val="false"/>
          <w:smallCaps w:val="false"/>
          <w:vertAlign w:val="superscript"/>
        </w:rPr>
        <w:t xml:space="preserve">8</w:t>
      </w:r>
      <w:r>
        <w:rPr>
          <w:rFonts w:ascii="Times New Roman" w:cs="Times New Roman" w:eastAsia="Times New Roman" w:hAnsi="Times New Roman"/>
          <w:b w:val="false"/>
          <w:bCs w:val="false"/>
          <w:i w:val="false"/>
          <w:iCs w:val="false"/>
          <w:smallCaps w:val="false"/>
        </w:rPr>
        <w:t xml:space="preserve"> UCN once (70 M treasury, 30 M developer reserve), which raises those numbers to 471.6 and 283,269 (Table VII). There is still no mint function, so supply is fixed. </w:t>
      </w:r>
      <w:r>
        <w:rPr>
          <w:rFonts w:ascii="Courier New" w:cs="Courier New" w:eastAsia="Courier New" w:hAnsi="Courier New"/>
          <w:b w:val="false"/>
          <w:bCs w:val="false"/>
          <w:i w:val="false"/>
          <w:iCs w:val="false"/>
          <w:smallCaps w:val="false"/>
          <w:sz w:val="18"/>
          <w:szCs w:val="18"/>
        </w:rPr>
        <w:t xml:space="preserve">UserDatabase</w:t>
      </w:r>
      <w:r>
        <w:rPr>
          <w:rFonts w:ascii="Times New Roman" w:cs="Times New Roman" w:eastAsia="Times New Roman" w:hAnsi="Times New Roman"/>
          <w:b w:val="false"/>
          <w:bCs w:val="false"/>
          <w:i w:val="false"/>
          <w:iCs w:val="false"/>
          <w:smallCaps w:val="false"/>
        </w:rPr>
        <w:t xml:space="preserve"> tracks </w:t>
      </w:r>
      <w:r>
        <w:rPr>
          <w:rFonts w:ascii="Courier New" w:cs="Courier New" w:eastAsia="Courier New" w:hAnsi="Courier New"/>
          <w:b w:val="false"/>
          <w:bCs w:val="false"/>
          <w:i w:val="false"/>
          <w:iCs w:val="false"/>
          <w:smallCaps w:val="false"/>
          <w:sz w:val="18"/>
          <w:szCs w:val="18"/>
        </w:rPr>
        <w:t xml:space="preserve">totalEarned</w:t>
      </w:r>
      <w:r>
        <w:rPr>
          <w:rFonts w:ascii="Times New Roman" w:cs="Times New Roman" w:eastAsia="Times New Roman" w:hAnsi="Times New Roman"/>
          <w:b w:val="false"/>
          <w:bCs w:val="false"/>
          <w:i w:val="false"/>
          <w:iCs w:val="false"/>
          <w:smallCaps w:val="false"/>
        </w:rPr>
        <w:t xml:space="preserve"> against an immutable </w:t>
      </w:r>
      <w:r>
        <w:rPr>
          <w:rFonts w:ascii="Courier New" w:cs="Courier New" w:eastAsia="Courier New" w:hAnsi="Courier New"/>
          <w:b w:val="false"/>
          <w:bCs w:val="false"/>
          <w:i w:val="false"/>
          <w:iCs w:val="false"/>
          <w:smallCaps w:val="false"/>
          <w:sz w:val="18"/>
          <w:szCs w:val="18"/>
        </w:rPr>
        <w:t xml:space="preserve">rewardBudget</w:t>
      </w:r>
      <w:r>
        <w:rPr>
          <w:rFonts w:ascii="Times New Roman" w:cs="Times New Roman" w:eastAsia="Times New Roman" w:hAnsi="Times New Roman"/>
          <w:b w:val="false"/>
          <w:bCs w:val="false"/>
          <w:i w:val="false"/>
          <w:iCs w:val="false"/>
          <w:smallCaps w:val="false"/>
        </w:rPr>
        <w:t xml:space="preserve"> equal to the treasury and pays a partial reward when the budget runs short, so the contracts never promise more than the treasury holds.</w:t>
      </w:r>
    </w:p>
    <w:p>
      <w:pPr>
        <w:spacing w:after="60" w:before="100"/>
        <w:jc w:val="both"/>
      </w:pPr>
      <w:r>
        <w:rPr>
          <w:rFonts w:ascii="Times New Roman" w:cs="Times New Roman" w:eastAsia="Times New Roman" w:hAnsi="Times New Roman"/>
          <w:b/>
          <w:bCs/>
        </w:rPr>
        <w:t xml:space="preserve">Proposition 4</w:t>
      </w:r>
      <w:r>
        <w:rPr>
          <w:rFonts w:ascii="Times New Roman" w:cs="Times New Roman" w:eastAsia="Times New Roman" w:hAnsi="Times New Roman"/>
        </w:rPr>
        <w:t xml:space="preserve"> (U-shaped yield per contribution). </w:t>
      </w:r>
      <w:r>
        <w:rPr>
          <w:rFonts w:ascii="Times New Roman" w:cs="Times New Roman" w:eastAsia="Times New Roman" w:hAnsi="Times New Roman"/>
          <w:b w:val="false"/>
          <w:bCs w:val="false"/>
          <w:i/>
          <w:iCs/>
          <w:smallCaps w:val="false"/>
        </w:rPr>
        <w:t xml:space="preserve">The UCN earned per contribution while climbing to level </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 is </w:t>
      </w:r>
      <w:r>
        <w:rPr>
          <w:rFonts w:ascii="Times New Roman" w:cs="Times New Roman" w:eastAsia="Times New Roman" w:hAnsi="Times New Roman"/>
          <w:b w:val="false"/>
          <w:bCs w:val="false"/>
          <w:i/>
          <w:iCs/>
          <w:smallCaps w:val="false"/>
        </w:rPr>
        <w:t xml:space="preserve">y</w:t>
      </w:r>
      <w:r>
        <w:rPr>
          <w:rFonts w:ascii="Times New Roman" w:cs="Times New Roman" w:eastAsia="Times New Roman" w:hAnsi="Times New Roman"/>
          <w:b w:val="false"/>
          <w:bCs w:val="false"/>
          <w:i/>
          <w:iCs/>
          <w:smallCaps w:val="false"/>
        </w:rPr>
        <w:t xml:space="preserve">(</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 = </w:t>
      </w:r>
      <w:r>
        <w:rPr>
          <w:rFonts w:ascii="Times New Roman" w:cs="Times New Roman" w:eastAsia="Times New Roman" w:hAnsi="Times New Roman"/>
          <w:b w:val="false"/>
          <w:bCs w:val="false"/>
          <w:i/>
          <w:iCs/>
          <w:smallCaps w:val="false"/>
        </w:rPr>
        <w:t xml:space="preserve">R</w:t>
      </w:r>
      <w:r>
        <w:rPr>
          <w:rFonts w:ascii="Times New Roman" w:cs="Times New Roman" w:eastAsia="Times New Roman" w:hAnsi="Times New Roman"/>
          <w:b w:val="false"/>
          <w:bCs w:val="false"/>
          <w:i/>
          <w:iCs/>
          <w:smallCaps w:val="false"/>
        </w:rPr>
        <w:t xml:space="preserve">(</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)/(2</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 = 2.5·1.08</w:t>
      </w:r>
      <w:r>
        <w:rPr>
          <w:rFonts w:ascii="Times New Roman" w:cs="Times New Roman" w:eastAsia="Times New Roman" w:hAnsi="Times New Roman"/>
          <w:b w:val="false"/>
          <w:bCs w:val="false"/>
          <w:i/>
          <w:iCs/>
          <w:smallCaps w:val="false"/>
          <w:vertAlign w:val="superscript"/>
        </w:rPr>
        <w:t xml:space="preserve">L</w:t>
      </w:r>
      <w:r>
        <w:rPr>
          <w:rFonts w:ascii="Times New Roman" w:cs="Times New Roman" w:eastAsia="Times New Roman" w:hAnsi="Times New Roman"/>
          <w:b w:val="false"/>
          <w:bCs w:val="false"/>
          <w:i/>
          <w:iCs/>
          <w:smallCaps w:val="false"/>
        </w:rPr>
        <w:t xml:space="preserve">/</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 minimised over the integers at </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iCs/>
          <w:smallCaps w:val="false"/>
        </w:rPr>
        <w:t xml:space="preserve"> = 13 (</w:t>
      </w:r>
      <w:r>
        <w:rPr>
          <w:rFonts w:ascii="Times New Roman" w:cs="Times New Roman" w:eastAsia="Times New Roman" w:hAnsi="Times New Roman"/>
          <w:b w:val="false"/>
          <w:bCs w:val="false"/>
          <w:i/>
          <w:iCs/>
          <w:smallCaps w:val="false"/>
        </w:rPr>
        <w:t xml:space="preserve">y</w:t>
      </w:r>
      <w:r>
        <w:rPr>
          <w:rFonts w:ascii="Times New Roman" w:cs="Times New Roman" w:eastAsia="Times New Roman" w:hAnsi="Times New Roman"/>
          <w:b w:val="false"/>
          <w:bCs w:val="false"/>
          <w:i/>
          <w:iCs/>
          <w:smallCaps w:val="false"/>
        </w:rPr>
        <w:t xml:space="preserve"> ≈ 0.52).</w:t>
      </w:r>
    </w:p>
    <w:p>
      <w:pPr>
        <w:spacing w:after="100"/>
        <w:jc w:val="both"/>
      </w:pPr>
      <w:r>
        <w:rPr>
          <w:rFonts w:ascii="Times New Roman" w:cs="Times New Roman" w:eastAsia="Times New Roman" w:hAnsi="Times New Roman"/>
          <w:i/>
          <w:iCs/>
        </w:rPr>
        <w:t xml:space="preserve">Proof. </w:t>
      </w:r>
      <w:r>
        <w:rPr>
          <w:rFonts w:ascii="Times New Roman" w:cs="Times New Roman" w:eastAsia="Times New Roman" w:hAnsi="Times New Roman"/>
          <w:b w:val="false"/>
          <w:bCs w:val="false"/>
          <w:i/>
          <w:iCs/>
          <w:smallCaps w:val="false"/>
        </w:rPr>
        <w:t xml:space="preserve">d</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dL</w:t>
      </w:r>
      <w:r>
        <w:rPr>
          <w:rFonts w:ascii="Times New Roman" w:cs="Times New Roman" w:eastAsia="Times New Roman" w:hAnsi="Times New Roman"/>
          <w:b w:val="false"/>
          <w:bCs w:val="false"/>
          <w:i w:val="false"/>
          <w:iCs w:val="false"/>
          <w:smallCaps w:val="false"/>
        </w:rPr>
        <w:t xml:space="preserve">ln </w:t>
      </w:r>
      <w:r>
        <w:rPr>
          <w:rFonts w:ascii="Times New Roman" w:cs="Times New Roman" w:eastAsia="Times New Roman" w:hAnsi="Times New Roman"/>
          <w:b w:val="false"/>
          <w:bCs w:val="false"/>
          <w:i/>
          <w:iCs/>
          <w:smallCaps w:val="false"/>
        </w:rPr>
        <w:t xml:space="preserve">y</w:t>
      </w:r>
      <w:r>
        <w:rPr>
          <w:rFonts w:ascii="Times New Roman" w:cs="Times New Roman" w:eastAsia="Times New Roman" w:hAnsi="Times New Roman"/>
          <w:b w:val="false"/>
          <w:bCs w:val="false"/>
          <w:i w:val="false"/>
          <w:iCs w:val="false"/>
          <w:smallCaps w:val="false"/>
        </w:rPr>
        <w:t xml:space="preserve"> = ln 1.08 − 1/</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val="false"/>
          <w:iCs w:val="false"/>
          <w:smallCaps w:val="false"/>
        </w:rPr>
        <w:t xml:space="preserve"> changes sign at </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val="false"/>
          <w:iCs w:val="false"/>
          <w:smallCaps w:val="false"/>
        </w:rPr>
        <w:t xml:space="preserve"> = 1/ln 1.08 ≈ 12.99; </w:t>
      </w:r>
      <w:r>
        <w:rPr>
          <w:rFonts w:ascii="Times New Roman" w:cs="Times New Roman" w:eastAsia="Times New Roman" w:hAnsi="Times New Roman"/>
          <w:b w:val="false"/>
          <w:bCs w:val="false"/>
          <w:i/>
          <w:iCs/>
          <w:smallCaps w:val="false"/>
        </w:rPr>
        <w:t xml:space="preserve">y</w:t>
      </w:r>
      <w:r>
        <w:rPr>
          <w:rFonts w:ascii="Times New Roman" w:cs="Times New Roman" w:eastAsia="Times New Roman" w:hAnsi="Times New Roman"/>
          <w:b w:val="false"/>
          <w:bCs w:val="false"/>
          <w:i w:val="false"/>
          <w:iCs w:val="false"/>
          <w:smallCaps w:val="false"/>
        </w:rPr>
        <w:t xml:space="preserve">(12) ≈ 0.525, </w:t>
      </w:r>
      <w:r>
        <w:rPr>
          <w:rFonts w:ascii="Times New Roman" w:cs="Times New Roman" w:eastAsia="Times New Roman" w:hAnsi="Times New Roman"/>
          <w:b w:val="false"/>
          <w:bCs w:val="false"/>
          <w:i/>
          <w:iCs/>
          <w:smallCaps w:val="false"/>
        </w:rPr>
        <w:t xml:space="preserve">y</w:t>
      </w:r>
      <w:r>
        <w:rPr>
          <w:rFonts w:ascii="Times New Roman" w:cs="Times New Roman" w:eastAsia="Times New Roman" w:hAnsi="Times New Roman"/>
          <w:b w:val="false"/>
          <w:bCs w:val="false"/>
          <w:i w:val="false"/>
          <w:iCs w:val="false"/>
          <w:smallCaps w:val="false"/>
        </w:rPr>
        <w:t xml:space="preserve">(13) ≈ 0.523, </w:t>
      </w:r>
      <w:r>
        <w:rPr>
          <w:rFonts w:ascii="Times New Roman" w:cs="Times New Roman" w:eastAsia="Times New Roman" w:hAnsi="Times New Roman"/>
          <w:b w:val="false"/>
          <w:bCs w:val="false"/>
          <w:i/>
          <w:iCs/>
          <w:smallCaps w:val="false"/>
        </w:rPr>
        <w:t xml:space="preserve">y</w:t>
      </w:r>
      <w:r>
        <w:rPr>
          <w:rFonts w:ascii="Times New Roman" w:cs="Times New Roman" w:eastAsia="Times New Roman" w:hAnsi="Times New Roman"/>
          <w:b w:val="false"/>
          <w:bCs w:val="false"/>
          <w:i w:val="false"/>
          <w:iCs w:val="false"/>
          <w:smallCaps w:val="false"/>
        </w:rPr>
        <w:t xml:space="preserve">(14) ≈ 0.525.</w:t>
      </w:r>
      <w:r>
        <w:rPr>
          <w:rFonts w:ascii="Times New Roman" w:cs="Times New Roman" w:eastAsia="Times New Roman" w:hAnsi="Times New Roman"/>
        </w:rPr>
        <w:t xml:space="preserve"> ∎</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yield is 2.7 UCN per contribution at level 1, 0.52 at level 13, and 55 at level 100. Section V-C discusses what that tail invites.</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Milestone titles.</w:t>
      </w:r>
      <w:r>
        <w:rPr>
          <w:rFonts w:ascii="Times New Roman" w:cs="Times New Roman" w:eastAsia="Times New Roman" w:hAnsi="Times New Roman"/>
          <w:b w:val="false"/>
          <w:bCs w:val="false"/>
          <w:i w:val="false"/>
          <w:iCs w:val="false"/>
          <w:smallCaps w:val="false"/>
        </w:rPr>
        <w:t xml:space="preserve"> The prototype’s 21 titles are kept (index ⌊</w:t>
      </w:r>
      <w:r>
        <w:rPr>
          <w:rFonts w:ascii="Times New Roman" w:cs="Times New Roman" w:eastAsia="Times New Roman" w:hAnsi="Times New Roman"/>
          <w:b w:val="false"/>
          <w:bCs w:val="false"/>
          <w:i/>
          <w:iCs/>
          <w:smallCaps w:val="false"/>
        </w:rPr>
        <w:t xml:space="preserve">L</w:t>
      </w:r>
      <w:r>
        <w:rPr>
          <w:rFonts w:ascii="Times New Roman" w:cs="Times New Roman" w:eastAsia="Times New Roman" w:hAnsi="Times New Roman"/>
          <w:b w:val="false"/>
          <w:bCs w:val="false"/>
          <w:i w:val="false"/>
          <w:iCs w:val="false"/>
          <w:smallCaps w:val="false"/>
        </w:rPr>
        <w:t xml:space="preserve">/5⌋): Apprentice, Aspiring, Novice, Enthusiastic, Explorer, Code Craftsman, Skilled, Proficient, Champion, Quality, Expert, Professional, Innovative, Veteran, Rising, Master, Conqueror, Top Tier, Insightful, Legendary, and Supreme at level 100. The contract exposes the index; the UI holds the strings.</w:t>
      </w:r>
    </w:p>
    <w:p>
      <w:pPr>
        <w:pStyle w:val="Heading2"/>
        <w:keepNext/>
        <w:spacing w:after="40" w:before="80"/>
      </w:pPr>
      <w:r>
        <w:rPr>
          <w:rFonts w:ascii="Times New Roman" w:cs="Times New Roman" w:eastAsia="Times New Roman" w:hAnsi="Times New Roman"/>
          <w:i/>
          <w:iCs/>
        </w:rPr>
        <w:t xml:space="preserve">C. </w:t>
      </w:r>
      <w:r>
        <w:rPr>
          <w:rFonts w:ascii="Times New Roman" w:cs="Times New Roman" w:eastAsia="Times New Roman" w:hAnsi="Times New Roman"/>
          <w:b w:val="false"/>
          <w:bCs w:val="false"/>
          <w:i/>
          <w:iCs/>
          <w:smallCaps w:val="false"/>
        </w:rPr>
        <w:t xml:space="preserve">Architecture and data flow</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Fig. 1 shows the architecture. The prototype’s Express server becomes a backend service with three jobs, and the frontend stops computing anything that affects money.</w:t>
      </w:r>
    </w:p>
    <w:p>
      <w:pPr>
        <w:sectPr>
          <w:type w:val="continuous"/>
          <w:pgSz w:w="12240" w:h="15840" w:orient="portrait"/>
          <w:pgMar w:top="1080" w:right="900" w:bottom="1440" w:left="900" w:header="708" w:footer="708" w:gutter="0"/>
          <w:pgNumType/>
          <w:cols w:space="288" w:num="2" w:equalWidth="true"/>
          <w:docGrid w:linePitch="360"/>
        </w:sectPr>
      </w:pPr>
    </w:p>
    <w:p>
      <w:pPr>
        <w:keepNext/>
        <w:spacing w:after="0" w:before="120"/>
        <w:jc w:val="center"/>
      </w:pPr>
      <w:r>
        <w:drawing>
          <wp:inline distT="0" distB="0" distL="0" distR="0">
            <wp:extent cx="6477000" cy="3038475"/>
            <wp:effectExtent t="0" r="0" b="0" l="0"/>
            <wp:docPr id="1" name="fig1" descr="BlockSource architecture. (1) The wallet connects. (2) GitHub OAuth establishes the numeric account id; the token is discarded. (3) The backend signs a binding attestation. (4) The user calls register from the wallet; withdrawals are also sent from the wallet. (5) The sync job counts all-time public contributions and (6) submits syncXP/syncXPBatch. (7) RewardMechanism reads earned from UserDatabase (dashed) and pays from the UCoin treasury it deployed. Contract events refresh the UI."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3038475"/>
                    </a:xfrm>
                    <a:prstGeom prst="rect">
                      <a:avLst/>
                    </a:prstGeom>
                  </pic:spPr>
                </pic:pic>
              </a:graphicData>
            </a:graphic>
          </wp:inline>
        </w:drawing>
      </w:r>
    </w:p>
    <w:p>
      <w:pPr>
        <w:spacing w:after="160" w:before="8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b w:val="false"/>
          <w:bCs w:val="false"/>
          <w:i w:val="false"/>
          <w:iCs w:val="false"/>
          <w:smallCaps w:val="false"/>
          <w:sz w:val="16"/>
          <w:szCs w:val="16"/>
        </w:rPr>
        <w:t xml:space="preserve">BlockSource architecture. (1) The wallet connects. (2) GitHub OAuth establishes the numeric account id; the token is discarded. (3) The backend signs a binding attestation. (4) The user calls </w:t>
      </w:r>
      <w:r>
        <w:rPr>
          <w:rFonts w:ascii="Courier New" w:cs="Courier New" w:eastAsia="Courier New" w:hAnsi="Courier New"/>
          <w:b w:val="false"/>
          <w:bCs w:val="false"/>
          <w:i w:val="false"/>
          <w:iCs w:val="false"/>
          <w:smallCaps w:val="false"/>
          <w:sz w:val="14"/>
          <w:szCs w:val="14"/>
        </w:rPr>
        <w:t xml:space="preserve">register</w:t>
      </w:r>
      <w:r>
        <w:rPr>
          <w:rFonts w:ascii="Times New Roman" w:cs="Times New Roman" w:eastAsia="Times New Roman" w:hAnsi="Times New Roman"/>
          <w:b w:val="false"/>
          <w:bCs w:val="false"/>
          <w:i w:val="false"/>
          <w:iCs w:val="false"/>
          <w:smallCaps w:val="false"/>
          <w:sz w:val="16"/>
          <w:szCs w:val="16"/>
        </w:rPr>
        <w:t xml:space="preserve"> from the wallet; withdrawals are also sent from the wallet. (5) The sync job counts all-time public contributions and (6) submits </w:t>
      </w:r>
      <w:r>
        <w:rPr>
          <w:rFonts w:ascii="Courier New" w:cs="Courier New" w:eastAsia="Courier New" w:hAnsi="Courier New"/>
          <w:b w:val="false"/>
          <w:bCs w:val="false"/>
          <w:i w:val="false"/>
          <w:iCs w:val="false"/>
          <w:smallCaps w:val="false"/>
          <w:sz w:val="14"/>
          <w:szCs w:val="14"/>
        </w:rPr>
        <w:t xml:space="preserve">syncXP</w:t>
      </w:r>
      <w:r>
        <w:rPr>
          <w:rFonts w:ascii="Times New Roman" w:cs="Times New Roman" w:eastAsia="Times New Roman" w:hAnsi="Times New Roman"/>
          <w:b w:val="false"/>
          <w:bCs w:val="false"/>
          <w:i w:val="false"/>
          <w:iCs w:val="false"/>
          <w:smallCaps w:val="false"/>
          <w:sz w:val="16"/>
          <w:szCs w:val="16"/>
        </w:rPr>
        <w:t xml:space="preserve">/</w:t>
      </w:r>
      <w:r>
        <w:rPr>
          <w:rFonts w:ascii="Courier New" w:cs="Courier New" w:eastAsia="Courier New" w:hAnsi="Courier New"/>
          <w:b w:val="false"/>
          <w:bCs w:val="false"/>
          <w:i w:val="false"/>
          <w:iCs w:val="false"/>
          <w:smallCaps w:val="false"/>
          <w:sz w:val="14"/>
          <w:szCs w:val="14"/>
        </w:rPr>
        <w:t xml:space="preserve">syncXPBatch</w:t>
      </w:r>
      <w:r>
        <w:rPr>
          <w:rFonts w:ascii="Times New Roman" w:cs="Times New Roman" w:eastAsia="Times New Roman" w:hAnsi="Times New Roman"/>
          <w:b w:val="false"/>
          <w:bCs w:val="false"/>
          <w:i w:val="false"/>
          <w:iCs w:val="false"/>
          <w:smallCaps w:val="false"/>
          <w:sz w:val="16"/>
          <w:szCs w:val="16"/>
        </w:rPr>
        <w:t xml:space="preserve">. (7) </w:t>
      </w:r>
      <w:r>
        <w:rPr>
          <w:rFonts w:ascii="Courier New" w:cs="Courier New" w:eastAsia="Courier New" w:hAnsi="Courier New"/>
          <w:b w:val="false"/>
          <w:bCs w:val="false"/>
          <w:i w:val="false"/>
          <w:iCs w:val="false"/>
          <w:smallCaps w:val="false"/>
          <w:sz w:val="14"/>
          <w:szCs w:val="14"/>
        </w:rPr>
        <w:t xml:space="preserve">RewardMechanism</w:t>
      </w:r>
      <w:r>
        <w:rPr>
          <w:rFonts w:ascii="Times New Roman" w:cs="Times New Roman" w:eastAsia="Times New Roman" w:hAnsi="Times New Roman"/>
          <w:b w:val="false"/>
          <w:bCs w:val="false"/>
          <w:i w:val="false"/>
          <w:iCs w:val="false"/>
          <w:smallCaps w:val="false"/>
          <w:sz w:val="16"/>
          <w:szCs w:val="16"/>
        </w:rPr>
        <w:t xml:space="preserve"> reads </w:t>
      </w:r>
      <w:r>
        <w:rPr>
          <w:rFonts w:ascii="Times New Roman" w:cs="Times New Roman" w:eastAsia="Times New Roman" w:hAnsi="Times New Roman"/>
          <w:b w:val="false"/>
          <w:bCs w:val="false"/>
          <w:i/>
          <w:iCs/>
          <w:smallCaps w:val="false"/>
          <w:sz w:val="16"/>
          <w:szCs w:val="16"/>
        </w:rPr>
        <w:t xml:space="preserve">earned</w:t>
      </w:r>
      <w:r>
        <w:rPr>
          <w:rFonts w:ascii="Times New Roman" w:cs="Times New Roman" w:eastAsia="Times New Roman" w:hAnsi="Times New Roman"/>
          <w:b w:val="false"/>
          <w:bCs w:val="false"/>
          <w:i w:val="false"/>
          <w:iCs w:val="false"/>
          <w:smallCaps w:val="false"/>
          <w:sz w:val="16"/>
          <w:szCs w:val="16"/>
        </w:rPr>
        <w:t xml:space="preserve"> from </w:t>
      </w:r>
      <w:r>
        <w:rPr>
          <w:rFonts w:ascii="Courier New" w:cs="Courier New" w:eastAsia="Courier New" w:hAnsi="Courier New"/>
          <w:b w:val="false"/>
          <w:bCs w:val="false"/>
          <w:i w:val="false"/>
          <w:iCs w:val="false"/>
          <w:smallCaps w:val="false"/>
          <w:sz w:val="14"/>
          <w:szCs w:val="14"/>
        </w:rPr>
        <w:t xml:space="preserve">UserDatabase</w:t>
      </w:r>
      <w:r>
        <w:rPr>
          <w:rFonts w:ascii="Times New Roman" w:cs="Times New Roman" w:eastAsia="Times New Roman" w:hAnsi="Times New Roman"/>
          <w:b w:val="false"/>
          <w:bCs w:val="false"/>
          <w:i w:val="false"/>
          <w:iCs w:val="false"/>
          <w:smallCaps w:val="false"/>
          <w:sz w:val="16"/>
          <w:szCs w:val="16"/>
        </w:rPr>
        <w:t xml:space="preserve"> (dashed) and pays from the UCoin treasury it deployed. Contract events refresh the UI.</w:t>
      </w:r>
    </w:p>
    <w:p>
      <w:pPr>
        <w:sectPr>
          <w:type w:val="continuous"/>
          <w:pgSz w:w="12240" w:h="15840" w:orient="portrait"/>
          <w:pgMar w:top="1080" w:right="900" w:bottom="1440" w:left="900" w:header="708" w:footer="708" w:gutter="0"/>
          <w:pgNumType/>
          <w:cols w:num="1"/>
          <w:docGrid w:linePitch="360"/>
        </w:sectPr>
      </w:pPr>
    </w:p>
    <w:p>
      <w:pPr>
        <w:spacing w:after="0" w:line="228" w:lineRule="exact"/>
        <w:ind w:firstLine="202"/>
        <w:jc w:val="both"/>
      </w:pPr>
      <w:r>
        <w:rPr>
          <w:rFonts w:ascii="Times New Roman" w:cs="Times New Roman" w:eastAsia="Times New Roman" w:hAnsi="Times New Roman"/>
          <w:b w:val="false"/>
          <w:bCs w:val="false"/>
          <w:i/>
          <w:iCs/>
          <w:smallCaps w:val="false"/>
        </w:rPr>
        <w:t xml:space="preserve">Identity binding.</w:t>
      </w:r>
      <w:r>
        <w:rPr>
          <w:rFonts w:ascii="Times New Roman" w:cs="Times New Roman" w:eastAsia="Times New Roman" w:hAnsi="Times New Roman"/>
          <w:b w:val="false"/>
          <w:bCs w:val="false"/>
          <w:i w:val="false"/>
          <w:iCs w:val="false"/>
          <w:smallCaps w:val="false"/>
        </w:rPr>
        <w:t xml:space="preserve"> After OAuth, the backend knows the user’s immutable numeric GitHub id and current login. On request it signs </w:t>
      </w:r>
      <w:r>
        <w:rPr>
          <w:rFonts w:ascii="Times New Roman" w:cs="Times New Roman" w:eastAsia="Times New Roman" w:hAnsi="Times New Roman"/>
          <w:b w:val="false"/>
          <w:bCs w:val="false"/>
          <w:i w:val="false"/>
          <w:iCs w:val="false"/>
          <w:smallCaps w:val="false"/>
        </w:rPr>
        <w:t xml:space="preserve">Bind</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wallet</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githubId</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login</w:t>
      </w:r>
      <w:r>
        <w:rPr>
          <w:rFonts w:ascii="Times New Roman" w:cs="Times New Roman" w:eastAsia="Times New Roman" w:hAnsi="Times New Roman"/>
          <w:b w:val="false"/>
          <w:bCs w:val="false"/>
          <w:i w:val="false"/>
          <w:iCs w:val="false"/>
          <w:smallCaps w:val="false"/>
        </w:rPr>
        <w:t xml:space="preserve">,</w:t>
      </w:r>
      <w:r>
        <w:rPr>
          <w:rFonts w:ascii="Times New Roman" w:cs="Times New Roman" w:eastAsia="Times New Roman" w:hAnsi="Times New Roman"/>
          <w:b w:val="false"/>
          <w:bCs w:val="false"/>
          <w:i/>
          <w:iCs/>
          <w:smallCaps w:val="false"/>
        </w:rPr>
        <w:t xml:space="preserve">deadline</w:t>
      </w:r>
      <w:r>
        <w:rPr>
          <w:rFonts w:ascii="Times New Roman" w:cs="Times New Roman" w:eastAsia="Times New Roman" w:hAnsi="Times New Roman"/>
          <w:b w:val="false"/>
          <w:bCs w:val="false"/>
          <w:i w:val="false"/>
          <w:iCs w:val="false"/>
          <w:smallCaps w:val="false"/>
        </w:rPr>
        <w:t xml:space="preserve">) with the attester key under the contract’s EIP-712 domain, which fixes the application name, chain id and contract address. The user submits </w:t>
      </w:r>
      <w:r>
        <w:rPr>
          <w:rFonts w:ascii="Courier New" w:cs="Courier New" w:eastAsia="Courier New" w:hAnsi="Courier New"/>
          <w:b w:val="false"/>
          <w:bCs w:val="false"/>
          <w:i w:val="false"/>
          <w:iCs w:val="false"/>
          <w:smallCaps w:val="false"/>
          <w:sz w:val="18"/>
          <w:szCs w:val="18"/>
        </w:rPr>
        <w:t xml:space="preserve">register</w:t>
      </w:r>
      <w:r>
        <w:rPr>
          <w:rFonts w:ascii="Times New Roman" w:cs="Times New Roman" w:eastAsia="Times New Roman" w:hAnsi="Times New Roman"/>
          <w:b w:val="false"/>
          <w:bCs w:val="false"/>
          <w:i w:val="false"/>
          <w:iCs w:val="false"/>
          <w:smallCaps w:val="false"/>
        </w:rPr>
        <w:t xml:space="preserve"> from the named wallet. The contract recovers the signer, checks </w:t>
      </w:r>
      <w:r>
        <w:rPr>
          <w:rFonts w:ascii="Courier New" w:cs="Courier New" w:eastAsia="Courier New" w:hAnsi="Courier New"/>
          <w:b w:val="false"/>
          <w:bCs w:val="false"/>
          <w:i w:val="false"/>
          <w:iCs w:val="false"/>
          <w:smallCaps w:val="false"/>
          <w:sz w:val="18"/>
          <w:szCs w:val="18"/>
        </w:rPr>
        <w:t xml:space="preserve">ATTESTER_ROLE</w:t>
      </w:r>
      <w:r>
        <w:rPr>
          <w:rFonts w:ascii="Times New Roman" w:cs="Times New Roman" w:eastAsia="Times New Roman" w:hAnsi="Times New Roman"/>
          <w:b w:val="false"/>
          <w:bCs w:val="false"/>
          <w:i w:val="false"/>
          <w:iCs w:val="false"/>
          <w:smallCaps w:val="false"/>
        </w:rPr>
        <w:t xml:space="preserve">, and rejects a second wallet for the id or a second id for the wallet. Because </w:t>
      </w:r>
      <w:r>
        <w:rPr>
          <w:rFonts w:ascii="Courier New" w:cs="Courier New" w:eastAsia="Courier New" w:hAnsi="Courier New"/>
          <w:b w:val="false"/>
          <w:bCs w:val="false"/>
          <w:i w:val="false"/>
          <w:iCs w:val="false"/>
          <w:smallCaps w:val="false"/>
          <w:sz w:val="18"/>
          <w:szCs w:val="18"/>
        </w:rPr>
        <w:t xml:space="preserve">msg.sender</w:t>
      </w:r>
      <w:r>
        <w:rPr>
          <w:rFonts w:ascii="Times New Roman" w:cs="Times New Roman" w:eastAsia="Times New Roman" w:hAnsi="Times New Roman"/>
          <w:b w:val="false"/>
          <w:bCs w:val="false"/>
          <w:i w:val="false"/>
          <w:iCs w:val="false"/>
          <w:smallCaps w:val="false"/>
        </w:rPr>
        <w:t xml:space="preserve"> is inside the signed message, an attestation seen in the mempool cannot be replayed from another wallet; the deadline (10 minutes by default) limits the damage of a leaked signature; and revoking the attester role voids all outstanding attestations. This closes F3 for accounts, though one person can still own several GitHub accounts [31], [32].</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Counting contributions.</w:t>
      </w:r>
      <w:r>
        <w:rPr>
          <w:rFonts w:ascii="Times New Roman" w:cs="Times New Roman" w:eastAsia="Times New Roman" w:hAnsi="Times New Roman"/>
          <w:b w:val="false"/>
          <w:bCs w:val="false"/>
          <w:i w:val="false"/>
          <w:iCs w:val="false"/>
          <w:smallCaps w:val="false"/>
        </w:rPr>
        <w:t xml:space="preserve"> The sync job resolves the current login from the id (</w:t>
      </w:r>
      <w:r>
        <w:rPr>
          <w:rFonts w:ascii="Courier New" w:cs="Courier New" w:eastAsia="Courier New" w:hAnsi="Courier New"/>
          <w:b w:val="false"/>
          <w:bCs w:val="false"/>
          <w:i w:val="false"/>
          <w:iCs w:val="false"/>
          <w:smallCaps w:val="false"/>
          <w:sz w:val="18"/>
          <w:szCs w:val="18"/>
        </w:rPr>
        <w:t xml:space="preserve">GET /user/{id}</w:t>
      </w:r>
      <w:r>
        <w:rPr>
          <w:rFonts w:ascii="Times New Roman" w:cs="Times New Roman" w:eastAsia="Times New Roman" w:hAnsi="Times New Roman"/>
          <w:b w:val="false"/>
          <w:bCs w:val="false"/>
          <w:i w:val="false"/>
          <w:iCs w:val="false"/>
          <w:smallCaps w:val="false"/>
        </w:rPr>
        <w:t xml:space="preserve">, so renames are harmless), then sends one GraphQL request with one aliased </w:t>
      </w:r>
      <w:r>
        <w:rPr>
          <w:rFonts w:ascii="Courier New" w:cs="Courier New" w:eastAsia="Courier New" w:hAnsi="Courier New"/>
          <w:b w:val="false"/>
          <w:bCs w:val="false"/>
          <w:i w:val="false"/>
          <w:iCs w:val="false"/>
          <w:smallCaps w:val="false"/>
          <w:sz w:val="18"/>
          <w:szCs w:val="18"/>
        </w:rPr>
        <w:t xml:space="preserve">contributionsCollection</w:t>
      </w:r>
      <w:r>
        <w:rPr>
          <w:rFonts w:ascii="Times New Roman" w:cs="Times New Roman" w:eastAsia="Times New Roman" w:hAnsi="Times New Roman"/>
          <w:b w:val="false"/>
          <w:bCs w:val="false"/>
          <w:i w:val="false"/>
          <w:iCs w:val="false"/>
          <w:smallCaps w:val="false"/>
        </w:rPr>
        <w:t xml:space="preserve"> per calendar year since the account was created, because a collection spans at most a year [33]. It sums four counters per year: commits, issues, pull requests and pull-request reviews. Only public contributions are counted, with a server token that has no scopes, so the number does not depend on whose token is used (X1) and anyone can reproduce it. The login is passed as a GraphQL variable (X3).</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Monotonic sync.</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syncXP(user, count)</w:t>
      </w:r>
      <w:r>
        <w:rPr>
          <w:rFonts w:ascii="Times New Roman" w:cs="Times New Roman" w:eastAsia="Times New Roman" w:hAnsi="Times New Roman"/>
          <w:b w:val="false"/>
          <w:bCs w:val="false"/>
          <w:i w:val="false"/>
          <w:iCs w:val="false"/>
          <w:smallCaps w:val="false"/>
        </w:rPr>
        <w:t xml:space="preserve"> sets XP = 50·</w:t>
      </w:r>
      <w:r>
        <w:rPr>
          <w:rFonts w:ascii="Times New Roman" w:cs="Times New Roman" w:eastAsia="Times New Roman" w:hAnsi="Times New Roman"/>
          <w:b w:val="false"/>
          <w:bCs w:val="false"/>
          <w:i/>
          <w:iCs/>
          <w:smallCaps w:val="false"/>
        </w:rPr>
        <w:t xml:space="preserve">count</w:t>
      </w:r>
      <w:r>
        <w:rPr>
          <w:rFonts w:ascii="Times New Roman" w:cs="Times New Roman" w:eastAsia="Times New Roman" w:hAnsi="Times New Roman"/>
          <w:b w:val="false"/>
          <w:bCs w:val="false"/>
          <w:i w:val="false"/>
          <w:iCs w:val="false"/>
          <w:smallCaps w:val="false"/>
        </w:rPr>
        <w:t xml:space="preserve"> only if that exceeds the stored value. This one rule makes the sync idempotent (sending the same count twice is a no-op), order-insensitive (an old count arriving late is ignored), and safe against a count that shrinks when a user deletes a repository (F4). When XP rises, the contract computes the new level by Proposition 2, adds the rewards for every crossed level to </w:t>
      </w:r>
      <w:r>
        <w:rPr>
          <w:rFonts w:ascii="Times New Roman" w:cs="Times New Roman" w:eastAsia="Times New Roman" w:hAnsi="Times New Roman"/>
          <w:b w:val="false"/>
          <w:bCs w:val="false"/>
          <w:i/>
          <w:iCs/>
          <w:smallCaps w:val="false"/>
        </w:rPr>
        <w:t xml:space="preserve">earned</w:t>
      </w:r>
      <w:r>
        <w:rPr>
          <w:rFonts w:ascii="Times New Roman" w:cs="Times New Roman" w:eastAsia="Times New Roman" w:hAnsi="Times New Roman"/>
          <w:b w:val="false"/>
          <w:bCs w:val="false"/>
          <w:i w:val="false"/>
          <w:iCs w:val="false"/>
          <w:smallCaps w:val="false"/>
        </w:rPr>
        <w:t xml:space="preserve">, and emits </w:t>
      </w:r>
      <w:r>
        <w:rPr>
          <w:rFonts w:ascii="Courier New" w:cs="Courier New" w:eastAsia="Courier New" w:hAnsi="Courier New"/>
          <w:b w:val="false"/>
          <w:bCs w:val="false"/>
          <w:i w:val="false"/>
          <w:iCs w:val="false"/>
          <w:smallCaps w:val="false"/>
          <w:sz w:val="18"/>
          <w:szCs w:val="18"/>
        </w:rPr>
        <w:t xml:space="preserve">LevelUp</w:t>
      </w:r>
      <w:r>
        <w:rPr>
          <w:rFonts w:ascii="Times New Roman" w:cs="Times New Roman" w:eastAsia="Times New Roman" w:hAnsi="Times New Roman"/>
          <w:b w:val="false"/>
          <w:bCs w:val="false"/>
          <w:i w:val="false"/>
          <w:iCs w:val="false"/>
          <w:smallCaps w:val="false"/>
        </w:rPr>
        <w:t xml:space="preserve">. A batch form takes up to a few hundred users per transaction. The backend syncs a user on demand (rate-limited to once per 10 minutes) and all users every six hours.</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Withdrawals.</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RewardMechanism</w:t>
      </w:r>
      <w:r>
        <w:rPr>
          <w:rFonts w:ascii="Times New Roman" w:cs="Times New Roman" w:eastAsia="Times New Roman" w:hAnsi="Times New Roman"/>
          <w:b w:val="false"/>
          <w:bCs w:val="false"/>
          <w:i w:val="false"/>
          <w:iCs w:val="false"/>
          <w:smallCaps w:val="false"/>
        </w:rPr>
        <w:t xml:space="preserve"> reads </w:t>
      </w:r>
      <w:r>
        <w:rPr>
          <w:rFonts w:ascii="Times New Roman" w:cs="Times New Roman" w:eastAsia="Times New Roman" w:hAnsi="Times New Roman"/>
          <w:b w:val="false"/>
          <w:bCs w:val="false"/>
          <w:i/>
          <w:iCs/>
          <w:smallCaps w:val="false"/>
        </w:rPr>
        <w:t xml:space="preserve">earned</w:t>
      </w:r>
      <w:r>
        <w:rPr>
          <w:rFonts w:ascii="Times New Roman" w:cs="Times New Roman" w:eastAsia="Times New Roman" w:hAnsi="Times New Roman"/>
          <w:b w:val="false"/>
          <w:bCs w:val="false"/>
          <w:i w:val="false"/>
          <w:iCs w:val="false"/>
          <w:smallCaps w:val="false"/>
        </w:rPr>
        <w:t xml:space="preserve"> and the active flag from </w:t>
      </w:r>
      <w:r>
        <w:rPr>
          <w:rFonts w:ascii="Courier New" w:cs="Courier New" w:eastAsia="Courier New" w:hAnsi="Courier New"/>
          <w:b w:val="false"/>
          <w:bCs w:val="false"/>
          <w:i w:val="false"/>
          <w:iCs w:val="false"/>
          <w:smallCaps w:val="false"/>
          <w:sz w:val="18"/>
          <w:szCs w:val="18"/>
        </w:rPr>
        <w:t xml:space="preserve">UserDatabase</w:t>
      </w:r>
      <w:r>
        <w:rPr>
          <w:rFonts w:ascii="Times New Roman" w:cs="Times New Roman" w:eastAsia="Times New Roman" w:hAnsi="Times New Roman"/>
          <w:b w:val="false"/>
          <w:bCs w:val="false"/>
          <w:i w:val="false"/>
          <w:iCs w:val="false"/>
          <w:smallCaps w:val="false"/>
        </w:rPr>
        <w:t xml:space="preserve"> and keeps </w:t>
      </w:r>
      <w:r>
        <w:rPr>
          <w:rFonts w:ascii="Courier New" w:cs="Courier New" w:eastAsia="Courier New" w:hAnsi="Courier New"/>
          <w:b w:val="false"/>
          <w:bCs w:val="false"/>
          <w:i w:val="false"/>
          <w:iCs w:val="false"/>
          <w:smallCaps w:val="false"/>
          <w:sz w:val="18"/>
          <w:szCs w:val="18"/>
        </w:rPr>
        <w:t xml:space="preserve">claimed[user]</w:t>
      </w:r>
      <w:r>
        <w:rPr>
          <w:rFonts w:ascii="Times New Roman" w:cs="Times New Roman" w:eastAsia="Times New Roman" w:hAnsi="Times New Roman"/>
          <w:b w:val="false"/>
          <w:bCs w:val="false"/>
          <w:i w:val="false"/>
          <w:iCs w:val="false"/>
          <w:smallCaps w:val="false"/>
        </w:rPr>
        <w:t xml:space="preserve"> itself. A request must satisfy 0 &lt; </w:t>
      </w:r>
      <w:r>
        <w:rPr>
          <w:rFonts w:ascii="Times New Roman" w:cs="Times New Roman" w:eastAsia="Times New Roman" w:hAnsi="Times New Roman"/>
          <w:b w:val="false"/>
          <w:bCs w:val="false"/>
          <w:i/>
          <w:iCs/>
          <w:smallCaps w:val="false"/>
        </w:rPr>
        <w:t xml:space="preserve">a</w:t>
      </w:r>
      <w:r>
        <w:rPr>
          <w:rFonts w:ascii="Times New Roman" w:cs="Times New Roman" w:eastAsia="Times New Roman" w:hAnsi="Times New Roman"/>
          <w:b w:val="false"/>
          <w:bCs w:val="false"/>
          <w:i w:val="false"/>
          <w:iCs w:val="false"/>
          <w:smallCaps w:val="false"/>
        </w:rPr>
        <w:t xml:space="preserve"> ≤ </w:t>
      </w:r>
      <w:r>
        <w:rPr>
          <w:rFonts w:ascii="Times New Roman" w:cs="Times New Roman" w:eastAsia="Times New Roman" w:hAnsi="Times New Roman"/>
          <w:b w:val="false"/>
          <w:bCs w:val="false"/>
          <w:i/>
          <w:iCs/>
          <w:smallCaps w:val="false"/>
        </w:rPr>
        <w:t xml:space="preserve">earned</w:t>
      </w:r>
      <w:r>
        <w:rPr>
          <w:rFonts w:ascii="Times New Roman" w:cs="Times New Roman" w:eastAsia="Times New Roman" w:hAnsi="Times New Roman"/>
          <w:b w:val="false"/>
          <w:bCs w:val="false"/>
          <w:i w:val="false"/>
          <w:iCs w:val="false"/>
          <w:smallCaps w:val="false"/>
        </w:rPr>
        <w:t xml:space="preserve"> − </w:t>
      </w:r>
      <w:r>
        <w:rPr>
          <w:rFonts w:ascii="Times New Roman" w:cs="Times New Roman" w:eastAsia="Times New Roman" w:hAnsi="Times New Roman"/>
          <w:b w:val="false"/>
          <w:bCs w:val="false"/>
          <w:i/>
          <w:iCs/>
          <w:smallCaps w:val="false"/>
        </w:rPr>
        <w:t xml:space="preserve">claimed</w:t>
      </w:r>
      <w:r>
        <w:rPr>
          <w:rFonts w:ascii="Times New Roman" w:cs="Times New Roman" w:eastAsia="Times New Roman" w:hAnsi="Times New Roman"/>
          <w:b w:val="false"/>
          <w:bCs w:val="false"/>
          <w:i w:val="false"/>
          <w:iCs w:val="false"/>
          <w:smallCaps w:val="false"/>
        </w:rPr>
        <w:t xml:space="preserve">; if </w:t>
      </w:r>
      <w:r>
        <w:rPr>
          <w:rFonts w:ascii="Times New Roman" w:cs="Times New Roman" w:eastAsia="Times New Roman" w:hAnsi="Times New Roman"/>
          <w:b w:val="false"/>
          <w:bCs w:val="false"/>
          <w:i/>
          <w:iCs/>
          <w:smallCaps w:val="false"/>
        </w:rPr>
        <w:t xml:space="preserve">a</w:t>
      </w:r>
      <w:r>
        <w:rPr>
          <w:rFonts w:ascii="Times New Roman" w:cs="Times New Roman" w:eastAsia="Times New Roman" w:hAnsi="Times New Roman"/>
          <w:b w:val="false"/>
          <w:bCs w:val="false"/>
          <w:i w:val="false"/>
          <w:iCs w:val="false"/>
          <w:smallCaps w:val="false"/>
        </w:rPr>
        <w:t xml:space="preserve"> ≤  </w:t>
      </w:r>
      <w:r>
        <w:rPr>
          <w:rFonts w:ascii="Courier New" w:cs="Courier New" w:eastAsia="Courier New" w:hAnsi="Courier New"/>
          <w:b w:val="false"/>
          <w:bCs w:val="false"/>
          <w:i w:val="false"/>
          <w:iCs w:val="false"/>
          <w:smallCaps w:val="false"/>
          <w:sz w:val="18"/>
          <w:szCs w:val="18"/>
        </w:rPr>
        <w:t xml:space="preserve">instantLimit</w:t>
      </w:r>
      <w:r>
        <w:rPr>
          <w:rFonts w:ascii="Times New Roman" w:cs="Times New Roman" w:eastAsia="Times New Roman" w:hAnsi="Times New Roman"/>
          <w:b w:val="false"/>
          <w:bCs w:val="false"/>
          <w:i w:val="false"/>
          <w:iCs w:val="false"/>
          <w:smallCaps w:val="false"/>
        </w:rPr>
        <w:t xml:space="preserve"> it is paid at once, otherwise it waits as a single pending request that the owner approves or rejects and the user can cancel. Hence for every user </w:t>
      </w:r>
      <w:r>
        <w:rPr>
          <w:rFonts w:ascii="Times New Roman" w:cs="Times New Roman" w:eastAsia="Times New Roman" w:hAnsi="Times New Roman"/>
          <w:b w:val="false"/>
          <w:bCs w:val="false"/>
          <w:i/>
          <w:iCs/>
          <w:smallCaps w:val="false"/>
        </w:rPr>
        <w:t xml:space="preserve">claimed</w:t>
      </w:r>
      <w:r>
        <w:rPr>
          <w:rFonts w:ascii="Times New Roman" w:cs="Times New Roman" w:eastAsia="Times New Roman" w:hAnsi="Times New Roman"/>
          <w:b w:val="false"/>
          <w:bCs w:val="false"/>
          <w:i w:val="false"/>
          <w:iCs w:val="false"/>
          <w:smallCaps w:val="false"/>
        </w:rPr>
        <w:t xml:space="preserve"> + </w:t>
      </w:r>
      <w:r>
        <w:rPr>
          <w:rFonts w:ascii="Times New Roman" w:cs="Times New Roman" w:eastAsia="Times New Roman" w:hAnsi="Times New Roman"/>
          <w:b w:val="false"/>
          <w:bCs w:val="false"/>
          <w:i/>
          <w:iCs/>
          <w:smallCaps w:val="false"/>
        </w:rPr>
        <w:t xml:space="preserve">pending</w:t>
      </w:r>
      <w:r>
        <w:rPr>
          <w:rFonts w:ascii="Times New Roman" w:cs="Times New Roman" w:eastAsia="Times New Roman" w:hAnsi="Times New Roman"/>
          <w:b w:val="false"/>
          <w:bCs w:val="false"/>
          <w:i w:val="false"/>
          <w:iCs w:val="false"/>
          <w:smallCaps w:val="false"/>
        </w:rPr>
        <w:t xml:space="preserve"> ≤ </w:t>
      </w:r>
      <w:r>
        <w:rPr>
          <w:rFonts w:ascii="Times New Roman" w:cs="Times New Roman" w:eastAsia="Times New Roman" w:hAnsi="Times New Roman"/>
          <w:b w:val="false"/>
          <w:bCs w:val="false"/>
          <w:i/>
          <w:iCs/>
          <w:smallCaps w:val="false"/>
        </w:rPr>
        <w:t xml:space="preserve">earned</w:t>
      </w:r>
      <w:r>
        <w:rPr>
          <w:rFonts w:ascii="Times New Roman" w:cs="Times New Roman" w:eastAsia="Times New Roman" w:hAnsi="Times New Roman"/>
          <w:b w:val="false"/>
          <w:bCs w:val="false"/>
          <w:i w:val="false"/>
          <w:iCs w:val="false"/>
          <w:smallCaps w:val="false"/>
        </w:rPr>
        <w:t xml:space="preserve"> at all times, and summed over users ∑</w:t>
      </w:r>
      <w:r>
        <w:rPr>
          <w:rFonts w:ascii="Times New Roman" w:cs="Times New Roman" w:eastAsia="Times New Roman" w:hAnsi="Times New Roman"/>
          <w:b w:val="false"/>
          <w:bCs w:val="false"/>
          <w:i/>
          <w:iCs/>
          <w:smallCaps w:val="false"/>
        </w:rPr>
        <w:t xml:space="preserve">earned</w:t>
      </w:r>
      <w:r>
        <w:rPr>
          <w:rFonts w:ascii="Times New Roman" w:cs="Times New Roman" w:eastAsia="Times New Roman" w:hAnsi="Times New Roman"/>
          <w:b w:val="false"/>
          <w:bCs w:val="false"/>
          <w:i w:val="false"/>
          <w:iCs w:val="false"/>
          <w:smallCaps w:val="false"/>
        </w:rPr>
        <w:t xml:space="preserve"> ≤  </w:t>
      </w:r>
      <w:r>
        <w:rPr>
          <w:rFonts w:ascii="Courier New" w:cs="Courier New" w:eastAsia="Courier New" w:hAnsi="Courier New"/>
          <w:b w:val="false"/>
          <w:bCs w:val="false"/>
          <w:i w:val="false"/>
          <w:iCs w:val="false"/>
          <w:smallCaps w:val="false"/>
          <w:sz w:val="18"/>
          <w:szCs w:val="18"/>
        </w:rPr>
        <w:t xml:space="preserve">rewardBudget</w:t>
      </w:r>
      <w:r>
        <w:rPr>
          <w:rFonts w:ascii="Times New Roman" w:cs="Times New Roman" w:eastAsia="Times New Roman" w:hAnsi="Times New Roman"/>
          <w:b w:val="false"/>
          <w:bCs w:val="false"/>
          <w:i w:val="false"/>
          <w:iCs w:val="false"/>
          <w:smallCaps w:val="false"/>
        </w:rPr>
        <w:t xml:space="preserve">  =  treasury, so the treasury cannot be overdrawn (F2, F6). State is written before the token transfer, and the token is OpenZeppelin’s ERC-20 without transfer hooks, so the prototype’s </w:t>
      </w:r>
      <w:r>
        <w:rPr>
          <w:rFonts w:ascii="Courier New" w:cs="Courier New" w:eastAsia="Courier New" w:hAnsi="Courier New"/>
          <w:b w:val="false"/>
          <w:bCs w:val="false"/>
          <w:i w:val="false"/>
          <w:iCs w:val="false"/>
          <w:smallCaps w:val="false"/>
          <w:sz w:val="18"/>
          <w:szCs w:val="18"/>
        </w:rPr>
        <w:t xml:space="preserve">ReentrancyGuard</w:t>
      </w:r>
      <w:r>
        <w:rPr>
          <w:rFonts w:ascii="Times New Roman" w:cs="Times New Roman" w:eastAsia="Times New Roman" w:hAnsi="Times New Roman"/>
          <w:b w:val="false"/>
          <w:bCs w:val="false"/>
          <w:i w:val="false"/>
          <w:iCs w:val="false"/>
          <w:smallCaps w:val="false"/>
        </w:rPr>
        <w:t xml:space="preserve"> is unnecessary [34], [35].</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Storage layout.</w:t>
      </w:r>
      <w:r>
        <w:rPr>
          <w:rFonts w:ascii="Times New Roman" w:cs="Times New Roman" w:eastAsia="Times New Roman" w:hAnsi="Times New Roman"/>
          <w:b w:val="false"/>
          <w:bCs w:val="false"/>
          <w:i w:val="false"/>
          <w:iCs w:val="false"/>
          <w:smallCaps w:val="false"/>
        </w:rPr>
        <w:t xml:space="preserve"> A user occupies one 256-bit slot: </w:t>
      </w:r>
      <w:r>
        <w:rPr>
          <w:rFonts w:ascii="Courier New" w:cs="Courier New" w:eastAsia="Courier New" w:hAnsi="Courier New"/>
          <w:b w:val="false"/>
          <w:bCs w:val="false"/>
          <w:i w:val="false"/>
          <w:iCs w:val="false"/>
          <w:smallCaps w:val="false"/>
          <w:sz w:val="18"/>
          <w:szCs w:val="18"/>
        </w:rPr>
        <w:t xml:space="preserve">uint64 githubId</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uint32 xp</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uint8 level</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uint96 earned</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uint40 lastSync</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bool suspended</w:t>
      </w:r>
      <w:r>
        <w:rPr>
          <w:rFonts w:ascii="Times New Roman" w:cs="Times New Roman" w:eastAsia="Times New Roman" w:hAnsi="Times New Roman"/>
          <w:b w:val="false"/>
          <w:bCs w:val="false"/>
          <w:i w:val="false"/>
          <w:iCs w:val="false"/>
          <w:smallCaps w:val="false"/>
        </w:rPr>
        <w:t xml:space="preserve"> (248 bits); a pending withdrawal (</w:t>
      </w:r>
      <w:r>
        <w:rPr>
          <w:rFonts w:ascii="Courier New" w:cs="Courier New" w:eastAsia="Courier New" w:hAnsi="Courier New"/>
          <w:b w:val="false"/>
          <w:bCs w:val="false"/>
          <w:i w:val="false"/>
          <w:iCs w:val="false"/>
          <w:smallCaps w:val="false"/>
          <w:sz w:val="18"/>
          <w:szCs w:val="18"/>
        </w:rPr>
        <w:t xml:space="preserve">uint96</w:t>
      </w:r>
      <w:r>
        <w:rPr>
          <w:rFonts w:ascii="Times New Roman" w:cs="Times New Roman"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sz w:val="18"/>
          <w:szCs w:val="18"/>
        </w:rPr>
        <w:t xml:space="preserve">bool</w:t>
      </w:r>
      <w:r>
        <w:rPr>
          <w:rFonts w:ascii="Times New Roman" w:cs="Times New Roman" w:eastAsia="Times New Roman" w:hAnsi="Times New Roman"/>
          <w:b w:val="false"/>
          <w:bCs w:val="false"/>
          <w:i w:val="false"/>
          <w:iCs w:val="false"/>
          <w:smallCaps w:val="false"/>
        </w:rPr>
        <w:t xml:space="preserve">) fits in one more. The login is stored once in a separate mapping for display. Suspension replaces deletion (F7), and </w:t>
      </w:r>
      <w:r>
        <w:rPr>
          <w:rFonts w:ascii="Courier New" w:cs="Courier New" w:eastAsia="Courier New" w:hAnsi="Courier New"/>
          <w:b w:val="false"/>
          <w:bCs w:val="false"/>
          <w:i w:val="false"/>
          <w:iCs w:val="false"/>
          <w:smallCaps w:val="false"/>
          <w:sz w:val="18"/>
          <w:szCs w:val="18"/>
        </w:rPr>
        <w:t xml:space="preserve">getUsers(offset, limit)</w:t>
      </w:r>
      <w:r>
        <w:rPr>
          <w:rFonts w:ascii="Times New Roman" w:cs="Times New Roman" w:eastAsia="Times New Roman" w:hAnsi="Times New Roman"/>
          <w:b w:val="false"/>
          <w:bCs w:val="false"/>
          <w:i w:val="false"/>
          <w:iCs w:val="false"/>
          <w:smallCaps w:val="false"/>
        </w:rPr>
        <w:t xml:space="preserve"> replaces the unbounded </w:t>
      </w:r>
      <w:r>
        <w:rPr>
          <w:rFonts w:ascii="Courier New" w:cs="Courier New" w:eastAsia="Courier New" w:hAnsi="Courier New"/>
          <w:b w:val="false"/>
          <w:bCs w:val="false"/>
          <w:i w:val="false"/>
          <w:iCs w:val="false"/>
          <w:smallCaps w:val="false"/>
          <w:sz w:val="18"/>
          <w:szCs w:val="18"/>
        </w:rPr>
        <w:t xml:space="preserve">getAllUsers</w:t>
      </w:r>
      <w:r>
        <w:rPr>
          <w:rFonts w:ascii="Times New Roman" w:cs="Times New Roman" w:eastAsia="Times New Roman" w:hAnsi="Times New Roman"/>
          <w:b w:val="false"/>
          <w:bCs w:val="false"/>
          <w:i w:val="false"/>
          <w:iCs w:val="false"/>
          <w:smallCaps w:val="false"/>
        </w:rPr>
        <w:t xml:space="preserve"> (F8).</w:t>
      </w:r>
    </w:p>
    <w:p>
      <w:pPr>
        <w:spacing w:after="0" w:line="228" w:lineRule="exact"/>
        <w:ind w:firstLine="202"/>
        <w:jc w:val="both"/>
      </w:pPr>
      <w:r>
        <w:rPr>
          <w:rFonts w:ascii="Times New Roman" w:cs="Times New Roman" w:eastAsia="Times New Roman" w:hAnsi="Times New Roman"/>
          <w:b w:val="false"/>
          <w:bCs w:val="false"/>
          <w:i/>
          <w:iCs/>
          <w:smallCaps w:val="false"/>
        </w:rPr>
        <w:t xml:space="preserve">Frontend.</w:t>
      </w:r>
      <w:r>
        <w:rPr>
          <w:rFonts w:ascii="Times New Roman" w:cs="Times New Roman" w:eastAsia="Times New Roman" w:hAnsi="Times New Roman"/>
          <w:b w:val="false"/>
          <w:bCs w:val="false"/>
          <w:i w:val="false"/>
          <w:iCs w:val="false"/>
          <w:smallCaps w:val="false"/>
        </w:rPr>
        <w:t xml:space="preserve"> The dashboard now shows what the contracts say: XP, level and </w:t>
      </w:r>
      <w:r>
        <w:rPr>
          <w:rFonts w:ascii="Times New Roman" w:cs="Times New Roman" w:eastAsia="Times New Roman" w:hAnsi="Times New Roman"/>
          <w:b w:val="false"/>
          <w:bCs w:val="false"/>
          <w:i/>
          <w:iCs/>
          <w:smallCaps w:val="false"/>
        </w:rPr>
        <w:t xml:space="preserve">earned</w:t>
      </w:r>
      <w:r>
        <w:rPr>
          <w:rFonts w:ascii="Times New Roman" w:cs="Times New Roman" w:eastAsia="Times New Roman" w:hAnsi="Times New Roman"/>
          <w:b w:val="false"/>
          <w:bCs w:val="false"/>
          <w:i w:val="false"/>
          <w:iCs w:val="false"/>
          <w:smallCaps w:val="false"/>
        </w:rPr>
        <w:t xml:space="preserve"> from </w:t>
      </w:r>
      <w:r>
        <w:rPr>
          <w:rFonts w:ascii="Courier New" w:cs="Courier New" w:eastAsia="Courier New" w:hAnsi="Courier New"/>
          <w:b w:val="false"/>
          <w:bCs w:val="false"/>
          <w:i w:val="false"/>
          <w:iCs w:val="false"/>
          <w:smallCaps w:val="false"/>
          <w:sz w:val="18"/>
          <w:szCs w:val="18"/>
        </w:rPr>
        <w:t xml:space="preserve">UserDatabase</w:t>
      </w:r>
      <w:r>
        <w:rPr>
          <w:rFonts w:ascii="Times New Roman" w:cs="Times New Roman" w:eastAsia="Times New Roman" w:hAnsi="Times New Roman"/>
          <w:b w:val="false"/>
          <w:bCs w:val="false"/>
          <w:i w:val="false"/>
          <w:iCs w:val="false"/>
          <w:smallCaps w:val="false"/>
        </w:rPr>
        <w:t xml:space="preserve">, </w:t>
      </w:r>
      <w:r>
        <w:rPr>
          <w:rFonts w:ascii="Times New Roman" w:cs="Times New Roman" w:eastAsia="Times New Roman" w:hAnsi="Times New Roman"/>
          <w:b w:val="false"/>
          <w:bCs w:val="false"/>
          <w:i/>
          <w:iCs/>
          <w:smallCaps w:val="false"/>
        </w:rPr>
        <w:t xml:space="preserve">claimed</w:t>
      </w:r>
      <w:r>
        <w:rPr>
          <w:rFonts w:ascii="Times New Roman" w:cs="Times New Roman" w:eastAsia="Times New Roman" w:hAnsi="Times New Roman"/>
          <w:b w:val="false"/>
          <w:bCs w:val="false"/>
          <w:i w:val="false"/>
          <w:iCs w:val="false"/>
          <w:smallCaps w:val="false"/>
        </w:rPr>
        <w:t xml:space="preserve"> and </w:t>
      </w:r>
      <w:r>
        <w:rPr>
          <w:rFonts w:ascii="Times New Roman" w:cs="Times New Roman" w:eastAsia="Times New Roman" w:hAnsi="Times New Roman"/>
          <w:b w:val="false"/>
          <w:bCs w:val="false"/>
          <w:i/>
          <w:iCs/>
          <w:smallCaps w:val="false"/>
        </w:rPr>
        <w:t xml:space="preserve">available</w:t>
      </w:r>
      <w:r>
        <w:rPr>
          <w:rFonts w:ascii="Times New Roman" w:cs="Times New Roman" w:eastAsia="Times New Roman" w:hAnsi="Times New Roman"/>
          <w:b w:val="false"/>
          <w:bCs w:val="false"/>
          <w:i w:val="false"/>
          <w:iCs w:val="false"/>
          <w:smallCaps w:val="false"/>
        </w:rPr>
        <w:t xml:space="preserve"> from </w:t>
      </w:r>
      <w:r>
        <w:rPr>
          <w:rFonts w:ascii="Courier New" w:cs="Courier New" w:eastAsia="Courier New" w:hAnsi="Courier New"/>
          <w:b w:val="false"/>
          <w:bCs w:val="false"/>
          <w:i w:val="false"/>
          <w:iCs w:val="false"/>
          <w:smallCaps w:val="false"/>
          <w:sz w:val="18"/>
          <w:szCs w:val="18"/>
        </w:rPr>
        <w:t xml:space="preserve">RewardMechanism</w:t>
      </w:r>
      <w:r>
        <w:rPr>
          <w:rFonts w:ascii="Times New Roman" w:cs="Times New Roman" w:eastAsia="Times New Roman" w:hAnsi="Times New Roman"/>
          <w:b w:val="false"/>
          <w:bCs w:val="false"/>
          <w:i w:val="false"/>
          <w:iCs w:val="false"/>
          <w:smallCaps w:val="false"/>
        </w:rPr>
        <w:t xml:space="preserve">. It asks the wallet to switch to the configured chain before any transaction, decodes custom-error reverts into messages, and refreshes on contract events instead of the prototype’s 15-second and 30-second polling. Contract addresses come from build-time environment variables instead of source code. The leaderboard pages through </w:t>
      </w:r>
      <w:r>
        <w:rPr>
          <w:rFonts w:ascii="Courier New" w:cs="Courier New" w:eastAsia="Courier New" w:hAnsi="Courier New"/>
          <w:b w:val="false"/>
          <w:bCs w:val="false"/>
          <w:i w:val="false"/>
          <w:iCs w:val="false"/>
          <w:smallCaps w:val="false"/>
          <w:sz w:val="18"/>
          <w:szCs w:val="18"/>
        </w:rPr>
        <w:t xml:space="preserve">getUsers</w:t>
      </w:r>
      <w:r>
        <w:rPr>
          <w:rFonts w:ascii="Times New Roman" w:cs="Times New Roman" w:eastAsia="Times New Roman" w:hAnsi="Times New Roman"/>
          <w:b w:val="false"/>
          <w:bCs w:val="false"/>
          <w:i w:val="false"/>
          <w:iCs w:val="false"/>
          <w:smallCaps w:val="false"/>
        </w:rPr>
        <w:t xml:space="preserve"> and ranks by on-chain XP, so every visitor sees the same order (X2).</w:t>
      </w:r>
    </w:p>
    <w:p>
      <w:pPr>
        <w:pStyle w:val="Heading1"/>
        <w:keepNext/>
        <w:spacing w:after="80" w:before="200"/>
        <w:jc w:val="center"/>
      </w:pPr>
      <w:r>
        <w:rPr>
          <w:rFonts w:ascii="Times New Roman" w:cs="Times New Roman" w:eastAsia="Times New Roman" w:hAnsi="Times New Roman"/>
          <w:smallCaps/>
        </w:rPr>
        <w:t xml:space="preserve">IV. </w:t>
      </w:r>
      <w:r>
        <w:rPr>
          <w:rFonts w:ascii="Times New Roman" w:cs="Times New Roman" w:eastAsia="Times New Roman" w:hAnsi="Times New Roman"/>
          <w:b w:val="false"/>
          <w:bCs w:val="false"/>
          <w:i w:val="false"/>
          <w:iCs w:val="false"/>
          <w:smallCaps/>
        </w:rPr>
        <w:t xml:space="preserve">Evaluation</w:t>
      </w:r>
    </w:p>
    <w:p>
      <w:pPr>
        <w:pStyle w:val="Heading2"/>
        <w:keepNext/>
        <w:spacing w:after="40" w:before="80"/>
      </w:pPr>
      <w:r>
        <w:rPr>
          <w:rFonts w:ascii="Times New Roman" w:cs="Times New Roman" w:eastAsia="Times New Roman" w:hAnsi="Times New Roman"/>
          <w:i/>
          <w:iCs/>
        </w:rPr>
        <w:t xml:space="preserve">A. </w:t>
      </w:r>
      <w:r>
        <w:rPr>
          <w:rFonts w:ascii="Times New Roman" w:cs="Times New Roman" w:eastAsia="Times New Roman" w:hAnsi="Times New Roman"/>
          <w:b w:val="false"/>
          <w:bCs w:val="false"/>
          <w:i/>
          <w:iCs/>
          <w:smallCaps w:val="false"/>
        </w:rPr>
        <w:t xml:space="preserve">Testbed and methodology</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Contracts run on the Hardhat EDR network (Cancun rules). The prototype’s sources are compiled as deployed (solc 0.8.20, optimizer off); BlockSource uses solc 0.8.26 with the optimizer at 200 runs. Gas is a deterministic function of bytecode, fork rules and state, so local figures should match on-chain receipts for the same calls; Section IV-C checks this. US-dollar figures assume ETH at US$2,725 (early October 2026) and scale linearly in price and gas price; we price at 0.5 gwei, close to 2026’s mainnet daily averages [36], and at 15 and 40 gwei. Backend timings were taken on a 2-vCPU Intel Xeon at 2.1 GHz with Node.js 22. We could not call GitHub’s GraphQL API from the test environment, so GitHub responses in backend tests are recorded fixtures.</w:t>
      </w:r>
    </w:p>
    <w:p>
      <w:pPr>
        <w:pStyle w:val="Heading2"/>
        <w:keepNext/>
        <w:spacing w:after="40" w:before="80"/>
      </w:pPr>
      <w:r>
        <w:rPr>
          <w:rFonts w:ascii="Times New Roman" w:cs="Times New Roman" w:eastAsia="Times New Roman" w:hAnsi="Times New Roman"/>
          <w:i/>
          <w:iCs/>
        </w:rPr>
        <w:t xml:space="preserve">B. </w:t>
      </w:r>
      <w:r>
        <w:rPr>
          <w:rFonts w:ascii="Times New Roman" w:cs="Times New Roman" w:eastAsia="Times New Roman" w:hAnsi="Times New Roman"/>
          <w:b w:val="false"/>
          <w:bCs w:val="false"/>
          <w:i/>
          <w:iCs/>
          <w:smallCaps w:val="false"/>
        </w:rPr>
        <w:t xml:space="preserve">Functional verification</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contract suite has 71 Hardhat tests: 8 reproduce the prototype’s findings, 62 cover BlockSource (tokenomics, progression maths, binding, sync, suspension, pagination, withdrawals, solvency and access control), and one runs the backend’s attestation and sync code against the BlockSource contracts end to end. All pass, with 100% statement, branch, function and line coverage of the three BlockSource contracts under </w:t>
      </w:r>
      <w:r>
        <w:rPr>
          <w:rFonts w:ascii="Courier New" w:cs="Courier New" w:eastAsia="Courier New" w:hAnsi="Courier New"/>
          <w:b w:val="false"/>
          <w:bCs w:val="false"/>
          <w:i w:val="false"/>
          <w:iCs w:val="false"/>
          <w:smallCaps w:val="false"/>
          <w:sz w:val="18"/>
          <w:szCs w:val="18"/>
        </w:rPr>
        <w:t xml:space="preserve">solidity-coverage</w:t>
      </w:r>
      <w:r>
        <w:rPr>
          <w:rFonts w:ascii="Times New Roman" w:cs="Times New Roman" w:eastAsia="Times New Roman" w:hAnsi="Times New Roman"/>
          <w:b w:val="false"/>
          <w:bCs w:val="false"/>
          <w:i w:val="false"/>
          <w:iCs w:val="false"/>
          <w:smallCaps w:val="false"/>
        </w:rPr>
        <w:t xml:space="preserve">. The backend has 9 further tests covering year-by-year counting, GraphQL variable handling, id mismatch, OAuth </w:t>
      </w:r>
      <w:r>
        <w:rPr>
          <w:rFonts w:ascii="Courier New" w:cs="Courier New" w:eastAsia="Courier New" w:hAnsi="Courier New"/>
          <w:b w:val="false"/>
          <w:bCs w:val="false"/>
          <w:i w:val="false"/>
          <w:iCs w:val="false"/>
          <w:smallCaps w:val="false"/>
          <w:sz w:val="18"/>
          <w:szCs w:val="18"/>
        </w:rPr>
        <w:t xml:space="preserve">state</w:t>
      </w:r>
      <w:r>
        <w:rPr>
          <w:rFonts w:ascii="Times New Roman" w:cs="Times New Roman" w:eastAsia="Times New Roman" w:hAnsi="Times New Roman"/>
          <w:b w:val="false"/>
          <w:bCs w:val="false"/>
          <w:i w:val="false"/>
          <w:iCs w:val="false"/>
          <w:smallCaps w:val="false"/>
        </w:rPr>
        <w:t xml:space="preserve"> rejection, the absence of tokens in redirects, attestation recovery, the sync cooldown, and batch selection that skips suspended and unchanged users. The frontend builds with Vite and passes ESLint (React hooks rules) without errors.</w:t>
      </w:r>
    </w:p>
    <w:p>
      <w:pPr>
        <w:pStyle w:val="Heading2"/>
        <w:keepNext/>
        <w:spacing w:after="40" w:before="80"/>
      </w:pPr>
      <w:r>
        <w:rPr>
          <w:rFonts w:ascii="Times New Roman" w:cs="Times New Roman" w:eastAsia="Times New Roman" w:hAnsi="Times New Roman"/>
          <w:i/>
          <w:iCs/>
        </w:rPr>
        <w:t xml:space="preserve">C. </w:t>
      </w:r>
      <w:r>
        <w:rPr>
          <w:rFonts w:ascii="Times New Roman" w:cs="Times New Roman" w:eastAsia="Times New Roman" w:hAnsi="Times New Roman"/>
          <w:b w:val="false"/>
          <w:bCs w:val="false"/>
          <w:i/>
          <w:iCs/>
          <w:smallCaps w:val="false"/>
        </w:rPr>
        <w:t xml:space="preserve">Validating gas measurement against Sepolia</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Sepolia receipts give gas used as fee divided by gas price. Table IV compares them with the same calls on a local build of the prototype. Registration and withdrawal requests match within the rounding of the explorer’s fee display. Approvals are 0.5–0.6% higher locally; the deployed </w:t>
      </w:r>
      <w:r>
        <w:rPr>
          <w:rFonts w:ascii="Courier New" w:cs="Courier New" w:eastAsia="Courier New" w:hAnsi="Courier New"/>
          <w:b w:val="false"/>
          <w:bCs w:val="false"/>
          <w:i w:val="false"/>
          <w:iCs w:val="false"/>
          <w:smallCaps w:val="false"/>
          <w:sz w:val="18"/>
          <w:szCs w:val="18"/>
        </w:rPr>
        <w:t xml:space="preserve">RewardMechanism</w:t>
      </w:r>
      <w:r>
        <w:rPr>
          <w:rFonts w:ascii="Times New Roman" w:cs="Times New Roman" w:eastAsia="Times New Roman" w:hAnsi="Times New Roman"/>
          <w:b w:val="false"/>
          <w:bCs w:val="false"/>
          <w:i w:val="false"/>
          <w:iCs w:val="false"/>
          <w:smallCaps w:val="false"/>
        </w:rPr>
        <w:t xml:space="preserve"> is unverified, so the repository source may not be byte-identical to it, and function dispatch order alone can shift gas by a few hundred units. We take the local environment as accurate to within 1% for the comparisons that follow.</w:t>
      </w:r>
    </w:p>
    <w:p>
      <w:pPr>
        <w:keepNext/>
        <w:spacing w:after="0" w:before="160"/>
        <w:jc w:val="center"/>
      </w:pPr>
      <w:r>
        <w:rPr>
          <w:rFonts w:ascii="Times New Roman" w:cs="Times New Roman" w:eastAsia="Times New Roman" w:hAnsi="Times New Roman"/>
          <w:sz w:val="16"/>
          <w:szCs w:val="16"/>
        </w:rPr>
        <w:t xml:space="preserve">TABLE IV</w:t>
      </w:r>
    </w:p>
    <w:p>
      <w:pPr>
        <w:keepNext/>
        <w:spacing w:after="80"/>
        <w:jc w:val="center"/>
      </w:pPr>
      <w:r>
        <w:rPr>
          <w:rFonts w:ascii="Times New Roman" w:cs="Times New Roman" w:eastAsia="Times New Roman" w:hAnsi="Times New Roman"/>
          <w:b w:val="false"/>
          <w:bCs w:val="false"/>
          <w:i w:val="false"/>
          <w:iCs w:val="false"/>
          <w:smallCaps/>
          <w:sz w:val="16"/>
          <w:szCs w:val="16"/>
        </w:rPr>
        <w:t xml:space="preserve">Prototype gas: local re-execution vs. Sepolia receipts</w:t>
      </w:r>
    </w:p>
    <w:tbl>
      <w:tblPr>
        <w:tblW w:type="dxa" w:w="5076"/>
        <w:jc w:val="center"/>
        <w:tblBorders>
          <w:top w:val="single" w:color="auto" w:sz="4"/>
          <w:left w:val="single" w:color="auto" w:sz="4"/>
          <w:bottom w:val="single" w:color="auto" w:sz="4"/>
          <w:right w:val="single" w:color="auto" w:sz="4"/>
          <w:insideH w:val="single" w:color="auto" w:sz="4"/>
          <w:insideV w:val="single" w:color="auto" w:sz="4"/>
        </w:tblBorders>
      </w:tblPr>
      <w:tblGrid>
        <w:gridCol w:w="2499"/>
        <w:gridCol w:w="693"/>
        <w:gridCol w:w="1358"/>
        <w:gridCol w:w="526"/>
      </w:tblGrid>
      <w:tr>
        <w:trPr>
          <w:cantSplit/>
          <w:tblHeader/>
        </w:trPr>
        <w:tc>
          <w:tcPr>
            <w:tcW w:type="dxa" w:w="2499"/>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Call</w:t>
            </w:r>
          </w:p>
        </w:tc>
        <w:tc>
          <w:tcPr>
            <w:tcW w:type="dxa" w:w="693"/>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Local</w:t>
            </w:r>
          </w:p>
        </w:tc>
        <w:tc>
          <w:tcPr>
            <w:tcW w:type="dxa" w:w="1358"/>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Sepolia (range)</w:t>
            </w:r>
          </w:p>
        </w:tc>
        <w:tc>
          <w:tcPr>
            <w:tcW w:type="dxa" w:w="526"/>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Diff.</w:t>
            </w:r>
          </w:p>
        </w:tc>
      </w:tr>
      <w:tr>
        <w:trPr>
          <w:cantSplit/>
          <w:tblHeader w:val="off"/>
        </w:trPr>
        <w:tc>
          <w:tcPr>
            <w:tcW w:type="dxa" w:w="249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setUser</w:t>
            </w:r>
            <w:r>
              <w:rPr>
                <w:rFonts w:ascii="Times New Roman" w:cs="Times New Roman" w:eastAsia="Times New Roman" w:hAnsi="Times New Roman"/>
                <w:b w:val="false"/>
                <w:bCs w:val="false"/>
                <w:i w:val="false"/>
                <w:iCs w:val="false"/>
                <w:smallCaps w:val="false"/>
                <w:sz w:val="16"/>
                <w:szCs w:val="16"/>
              </w:rPr>
              <w:t xml:space="preserve">, first user</w:t>
            </w:r>
          </w:p>
        </w:tc>
        <w:tc>
          <w:tcPr>
            <w:tcW w:type="dxa" w:w="69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121,760</w:t>
            </w:r>
          </w:p>
        </w:tc>
        <w:tc>
          <w:tcPr>
            <w:tcW w:type="dxa" w:w="1358"/>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121,767</w:t>
            </w:r>
          </w:p>
        </w:tc>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0.0%</w:t>
            </w:r>
          </w:p>
        </w:tc>
      </w:tr>
      <w:tr>
        <w:trPr>
          <w:cantSplit/>
          <w:tblHeader w:val="off"/>
        </w:trPr>
        <w:tc>
          <w:tcPr>
            <w:tcW w:type="dxa" w:w="249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setUser</w:t>
            </w:r>
            <w:r>
              <w:rPr>
                <w:rFonts w:ascii="Times New Roman" w:cs="Times New Roman" w:eastAsia="Times New Roman" w:hAnsi="Times New Roman"/>
                <w:b w:val="false"/>
                <w:bCs w:val="false"/>
                <w:i w:val="false"/>
                <w:iCs w:val="false"/>
                <w:smallCaps w:val="false"/>
                <w:sz w:val="16"/>
                <w:szCs w:val="16"/>
              </w:rPr>
              <w:t xml:space="preserve">, later users</w:t>
            </w:r>
          </w:p>
        </w:tc>
        <w:tc>
          <w:tcPr>
            <w:tcW w:type="dxa" w:w="69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124,548</w:t>
            </w:r>
          </w:p>
        </w:tc>
        <w:tc>
          <w:tcPr>
            <w:tcW w:type="dxa" w:w="1358"/>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124,511–124,571</w:t>
            </w:r>
          </w:p>
        </w:tc>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0.0%</w:t>
            </w:r>
          </w:p>
        </w:tc>
      </w:tr>
      <w:tr>
        <w:trPr>
          <w:cantSplit/>
          <w:tblHeader w:val="off"/>
        </w:trPr>
        <w:tc>
          <w:tcPr>
            <w:tcW w:type="dxa" w:w="249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requestWithdrawal</w:t>
            </w:r>
          </w:p>
        </w:tc>
        <w:tc>
          <w:tcPr>
            <w:tcW w:type="dxa" w:w="69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68,019</w:t>
            </w:r>
          </w:p>
        </w:tc>
        <w:tc>
          <w:tcPr>
            <w:tcW w:type="dxa" w:w="1358"/>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68,013–68,019</w:t>
            </w:r>
          </w:p>
        </w:tc>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0.0%</w:t>
            </w:r>
          </w:p>
        </w:tc>
      </w:tr>
      <w:tr>
        <w:trPr>
          <w:cantSplit/>
          <w:tblHeader w:val="off"/>
        </w:trPr>
        <w:tc>
          <w:tcPr>
            <w:tcW w:type="dxa" w:w="249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4"/>
                <w:szCs w:val="14"/>
              </w:rPr>
              <w:t xml:space="preserve">approveWithdrawal</w:t>
            </w:r>
            <w:r>
              <w:rPr>
                <w:rFonts w:ascii="Times New Roman" w:cs="Times New Roman" w:eastAsia="Times New Roman" w:hAnsi="Times New Roman"/>
                <w:b w:val="false"/>
                <w:bCs w:val="false"/>
                <w:i w:val="false"/>
                <w:iCs w:val="false"/>
                <w:smallCaps w:val="false"/>
                <w:sz w:val="16"/>
                <w:szCs w:val="16"/>
              </w:rPr>
              <w:t xml:space="preserve">, new holder</w:t>
            </w:r>
          </w:p>
        </w:tc>
        <w:tc>
          <w:tcPr>
            <w:tcW w:type="dxa" w:w="69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64,992</w:t>
            </w:r>
          </w:p>
        </w:tc>
        <w:tc>
          <w:tcPr>
            <w:tcW w:type="dxa" w:w="1358"/>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64,657–64,660</w:t>
            </w:r>
          </w:p>
        </w:tc>
        <w:tc>
          <w:tcPr>
            <w:tcW w:type="dxa" w:w="526"/>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+0.5%</w:t>
            </w:r>
          </w:p>
        </w:tc>
      </w:tr>
      <w:tr>
        <w:trPr>
          <w:cantSplit/>
          <w:tblHeader w:val="off"/>
        </w:trPr>
        <w:tc>
          <w:tcPr>
            <w:tcW w:type="dxa" w:w="2499"/>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Courier New" w:cs="Courier New" w:eastAsia="Courier New" w:hAnsi="Courier New"/>
                <w:b w:val="false"/>
                <w:bCs w:val="false"/>
                <w:i w:val="false"/>
                <w:iCs w:val="false"/>
                <w:smallCaps w:val="false"/>
                <w:sz w:val="14"/>
                <w:szCs w:val="14"/>
              </w:rPr>
              <w:t xml:space="preserve">approveWithdrawal</w:t>
            </w:r>
            <w:r>
              <w:rPr>
                <w:rFonts w:ascii="Times New Roman" w:cs="Times New Roman" w:eastAsia="Times New Roman" w:hAnsi="Times New Roman"/>
                <w:b w:val="false"/>
                <w:bCs w:val="false"/>
                <w:i w:val="false"/>
                <w:iCs w:val="false"/>
                <w:smallCaps w:val="false"/>
                <w:sz w:val="16"/>
                <w:szCs w:val="16"/>
              </w:rPr>
              <w:t xml:space="preserve">, existing</w:t>
            </w:r>
          </w:p>
        </w:tc>
        <w:tc>
          <w:tcPr>
            <w:tcW w:type="dxa" w:w="693"/>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48,234</w:t>
            </w:r>
          </w:p>
        </w:tc>
        <w:tc>
          <w:tcPr>
            <w:tcW w:type="dxa" w:w="1358"/>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47,966–47,968</w:t>
            </w:r>
          </w:p>
        </w:tc>
        <w:tc>
          <w:tcPr>
            <w:tcW w:type="dxa" w:w="526"/>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+0.6%</w:t>
            </w:r>
          </w:p>
        </w:tc>
      </w:tr>
    </w:tbl>
    <w:p>
      <w:pPr>
        <w:spacing w:after="120"/>
      </w:pPr>
    </w:p>
    <w:p>
      <w:pPr>
        <w:pStyle w:val="Heading2"/>
        <w:keepNext/>
        <w:spacing w:after="40" w:before="80"/>
      </w:pPr>
      <w:r>
        <w:rPr>
          <w:rFonts w:ascii="Times New Roman" w:cs="Times New Roman" w:eastAsia="Times New Roman" w:hAnsi="Times New Roman"/>
          <w:i/>
          <w:iCs/>
        </w:rPr>
        <w:t xml:space="preserve">D. </w:t>
      </w:r>
      <w:r>
        <w:rPr>
          <w:rFonts w:ascii="Times New Roman" w:cs="Times New Roman" w:eastAsia="Times New Roman" w:hAnsi="Times New Roman"/>
          <w:b w:val="false"/>
          <w:bCs w:val="false"/>
          <w:i/>
          <w:iCs/>
          <w:smallCaps w:val="false"/>
        </w:rPr>
        <w:t xml:space="preserve">Gas: prototype versus BlockSource</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Table V compares the two designs. Registration costs 3.5% more in BlockSource because it verifies an ECDSA signature and stores a reverse mapping, which buys the identity binding. A single-user XP sync costs 33.7% less than the prototype’s </w:t>
      </w:r>
      <w:r>
        <w:rPr>
          <w:rFonts w:ascii="Courier New" w:cs="Courier New" w:eastAsia="Courier New" w:hAnsi="Courier New"/>
          <w:b w:val="false"/>
          <w:bCs w:val="false"/>
          <w:i w:val="false"/>
          <w:iCs w:val="false"/>
          <w:smallCaps w:val="false"/>
          <w:sz w:val="18"/>
          <w:szCs w:val="18"/>
        </w:rPr>
        <w:t xml:space="preserve">updateUserXP</w:t>
      </w:r>
      <w:r>
        <w:rPr>
          <w:rFonts w:ascii="Times New Roman" w:cs="Times New Roman" w:eastAsia="Times New Roman" w:hAnsi="Times New Roman"/>
          <w:b w:val="false"/>
          <w:bCs w:val="false"/>
          <w:i w:val="false"/>
          <w:iCs w:val="false"/>
          <w:smallCaps w:val="false"/>
        </w:rPr>
        <w:t xml:space="preserve"> although it also computes the level, because the profile is one packed slot; with a level-up it costs 42,096 gas. In batches of 100 the cost falls to 14,004 gas per user (Fig. 2). A withdrawal request is 18.0% cheaper. The first payout to a user costs 34.6% more because it creates </w:t>
      </w:r>
      <w:r>
        <w:rPr>
          <w:rFonts w:ascii="Courier New" w:cs="Courier New" w:eastAsia="Courier New" w:hAnsi="Courier New"/>
          <w:b w:val="false"/>
          <w:bCs w:val="false"/>
          <w:i w:val="false"/>
          <w:iCs w:val="false"/>
          <w:smallCaps w:val="false"/>
          <w:sz w:val="18"/>
          <w:szCs w:val="18"/>
        </w:rPr>
        <w:t xml:space="preserve">claimed[user]</w:t>
      </w:r>
      <w:r>
        <w:rPr>
          <w:rFonts w:ascii="Times New Roman" w:cs="Times New Roman" w:eastAsia="Times New Roman" w:hAnsi="Times New Roman"/>
          <w:b w:val="false"/>
          <w:bCs w:val="false"/>
          <w:i w:val="false"/>
          <w:iCs w:val="false"/>
          <w:smallCaps w:val="false"/>
        </w:rPr>
        <w:t xml:space="preserve">, a zero-to-nonzero store of about 22,100 gas; this is the price of moving the prototype’s </w:t>
      </w:r>
      <w:r>
        <w:rPr>
          <w:rFonts w:ascii="Courier New" w:cs="Courier New" w:eastAsia="Courier New" w:hAnsi="Courier New"/>
          <w:b w:val="false"/>
          <w:bCs w:val="false"/>
          <w:i w:val="false"/>
          <w:iCs w:val="false"/>
          <w:smallCaps w:val="false"/>
          <w:sz w:val="18"/>
          <w:szCs w:val="18"/>
        </w:rPr>
        <w:t xml:space="preserve">localStorage</w:t>
      </w:r>
      <w:r>
        <w:rPr>
          <w:rFonts w:ascii="Times New Roman" w:cs="Times New Roman" w:eastAsia="Times New Roman" w:hAnsi="Times New Roman"/>
          <w:b w:val="false"/>
          <w:bCs w:val="false"/>
          <w:i w:val="false"/>
          <w:iCs w:val="false"/>
          <w:smallCaps w:val="false"/>
        </w:rPr>
        <w:t xml:space="preserve"> entry on chain, and it is paid once per user. Deploying BlockSource takes 3.81 M gas against 4.79 M for the prototype (excluding the prototype’s separate treasury funding transfer), because </w:t>
      </w:r>
      <w:r>
        <w:rPr>
          <w:rFonts w:ascii="Courier New" w:cs="Courier New" w:eastAsia="Courier New" w:hAnsi="Courier New"/>
          <w:b w:val="false"/>
          <w:bCs w:val="false"/>
          <w:i w:val="false"/>
          <w:iCs w:val="false"/>
          <w:smallCaps w:val="false"/>
          <w:sz w:val="18"/>
          <w:szCs w:val="18"/>
        </w:rPr>
        <w:t xml:space="preserve">RewardMechanism</w:t>
      </w:r>
      <w:r>
        <w:rPr>
          <w:rFonts w:ascii="Times New Roman" w:cs="Times New Roman" w:eastAsia="Times New Roman" w:hAnsi="Times New Roman"/>
          <w:b w:val="false"/>
          <w:bCs w:val="false"/>
          <w:i w:val="false"/>
          <w:iCs w:val="false"/>
          <w:smallCaps w:val="false"/>
        </w:rPr>
        <w:t xml:space="preserve"> creates and funds UCoin in its constructor.</w:t>
      </w:r>
    </w:p>
    <w:p>
      <w:pPr>
        <w:keepNext/>
        <w:spacing w:after="0" w:before="160"/>
        <w:jc w:val="center"/>
      </w:pPr>
      <w:r>
        <w:rPr>
          <w:rFonts w:ascii="Times New Roman" w:cs="Times New Roman" w:eastAsia="Times New Roman" w:hAnsi="Times New Roman"/>
          <w:sz w:val="16"/>
          <w:szCs w:val="16"/>
        </w:rPr>
        <w:t xml:space="preserve">TABLE V</w:t>
      </w:r>
    </w:p>
    <w:p>
      <w:pPr>
        <w:keepNext/>
        <w:spacing w:after="80"/>
        <w:jc w:val="center"/>
      </w:pPr>
      <w:r>
        <w:rPr>
          <w:rFonts w:ascii="Times New Roman" w:cs="Times New Roman" w:eastAsia="Times New Roman" w:hAnsi="Times New Roman"/>
          <w:b w:val="false"/>
          <w:bCs w:val="false"/>
          <w:i w:val="false"/>
          <w:iCs w:val="false"/>
          <w:smallCaps/>
          <w:sz w:val="16"/>
          <w:szCs w:val="16"/>
        </w:rPr>
        <w:t xml:space="preserve">Gas per operation; US$ cost of BlockSource calls (ETH = US$2,725)</w:t>
      </w:r>
    </w:p>
    <w:tbl>
      <w:tblPr>
        <w:tblW w:type="dxa" w:w="5076"/>
        <w:jc w:val="center"/>
        <w:tblBorders>
          <w:top w:val="single" w:color="auto" w:sz="4"/>
          <w:left w:val="single" w:color="auto" w:sz="4"/>
          <w:bottom w:val="single" w:color="auto" w:sz="4"/>
          <w:right w:val="single" w:color="auto" w:sz="4"/>
          <w:insideH w:val="single" w:color="auto" w:sz="4"/>
          <w:insideV w:val="single" w:color="auto" w:sz="4"/>
        </w:tblBorders>
      </w:tblPr>
      <w:tblGrid>
        <w:gridCol w:w="2011"/>
        <w:gridCol w:w="620"/>
        <w:gridCol w:w="620"/>
        <w:gridCol w:w="547"/>
        <w:gridCol w:w="402"/>
        <w:gridCol w:w="402"/>
        <w:gridCol w:w="474"/>
      </w:tblGrid>
      <w:tr>
        <w:trPr>
          <w:cantSplit/>
          <w:tblHeader/>
        </w:trPr>
        <w:tc>
          <w:tcPr>
            <w:tcW w:type="dxa" w:w="2011"/>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left"/>
            </w:pPr>
          </w:p>
        </w:tc>
        <w:tc>
          <w:tcPr>
            <w:tcW w:type="dxa" w:w="620"/>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Proto-</w:t>
            </w:r>
          </w:p>
        </w:tc>
        <w:tc>
          <w:tcPr>
            <w:tcW w:type="dxa" w:w="620"/>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Block-</w:t>
            </w:r>
          </w:p>
        </w:tc>
        <w:tc>
          <w:tcPr>
            <w:tcW w:type="dxa" w:w="547"/>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right"/>
            </w:pPr>
          </w:p>
        </w:tc>
        <w:tc>
          <w:tcPr>
            <w:tcW w:type="dxa" w:w="1278"/>
            <w:gridSpan w:val="3"/>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center"/>
            </w:pPr>
            <w:r>
              <w:rPr>
                <w:rFonts w:ascii="Times New Roman" w:cs="Times New Roman" w:eastAsia="Times New Roman" w:hAnsi="Times New Roman"/>
                <w:b/>
                <w:bCs/>
                <w:i w:val="false"/>
                <w:iCs w:val="false"/>
                <w:smallCaps w:val="false"/>
                <w:sz w:val="14"/>
                <w:szCs w:val="14"/>
              </w:rPr>
              <w:t xml:space="preserve">US$ at gwei</w:t>
            </w:r>
          </w:p>
        </w:tc>
      </w:tr>
      <w:tr>
        <w:trPr>
          <w:cantSplit/>
          <w:tblHeader/>
        </w:trPr>
        <w:tc>
          <w:tcPr>
            <w:tcW w:type="dxa" w:w="2011"/>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4"/>
                <w:szCs w:val="14"/>
              </w:rPr>
              <w:t xml:space="preserve">Operation</w:t>
            </w:r>
          </w:p>
        </w:tc>
        <w:tc>
          <w:tcPr>
            <w:tcW w:type="dxa" w:w="620"/>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type</w:t>
            </w:r>
          </w:p>
        </w:tc>
        <w:tc>
          <w:tcPr>
            <w:tcW w:type="dxa" w:w="620"/>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Source</w:t>
            </w:r>
          </w:p>
        </w:tc>
        <w:tc>
          <w:tcPr>
            <w:tcW w:type="dxa" w:w="547"/>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Δ</w:t>
            </w:r>
          </w:p>
        </w:tc>
        <w:tc>
          <w:tcPr>
            <w:tcW w:type="dxa" w:w="402"/>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0.5</w:t>
            </w:r>
          </w:p>
        </w:tc>
        <w:tc>
          <w:tcPr>
            <w:tcW w:type="dxa" w:w="402"/>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15</w:t>
            </w:r>
          </w:p>
        </w:tc>
        <w:tc>
          <w:tcPr>
            <w:tcW w:type="dxa" w:w="474"/>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4"/>
                <w:szCs w:val="14"/>
              </w:rPr>
              <w:t xml:space="preserve">40</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Register</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124,548</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128,959</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+3.5%</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0.18</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5.27</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14.06</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XP update, single user</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50,731</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33,611</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−33.7%</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0.05</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1.37</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3.66</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with level-up</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42,096</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0.06</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1.72</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4.59</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batch of 100, per user</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14,004</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0.02</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0.57</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1.53</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same count again (no-op)</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27,131</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0.04</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1.11</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2.96</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Courier New" w:cs="Courier New" w:eastAsia="Courier New" w:hAnsi="Courier New"/>
                <w:b w:val="false"/>
                <w:bCs w:val="false"/>
                <w:i w:val="false"/>
                <w:iCs w:val="false"/>
                <w:smallCaps w:val="false"/>
                <w:sz w:val="12"/>
                <w:szCs w:val="12"/>
              </w:rPr>
              <w:t xml:space="preserve">requestWithdrawal</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68,019</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55,767</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−18.0%</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0.08</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2.28</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6.08</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Approve, first payout to user</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64,992</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87,468</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+34.6%</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0.12</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3.58</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9.53</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Approve, later payout</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48,234</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53,268</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+10.4%</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0.07</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2.18</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5.81</w:t>
            </w:r>
          </w:p>
        </w:tc>
      </w:tr>
      <w:tr>
        <w:trPr>
          <w:cantSplit/>
          <w:tblHeader w:val="off"/>
        </w:trPr>
        <w:tc>
          <w:tcPr>
            <w:tcW w:type="dxa" w:w="201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4"/>
                <w:szCs w:val="14"/>
              </w:rPr>
              <w:t xml:space="preserve">Request paid instantly</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w:t>
            </w:r>
          </w:p>
        </w:tc>
        <w:tc>
          <w:tcPr>
            <w:tcW w:type="dxa" w:w="62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56,383</w:t>
            </w:r>
          </w:p>
        </w:tc>
        <w:tc>
          <w:tcPr>
            <w:tcW w:type="dxa" w:w="547"/>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0.08</w:t>
            </w:r>
          </w:p>
        </w:tc>
        <w:tc>
          <w:tcPr>
            <w:tcW w:type="dxa" w:w="402"/>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2.30</w:t>
            </w:r>
          </w:p>
        </w:tc>
        <w:tc>
          <w:tcPr>
            <w:tcW w:type="dxa" w:w="4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4"/>
                <w:szCs w:val="14"/>
              </w:rPr>
              <w:t xml:space="preserve">6.15</w:t>
            </w:r>
          </w:p>
        </w:tc>
      </w:tr>
      <w:tr>
        <w:trPr>
          <w:cantSplit/>
          <w:tblHeader w:val="off"/>
        </w:trPr>
        <w:tc>
          <w:tcPr>
            <w:tcW w:type="dxa" w:w="2011"/>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Times New Roman" w:cs="Times New Roman" w:eastAsia="Times New Roman" w:hAnsi="Times New Roman"/>
                <w:b w:val="false"/>
                <w:bCs w:val="false"/>
                <w:i w:val="false"/>
                <w:iCs w:val="false"/>
                <w:smallCaps w:val="false"/>
                <w:sz w:val="14"/>
                <w:szCs w:val="14"/>
              </w:rPr>
              <w:t xml:space="preserve">Reject</w:t>
            </w:r>
          </w:p>
        </w:tc>
        <w:tc>
          <w:tcPr>
            <w:tcW w:type="dxa" w:w="620"/>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4"/>
                <w:szCs w:val="14"/>
              </w:rPr>
              <w:t xml:space="preserve">29,222</w:t>
            </w:r>
          </w:p>
        </w:tc>
        <w:tc>
          <w:tcPr>
            <w:tcW w:type="dxa" w:w="620"/>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4"/>
                <w:szCs w:val="14"/>
              </w:rPr>
              <w:t xml:space="preserve">26,449</w:t>
            </w:r>
          </w:p>
        </w:tc>
        <w:tc>
          <w:tcPr>
            <w:tcW w:type="dxa" w:w="547"/>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4"/>
                <w:szCs w:val="14"/>
              </w:rPr>
              <w:t xml:space="preserve">−9.5%</w:t>
            </w:r>
          </w:p>
        </w:tc>
        <w:tc>
          <w:tcPr>
            <w:tcW w:type="dxa" w:w="402"/>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4"/>
                <w:szCs w:val="14"/>
              </w:rPr>
              <w:t xml:space="preserve">0.04</w:t>
            </w:r>
          </w:p>
        </w:tc>
        <w:tc>
          <w:tcPr>
            <w:tcW w:type="dxa" w:w="402"/>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4"/>
                <w:szCs w:val="14"/>
              </w:rPr>
              <w:t xml:space="preserve">1.08</w:t>
            </w:r>
          </w:p>
        </w:tc>
        <w:tc>
          <w:tcPr>
            <w:tcW w:type="dxa" w:w="474"/>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4"/>
                <w:szCs w:val="14"/>
              </w:rPr>
              <w:t xml:space="preserve">2.88</w:t>
            </w:r>
          </w:p>
        </w:tc>
      </w:tr>
    </w:tbl>
    <w:p>
      <w:pPr>
        <w:spacing w:after="120"/>
      </w:pPr>
    </w:p>
    <w:p>
      <w:pPr>
        <w:keepNext/>
        <w:spacing w:after="0" w:before="120"/>
        <w:jc w:val="center"/>
      </w:pPr>
      <w:r>
        <w:drawing>
          <wp:inline distT="0" distB="0" distL="0" distR="0">
            <wp:extent cx="3143250" cy="1200150"/>
            <wp:effectExtent t="0" r="0" b="0" l="0"/>
            <wp:docPr id="2" name="fig2" descr="Per-user gas of a batched XP sync. Every user in the batch crosses one level."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200150"/>
                    </a:xfrm>
                    <a:prstGeom prst="rect">
                      <a:avLst/>
                    </a:prstGeom>
                  </pic:spPr>
                </pic:pic>
              </a:graphicData>
            </a:graphic>
          </wp:inline>
        </w:drawing>
      </w:r>
    </w:p>
    <w:p>
      <w:pPr>
        <w:spacing w:after="160" w:before="8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b w:val="false"/>
          <w:bCs w:val="false"/>
          <w:i w:val="false"/>
          <w:iCs w:val="false"/>
          <w:smallCaps w:val="false"/>
          <w:sz w:val="16"/>
          <w:szCs w:val="16"/>
        </w:rPr>
        <w:t xml:space="preserve">Per-user gas of a batched XP sync. Every user in the batch crosses one level.</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cost model differs from per-event designs in a useful way. A sync carries a </w:t>
      </w:r>
      <w:r>
        <w:rPr>
          <w:rFonts w:ascii="Times New Roman" w:cs="Times New Roman" w:eastAsia="Times New Roman" w:hAnsi="Times New Roman"/>
          <w:b w:val="false"/>
          <w:bCs w:val="false"/>
          <w:i/>
          <w:iCs/>
          <w:smallCaps w:val="false"/>
        </w:rPr>
        <w:t xml:space="preserve">count</w:t>
      </w:r>
      <w:r>
        <w:rPr>
          <w:rFonts w:ascii="Times New Roman" w:cs="Times New Roman" w:eastAsia="Times New Roman" w:hAnsi="Times New Roman"/>
          <w:b w:val="false"/>
          <w:bCs w:val="false"/>
          <w:i w:val="false"/>
          <w:iCs w:val="false"/>
          <w:smallCaps w:val="false"/>
        </w:rPr>
        <w:t xml:space="preserve">, so its gas does not depend on how many contributions the count covers. A user who made 30 contributions since the last sync costs the same 14,004 gas in a batch as one who made one. Deduplication is free because the monotonic rule replaces a per-contribution “seen” map, which in a per-event design costs a 22,100-gas store for every contribution.</w:t>
      </w:r>
    </w:p>
    <w:p>
      <w:pPr>
        <w:pStyle w:val="Heading2"/>
        <w:keepNext/>
        <w:spacing w:after="40" w:before="80"/>
      </w:pPr>
      <w:r>
        <w:rPr>
          <w:rFonts w:ascii="Times New Roman" w:cs="Times New Roman" w:eastAsia="Times New Roman" w:hAnsi="Times New Roman"/>
          <w:i/>
          <w:iCs/>
        </w:rPr>
        <w:t xml:space="preserve">E. </w:t>
      </w:r>
      <w:r>
        <w:rPr>
          <w:rFonts w:ascii="Times New Roman" w:cs="Times New Roman" w:eastAsia="Times New Roman" w:hAnsi="Times New Roman"/>
          <w:b w:val="false"/>
          <w:bCs w:val="false"/>
          <w:i/>
          <w:iCs/>
          <w:smallCaps w:val="false"/>
        </w:rPr>
        <w:t xml:space="preserve">Burst throughput</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We registered 500 users, gave each some history, then let all 500 gain five contributions at once (no level is crossed) and drained the mempool with automatic mining off (Table VI). Submitting one </w:t>
      </w:r>
      <w:r>
        <w:rPr>
          <w:rFonts w:ascii="Courier New" w:cs="Courier New" w:eastAsia="Courier New" w:hAnsi="Courier New"/>
          <w:b w:val="false"/>
          <w:bCs w:val="false"/>
          <w:i w:val="false"/>
          <w:iCs w:val="false"/>
          <w:smallCaps w:val="false"/>
          <w:sz w:val="18"/>
          <w:szCs w:val="18"/>
        </w:rPr>
        <w:t xml:space="preserve">syncXP</w:t>
      </w:r>
      <w:r>
        <w:rPr>
          <w:rFonts w:ascii="Times New Roman" w:cs="Times New Roman" w:eastAsia="Times New Roman" w:hAnsi="Times New Roman"/>
          <w:b w:val="false"/>
          <w:bCs w:val="false"/>
          <w:i w:val="false"/>
          <w:iCs w:val="false"/>
          <w:smallCaps w:val="false"/>
        </w:rPr>
        <w:t xml:space="preserve"> per user used 16.8 M gas; five </w:t>
      </w:r>
      <w:r>
        <w:rPr>
          <w:rFonts w:ascii="Courier New" w:cs="Courier New" w:eastAsia="Courier New" w:hAnsi="Courier New"/>
          <w:b w:val="false"/>
          <w:bCs w:val="false"/>
          <w:i w:val="false"/>
          <w:iCs w:val="false"/>
          <w:smallCaps w:val="false"/>
          <w:sz w:val="18"/>
          <w:szCs w:val="18"/>
        </w:rPr>
        <w:t xml:space="preserve">syncXPBatch</w:t>
      </w:r>
      <w:r>
        <w:rPr>
          <w:rFonts w:ascii="Times New Roman" w:cs="Times New Roman" w:eastAsia="Times New Roman" w:hAnsi="Times New Roman"/>
          <w:b w:val="false"/>
          <w:bCs w:val="false"/>
          <w:i w:val="false"/>
          <w:iCs w:val="false"/>
          <w:smallCaps w:val="false"/>
        </w:rPr>
        <w:t xml:space="preserve"> calls of 100 users used 5.2 M, 69% less, or 2,088 gas per contribution. Both fit in one block at 30, 36 and 60 M gas limits, and every user ended at the same XP and level in both modes. If the system may use 5% of a 60 M-gas block (3 M gas per 12 s slot), batched syncs cover about 287 users per slot, so a six-hourly sweep of 100,000 active users needs roughly 350 slots, or 70 minutes.</w:t>
      </w:r>
    </w:p>
    <w:p>
      <w:pPr>
        <w:keepNext/>
        <w:spacing w:after="0" w:before="160"/>
        <w:jc w:val="center"/>
      </w:pPr>
      <w:r>
        <w:rPr>
          <w:rFonts w:ascii="Times New Roman" w:cs="Times New Roman" w:eastAsia="Times New Roman" w:hAnsi="Times New Roman"/>
          <w:sz w:val="16"/>
          <w:szCs w:val="16"/>
        </w:rPr>
        <w:t xml:space="preserve">TABLE VI</w:t>
      </w:r>
    </w:p>
    <w:p>
      <w:pPr>
        <w:keepNext/>
        <w:spacing w:after="80"/>
        <w:jc w:val="center"/>
      </w:pPr>
      <w:r>
        <w:rPr>
          <w:rFonts w:ascii="Times New Roman" w:cs="Times New Roman" w:eastAsia="Times New Roman" w:hAnsi="Times New Roman"/>
          <w:b w:val="false"/>
          <w:bCs w:val="false"/>
          <w:i w:val="false"/>
          <w:iCs w:val="false"/>
          <w:smallCaps/>
          <w:sz w:val="16"/>
          <w:szCs w:val="16"/>
        </w:rPr>
        <w:t xml:space="preserve">500 users with new contributions at once</w:t>
      </w:r>
    </w:p>
    <w:tbl>
      <w:tblPr>
        <w:tblW w:type="dxa" w:w="5076"/>
        <w:jc w:val="center"/>
        <w:tblBorders>
          <w:top w:val="single" w:color="auto" w:sz="4"/>
          <w:left w:val="single" w:color="auto" w:sz="4"/>
          <w:bottom w:val="single" w:color="auto" w:sz="4"/>
          <w:right w:val="single" w:color="auto" w:sz="4"/>
          <w:insideH w:val="single" w:color="auto" w:sz="4"/>
          <w:insideV w:val="single" w:color="auto" w:sz="4"/>
        </w:tblBorders>
      </w:tblPr>
      <w:tblGrid>
        <w:gridCol w:w="2013"/>
        <w:gridCol w:w="410"/>
        <w:gridCol w:w="1074"/>
        <w:gridCol w:w="884"/>
        <w:gridCol w:w="695"/>
      </w:tblGrid>
      <w:tr>
        <w:trPr>
          <w:cantSplit/>
          <w:tblHeader/>
        </w:trPr>
        <w:tc>
          <w:tcPr>
            <w:tcW w:type="dxa" w:w="2013"/>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left"/>
            </w:pPr>
            <w:r>
              <w:rPr>
                <w:rFonts w:ascii="Times New Roman" w:cs="Times New Roman" w:eastAsia="Times New Roman" w:hAnsi="Times New Roman"/>
                <w:b/>
                <w:bCs/>
                <w:i w:val="false"/>
                <w:iCs w:val="false"/>
                <w:smallCaps w:val="false"/>
                <w:sz w:val="16"/>
                <w:szCs w:val="16"/>
              </w:rPr>
              <w:t xml:space="preserve">Mode</w:t>
            </w:r>
          </w:p>
        </w:tc>
        <w:tc>
          <w:tcPr>
            <w:tcW w:type="dxa" w:w="410"/>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Txs</w:t>
            </w:r>
          </w:p>
        </w:tc>
        <w:tc>
          <w:tcPr>
            <w:tcW w:type="dxa" w:w="1074"/>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Total gas</w:t>
            </w:r>
          </w:p>
        </w:tc>
        <w:tc>
          <w:tcPr>
            <w:tcW w:type="dxa" w:w="884"/>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Gas/user</w:t>
            </w:r>
          </w:p>
        </w:tc>
        <w:tc>
          <w:tcPr>
            <w:tcW w:type="dxa" w:w="695"/>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Blocks</w:t>
            </w:r>
          </w:p>
        </w:tc>
      </w:tr>
      <w:tr>
        <w:trPr>
          <w:cantSplit/>
          <w:tblHeader w:val="off"/>
        </w:trPr>
        <w:tc>
          <w:tcPr>
            <w:tcW w:type="dxa" w:w="201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left"/>
            </w:pPr>
            <w:r>
              <w:rPr>
                <w:rFonts w:ascii="Times New Roman" w:cs="Times New Roman" w:eastAsia="Times New Roman" w:hAnsi="Times New Roman"/>
                <w:b w:val="false"/>
                <w:bCs w:val="false"/>
                <w:i w:val="false"/>
                <w:iCs w:val="false"/>
                <w:smallCaps w:val="false"/>
                <w:sz w:val="16"/>
                <w:szCs w:val="16"/>
              </w:rPr>
              <w:t xml:space="preserve">One </w:t>
            </w:r>
            <w:r>
              <w:rPr>
                <w:rFonts w:ascii="Courier New" w:cs="Courier New" w:eastAsia="Courier New" w:hAnsi="Courier New"/>
                <w:b w:val="false"/>
                <w:bCs w:val="false"/>
                <w:i w:val="false"/>
                <w:iCs w:val="false"/>
                <w:smallCaps w:val="false"/>
                <w:sz w:val="14"/>
                <w:szCs w:val="14"/>
              </w:rPr>
              <w:t xml:space="preserve">syncXP</w:t>
            </w:r>
            <w:r>
              <w:rPr>
                <w:rFonts w:ascii="Times New Roman" w:cs="Times New Roman" w:eastAsia="Times New Roman" w:hAnsi="Times New Roman"/>
                <w:b w:val="false"/>
                <w:bCs w:val="false"/>
                <w:i w:val="false"/>
                <w:iCs w:val="false"/>
                <w:smallCaps w:val="false"/>
                <w:sz w:val="16"/>
                <w:szCs w:val="16"/>
              </w:rPr>
              <w:t xml:space="preserve"> per user</w:t>
            </w:r>
          </w:p>
        </w:tc>
        <w:tc>
          <w:tcPr>
            <w:tcW w:type="dxa" w:w="41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500</w:t>
            </w:r>
          </w:p>
        </w:tc>
        <w:tc>
          <w:tcPr>
            <w:tcW w:type="dxa" w:w="107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16,816,984</w:t>
            </w:r>
          </w:p>
        </w:tc>
        <w:tc>
          <w:tcPr>
            <w:tcW w:type="dxa" w:w="884"/>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33,634</w:t>
            </w:r>
          </w:p>
        </w:tc>
        <w:tc>
          <w:tcPr>
            <w:tcW w:type="dxa" w:w="695"/>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w:t>
            </w:r>
          </w:p>
        </w:tc>
      </w:tr>
      <w:tr>
        <w:trPr>
          <w:cantSplit/>
          <w:tblHeader w:val="off"/>
        </w:trPr>
        <w:tc>
          <w:tcPr>
            <w:tcW w:type="dxa" w:w="2013"/>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left"/>
            </w:pPr>
            <w:r>
              <w:rPr>
                <w:rFonts w:ascii="Courier New" w:cs="Courier New" w:eastAsia="Courier New" w:hAnsi="Courier New"/>
                <w:b w:val="false"/>
                <w:bCs w:val="false"/>
                <w:i w:val="false"/>
                <w:iCs w:val="false"/>
                <w:smallCaps w:val="false"/>
                <w:sz w:val="14"/>
                <w:szCs w:val="14"/>
              </w:rPr>
              <w:t xml:space="preserve">syncXPBatch</w:t>
            </w:r>
            <w:r>
              <w:rPr>
                <w:rFonts w:ascii="Times New Roman" w:cs="Times New Roman" w:eastAsia="Times New Roman" w:hAnsi="Times New Roman"/>
                <w:b w:val="false"/>
                <w:bCs w:val="false"/>
                <w:i w:val="false"/>
                <w:iCs w:val="false"/>
                <w:smallCaps w:val="false"/>
                <w:sz w:val="16"/>
                <w:szCs w:val="16"/>
              </w:rPr>
              <w:t xml:space="preserve"> of 100</w:t>
            </w:r>
          </w:p>
        </w:tc>
        <w:tc>
          <w:tcPr>
            <w:tcW w:type="dxa" w:w="410"/>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5</w:t>
            </w:r>
          </w:p>
        </w:tc>
        <w:tc>
          <w:tcPr>
            <w:tcW w:type="dxa" w:w="1074"/>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5,218,883</w:t>
            </w:r>
          </w:p>
        </w:tc>
        <w:tc>
          <w:tcPr>
            <w:tcW w:type="dxa" w:w="884"/>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10,438</w:t>
            </w:r>
          </w:p>
        </w:tc>
        <w:tc>
          <w:tcPr>
            <w:tcW w:type="dxa" w:w="695"/>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1</w:t>
            </w:r>
          </w:p>
        </w:tc>
      </w:tr>
    </w:tbl>
    <w:p>
      <w:pPr>
        <w:spacing w:after="120"/>
      </w:pPr>
    </w:p>
    <w:p>
      <w:pPr>
        <w:pStyle w:val="Heading2"/>
        <w:keepNext/>
        <w:spacing w:after="40" w:before="80"/>
      </w:pPr>
      <w:r>
        <w:rPr>
          <w:rFonts w:ascii="Times New Roman" w:cs="Times New Roman" w:eastAsia="Times New Roman" w:hAnsi="Times New Roman"/>
          <w:i/>
          <w:iCs/>
        </w:rPr>
        <w:t xml:space="preserve">F. </w:t>
      </w:r>
      <w:r>
        <w:rPr>
          <w:rFonts w:ascii="Times New Roman" w:cs="Times New Roman" w:eastAsia="Times New Roman" w:hAnsi="Times New Roman"/>
          <w:b w:val="false"/>
          <w:bCs w:val="false"/>
          <w:i/>
          <w:iCs/>
          <w:smallCaps w:val="false"/>
        </w:rPr>
        <w:t xml:space="preserve">Latency</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Off-chain work is small. On the test machine, signing a binding attestation takes 6.0 ms on average (p95 8.1 ms), parsing a four-year GraphQL response 0.01 ms, and encoding and signing a 100-user batch transaction 8.7 ms (p95 11.4 ms). The GitHub API round trip, which we could not measure here, and slot timing dominate. Ethereum produces a block every 12 s [37]; a uniformly timed submission waits on average half a slot plus the propagation margin, about 7–11 s to inclusion in a Monte-Carlo slot model with 1–3 s submission delay and up to 5% empty slots, and economic finality takes about 12.8 minutes. A user who presses “Sync now” therefore sees new XP in roughly one GitHub round trip plus one slot. Users who do nothing are updated by the six-hourly sweep, so the worst-case staleness of passive users is six hours plus the sweep time; the prototype, by contrast, never updated on-chain XP at all.</w:t>
      </w:r>
    </w:p>
    <w:p>
      <w:pPr>
        <w:pStyle w:val="Heading2"/>
        <w:keepNext/>
        <w:spacing w:after="40" w:before="80"/>
      </w:pPr>
      <w:r>
        <w:rPr>
          <w:rFonts w:ascii="Times New Roman" w:cs="Times New Roman" w:eastAsia="Times New Roman" w:hAnsi="Times New Roman"/>
          <w:i/>
          <w:iCs/>
        </w:rPr>
        <w:t xml:space="preserve">G. </w:t>
      </w:r>
      <w:r>
        <w:rPr>
          <w:rFonts w:ascii="Times New Roman" w:cs="Times New Roman" w:eastAsia="Times New Roman" w:hAnsi="Times New Roman"/>
          <w:b w:val="false"/>
          <w:bCs w:val="false"/>
          <w:i/>
          <w:iCs/>
          <w:smallCaps w:val="false"/>
        </w:rPr>
        <w:t xml:space="preserve">Treasury capacity</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Table VII and Fig. 3 apply Proposition 3. The prototype’s supply would have paid level 20 to about 2,800 contributors and level 100 to fewer than five; the treasury would have run dry at the scale of a single mid-sized open-source community. With 10</w:t>
      </w:r>
      <w:r>
        <w:rPr>
          <w:rFonts w:ascii="Times New Roman" w:cs="Times New Roman" w:eastAsia="Times New Roman" w:hAnsi="Times New Roman"/>
          <w:b w:val="false"/>
          <w:bCs w:val="false"/>
          <w:i w:val="false"/>
          <w:iCs w:val="false"/>
          <w:smallCaps w:val="false"/>
          <w:vertAlign w:val="superscript"/>
        </w:rPr>
        <w:t xml:space="preserve">8</w:t>
      </w:r>
      <w:r>
        <w:rPr>
          <w:rFonts w:ascii="Times New Roman" w:cs="Times New Roman" w:eastAsia="Times New Roman" w:hAnsi="Times New Roman"/>
          <w:b w:val="false"/>
          <w:bCs w:val="false"/>
          <w:i w:val="false"/>
          <w:iCs w:val="false"/>
          <w:smallCaps w:val="false"/>
        </w:rPr>
        <w:t xml:space="preserve"> UCN, BlockSource carries 283,269 contributors to the Reviewer level.</w:t>
      </w:r>
    </w:p>
    <w:p>
      <w:pPr>
        <w:keepNext/>
        <w:spacing w:after="0" w:before="160"/>
        <w:jc w:val="center"/>
      </w:pPr>
      <w:r>
        <w:rPr>
          <w:rFonts w:ascii="Times New Roman" w:cs="Times New Roman" w:eastAsia="Times New Roman" w:hAnsi="Times New Roman"/>
          <w:sz w:val="16"/>
          <w:szCs w:val="16"/>
        </w:rPr>
        <w:t xml:space="preserve">TABLE VII</w:t>
      </w:r>
    </w:p>
    <w:p>
      <w:pPr>
        <w:keepNext/>
        <w:spacing w:after="80"/>
        <w:jc w:val="center"/>
      </w:pPr>
      <w:r>
        <w:rPr>
          <w:rFonts w:ascii="Times New Roman" w:cs="Times New Roman" w:eastAsia="Times New Roman" w:hAnsi="Times New Roman"/>
          <w:b w:val="false"/>
          <w:bCs w:val="false"/>
          <w:i w:val="false"/>
          <w:iCs w:val="false"/>
          <w:smallCaps/>
          <w:sz w:val="16"/>
          <w:szCs w:val="16"/>
        </w:rPr>
        <w:t xml:space="preserve">Progression and users fundable from the treasury (prototype: 0.7 M UCN; BlockSource: 70 M UCN)</w:t>
      </w:r>
    </w:p>
    <w:tbl>
      <w:tblPr>
        <w:tblW w:type="dxa" w:w="5076"/>
        <w:jc w:val="center"/>
        <w:tblBorders>
          <w:top w:val="single" w:color="auto" w:sz="4"/>
          <w:left w:val="single" w:color="auto" w:sz="4"/>
          <w:bottom w:val="single" w:color="auto" w:sz="4"/>
          <w:right w:val="single" w:color="auto" w:sz="4"/>
          <w:insideH w:val="single" w:color="auto" w:sz="4"/>
          <w:insideV w:val="single" w:color="auto" w:sz="4"/>
        </w:tblBorders>
      </w:tblPr>
      <w:tblGrid>
        <w:gridCol w:w="400"/>
        <w:gridCol w:w="769"/>
        <w:gridCol w:w="861"/>
        <w:gridCol w:w="953"/>
        <w:gridCol w:w="953"/>
        <w:gridCol w:w="1140"/>
      </w:tblGrid>
      <w:tr>
        <w:trPr>
          <w:cantSplit/>
          <w:tblHeader/>
        </w:trPr>
        <w:tc>
          <w:tcPr>
            <w:tcW w:type="dxa" w:w="400"/>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right"/>
            </w:pPr>
          </w:p>
        </w:tc>
        <w:tc>
          <w:tcPr>
            <w:tcW w:type="dxa" w:w="769"/>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right"/>
            </w:pPr>
          </w:p>
        </w:tc>
        <w:tc>
          <w:tcPr>
            <w:tcW w:type="dxa" w:w="861"/>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right"/>
            </w:pPr>
          </w:p>
        </w:tc>
        <w:tc>
          <w:tcPr>
            <w:tcW w:type="dxa" w:w="953"/>
            <w:tcBorders>
              <w:top w:val="single" w:color="000000" w:sz="8"/>
              <w:left w:val="none" w:color="FFFFFF" w:sz="0"/>
              <w:bottom w:val="none" w:color="FFFFFF" w:sz="0"/>
              <w:right w:val="none" w:color="FFFFFF" w:sz="0"/>
            </w:tcBorders>
            <w:tcMar>
              <w:top w:type="dxa" w:w="10"/>
              <w:left w:type="dxa" w:w="50"/>
              <w:bottom w:type="dxa" w:w="10"/>
              <w:right w:type="dxa" w:w="50"/>
            </w:tcMar>
            <w:vAlign w:val="bottom"/>
          </w:tcPr>
          <w:p>
            <w:pPr>
              <w:keepNext/>
              <w:spacing w:after="0" w:line="200"/>
              <w:jc w:val="right"/>
            </w:pPr>
          </w:p>
        </w:tc>
        <w:tc>
          <w:tcPr>
            <w:tcW w:type="dxa" w:w="2093"/>
            <w:gridSpan w:val="2"/>
            <w:tcBorders>
              <w:top w:val="single" w:color="000000" w:sz="8"/>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center"/>
            </w:pPr>
            <w:r>
              <w:rPr>
                <w:rFonts w:ascii="Times New Roman" w:cs="Times New Roman" w:eastAsia="Times New Roman" w:hAnsi="Times New Roman"/>
                <w:b/>
                <w:bCs/>
                <w:i w:val="false"/>
                <w:iCs w:val="false"/>
                <w:smallCaps w:val="false"/>
                <w:sz w:val="16"/>
                <w:szCs w:val="16"/>
              </w:rPr>
              <w:t xml:space="preserve">Users fundable to </w:t>
            </w:r>
            <w:r>
              <w:rPr>
                <w:rFonts w:ascii="Times New Roman" w:cs="Times New Roman" w:eastAsia="Times New Roman" w:hAnsi="Times New Roman"/>
                <w:b/>
                <w:bCs/>
                <w:i/>
                <w:iCs/>
                <w:smallCaps w:val="false"/>
                <w:sz w:val="16"/>
                <w:szCs w:val="16"/>
              </w:rPr>
              <w:t xml:space="preserve">L</w:t>
            </w:r>
          </w:p>
        </w:tc>
      </w:tr>
      <w:tr>
        <w:trPr>
          <w:cantSplit/>
          <w:tblHeader/>
        </w:trPr>
        <w:tc>
          <w:tcPr>
            <w:tcW w:type="dxa" w:w="400"/>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iCs/>
                <w:smallCaps w:val="false"/>
                <w:sz w:val="16"/>
                <w:szCs w:val="16"/>
              </w:rPr>
              <w:t xml:space="preserve">L</w:t>
            </w:r>
          </w:p>
        </w:tc>
        <w:tc>
          <w:tcPr>
            <w:tcW w:type="dxa" w:w="769"/>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XP</w:t>
            </w:r>
          </w:p>
        </w:tc>
        <w:tc>
          <w:tcPr>
            <w:tcW w:type="dxa" w:w="861"/>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Contrib.</w:t>
            </w:r>
          </w:p>
        </w:tc>
        <w:tc>
          <w:tcPr>
            <w:tcW w:type="dxa" w:w="953"/>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iCs/>
                <w:smallCaps w:val="false"/>
                <w:sz w:val="16"/>
                <w:szCs w:val="16"/>
              </w:rPr>
              <w:t xml:space="preserve">S</w:t>
            </w:r>
            <w:r>
              <w:rPr>
                <w:rFonts w:ascii="Times New Roman" w:cs="Times New Roman" w:eastAsia="Times New Roman" w:hAnsi="Times New Roman"/>
                <w:b/>
                <w:bCs/>
                <w:i w:val="false"/>
                <w:iCs w:val="false"/>
                <w:smallCaps w:val="false"/>
                <w:sz w:val="16"/>
                <w:szCs w:val="16"/>
              </w:rPr>
              <w:t xml:space="preserve">(</w:t>
            </w:r>
            <w:r>
              <w:rPr>
                <w:rFonts w:ascii="Times New Roman" w:cs="Times New Roman" w:eastAsia="Times New Roman" w:hAnsi="Times New Roman"/>
                <w:b/>
                <w:bCs/>
                <w:i/>
                <w:iCs/>
                <w:smallCaps w:val="false"/>
                <w:sz w:val="16"/>
                <w:szCs w:val="16"/>
              </w:rPr>
              <w:t xml:space="preserve">L</w:t>
            </w:r>
            <w:r>
              <w:rPr>
                <w:rFonts w:ascii="Times New Roman" w:cs="Times New Roman" w:eastAsia="Times New Roman" w:hAnsi="Times New Roman"/>
                <w:b/>
                <w:bCs/>
                <w:i w:val="false"/>
                <w:iCs w:val="false"/>
                <w:smallCaps w:val="false"/>
                <w:sz w:val="16"/>
                <w:szCs w:val="16"/>
              </w:rPr>
              <w:t xml:space="preserve">) UCN</w:t>
            </w:r>
          </w:p>
        </w:tc>
        <w:tc>
          <w:tcPr>
            <w:tcW w:type="dxa" w:w="953"/>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Prototype</w:t>
            </w:r>
          </w:p>
        </w:tc>
        <w:tc>
          <w:tcPr>
            <w:tcW w:type="dxa" w:w="1140"/>
            <w:tcBorders>
              <w:top w:val="none" w:color="FFFFFF" w:sz="0"/>
              <w:left w:val="none" w:color="FFFFFF" w:sz="0"/>
              <w:bottom w:val="single" w:color="000000" w:sz="4"/>
              <w:right w:val="none" w:color="FFFFFF" w:sz="0"/>
            </w:tcBorders>
            <w:tcMar>
              <w:top w:type="dxa" w:w="10"/>
              <w:left w:type="dxa" w:w="50"/>
              <w:bottom w:type="dxa" w:w="10"/>
              <w:right w:type="dxa" w:w="50"/>
            </w:tcMar>
            <w:vAlign w:val="bottom"/>
          </w:tcPr>
          <w:p>
            <w:pPr>
              <w:keepNext/>
              <w:spacing w:after="0" w:line="200"/>
              <w:jc w:val="right"/>
            </w:pPr>
            <w:r>
              <w:rPr>
                <w:rFonts w:ascii="Times New Roman" w:cs="Times New Roman" w:eastAsia="Times New Roman" w:hAnsi="Times New Roman"/>
                <w:b/>
                <w:bCs/>
                <w:i w:val="false"/>
                <w:iCs w:val="false"/>
                <w:smallCaps w:val="false"/>
                <w:sz w:val="16"/>
                <w:szCs w:val="16"/>
              </w:rPr>
              <w:t xml:space="preserve">BlockSource</w:t>
            </w:r>
          </w:p>
        </w:tc>
      </w:tr>
      <w:tr>
        <w:trPr>
          <w:cantSplit/>
          <w:tblHeader w:val="off"/>
        </w:trPr>
        <w:tc>
          <w:tcPr>
            <w:tcW w:type="dxa" w:w="40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w:t>
            </w:r>
          </w:p>
        </w:tc>
        <w:tc>
          <w:tcPr>
            <w:tcW w:type="dxa" w:w="76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100</w:t>
            </w:r>
          </w:p>
        </w:tc>
        <w:tc>
          <w:tcPr>
            <w:tcW w:type="dxa" w:w="86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5.4</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129,630</w:t>
            </w:r>
          </w:p>
        </w:tc>
        <w:tc>
          <w:tcPr>
            <w:tcW w:type="dxa" w:w="114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12,962,963</w:t>
            </w:r>
          </w:p>
        </w:tc>
      </w:tr>
      <w:tr>
        <w:trPr>
          <w:cantSplit/>
          <w:tblHeader w:val="off"/>
        </w:trPr>
        <w:tc>
          <w:tcPr>
            <w:tcW w:type="dxa" w:w="40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5</w:t>
            </w:r>
          </w:p>
        </w:tc>
        <w:tc>
          <w:tcPr>
            <w:tcW w:type="dxa" w:w="76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1,500</w:t>
            </w:r>
          </w:p>
        </w:tc>
        <w:tc>
          <w:tcPr>
            <w:tcW w:type="dxa" w:w="86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30</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31.7</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22,096</w:t>
            </w:r>
          </w:p>
        </w:tc>
        <w:tc>
          <w:tcPr>
            <w:tcW w:type="dxa" w:w="114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2,209,621</w:t>
            </w:r>
          </w:p>
        </w:tc>
      </w:tr>
      <w:tr>
        <w:trPr>
          <w:cantSplit/>
          <w:tblHeader w:val="off"/>
        </w:trPr>
        <w:tc>
          <w:tcPr>
            <w:tcW w:type="dxa" w:w="40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10</w:t>
            </w:r>
          </w:p>
        </w:tc>
        <w:tc>
          <w:tcPr>
            <w:tcW w:type="dxa" w:w="76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5,500</w:t>
            </w:r>
          </w:p>
        </w:tc>
        <w:tc>
          <w:tcPr>
            <w:tcW w:type="dxa" w:w="86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110</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78.2</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8,948</w:t>
            </w:r>
          </w:p>
        </w:tc>
        <w:tc>
          <w:tcPr>
            <w:tcW w:type="dxa" w:w="114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894,827</w:t>
            </w:r>
          </w:p>
        </w:tc>
      </w:tr>
      <w:tr>
        <w:trPr>
          <w:cantSplit/>
          <w:tblHeader w:val="off"/>
        </w:trPr>
        <w:tc>
          <w:tcPr>
            <w:tcW w:type="dxa" w:w="40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20</w:t>
            </w:r>
          </w:p>
        </w:tc>
        <w:tc>
          <w:tcPr>
            <w:tcW w:type="dxa" w:w="76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21,000</w:t>
            </w:r>
          </w:p>
        </w:tc>
        <w:tc>
          <w:tcPr>
            <w:tcW w:type="dxa" w:w="86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420</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247.1</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2,833</w:t>
            </w:r>
          </w:p>
        </w:tc>
        <w:tc>
          <w:tcPr>
            <w:tcW w:type="dxa" w:w="114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283,269</w:t>
            </w:r>
          </w:p>
        </w:tc>
      </w:tr>
      <w:tr>
        <w:trPr>
          <w:cantSplit/>
          <w:tblHeader w:val="off"/>
        </w:trPr>
        <w:tc>
          <w:tcPr>
            <w:tcW w:type="dxa" w:w="40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50</w:t>
            </w:r>
          </w:p>
        </w:tc>
        <w:tc>
          <w:tcPr>
            <w:tcW w:type="dxa" w:w="769"/>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127,500</w:t>
            </w:r>
          </w:p>
        </w:tc>
        <w:tc>
          <w:tcPr>
            <w:tcW w:type="dxa" w:w="861"/>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2,550</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3,098.4</w:t>
            </w:r>
          </w:p>
        </w:tc>
        <w:tc>
          <w:tcPr>
            <w:tcW w:type="dxa" w:w="953"/>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226</w:t>
            </w:r>
          </w:p>
        </w:tc>
        <w:tc>
          <w:tcPr>
            <w:tcW w:type="dxa" w:w="1140"/>
            <w:tcBorders>
              <w:top w:val="none" w:color="FFFFFF" w:sz="0"/>
              <w:left w:val="none" w:color="FFFFFF" w:sz="0"/>
              <w:bottom w:val="none" w:color="FFFFFF" w:sz="0"/>
              <w:right w:val="none" w:color="FFFFFF" w:sz="0"/>
            </w:tcBorders>
            <w:tcMar>
              <w:top w:type="dxa" w:w="10"/>
              <w:left w:type="dxa" w:w="50"/>
              <w:bottom w:type="dxa" w:w="10"/>
              <w:right w:type="dxa" w:w="50"/>
            </w:tcMar>
            <w:vAlign w:val="top"/>
          </w:tcPr>
          <w:p>
            <w:pPr>
              <w:keepNext/>
              <w:spacing w:after="0" w:line="200"/>
              <w:jc w:val="right"/>
            </w:pPr>
            <w:r>
              <w:rPr>
                <w:rFonts w:ascii="Times New Roman" w:cs="Times New Roman" w:eastAsia="Times New Roman" w:hAnsi="Times New Roman"/>
                <w:b w:val="false"/>
                <w:bCs w:val="false"/>
                <w:i w:val="false"/>
                <w:iCs w:val="false"/>
                <w:smallCaps w:val="false"/>
                <w:sz w:val="16"/>
                <w:szCs w:val="16"/>
              </w:rPr>
              <w:t xml:space="preserve">22,593</w:t>
            </w:r>
          </w:p>
        </w:tc>
      </w:tr>
      <w:tr>
        <w:trPr>
          <w:cantSplit/>
          <w:tblHeader w:val="off"/>
        </w:trPr>
        <w:tc>
          <w:tcPr>
            <w:tcW w:type="dxa" w:w="400"/>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100</w:t>
            </w:r>
          </w:p>
        </w:tc>
        <w:tc>
          <w:tcPr>
            <w:tcW w:type="dxa" w:w="769"/>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505,000</w:t>
            </w:r>
          </w:p>
        </w:tc>
        <w:tc>
          <w:tcPr>
            <w:tcW w:type="dxa" w:w="861"/>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10,100</w:t>
            </w:r>
          </w:p>
        </w:tc>
        <w:tc>
          <w:tcPr>
            <w:tcW w:type="dxa" w:w="953"/>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148,416.4</w:t>
            </w:r>
          </w:p>
        </w:tc>
        <w:tc>
          <w:tcPr>
            <w:tcW w:type="dxa" w:w="953"/>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4.7</w:t>
            </w:r>
          </w:p>
        </w:tc>
        <w:tc>
          <w:tcPr>
            <w:tcW w:type="dxa" w:w="1140"/>
            <w:tcBorders>
              <w:top w:val="none" w:color="FFFFFF" w:sz="0"/>
              <w:left w:val="none" w:color="FFFFFF" w:sz="0"/>
              <w:bottom w:val="single" w:color="000000" w:sz="8"/>
              <w:right w:val="none" w:color="FFFFFF" w:sz="0"/>
            </w:tcBorders>
            <w:tcMar>
              <w:top w:type="dxa" w:w="10"/>
              <w:left w:type="dxa" w:w="50"/>
              <w:bottom w:type="dxa" w:w="10"/>
              <w:right w:type="dxa" w:w="50"/>
            </w:tcMar>
            <w:vAlign w:val="top"/>
          </w:tcPr>
          <w:p>
            <w:pPr>
              <w:keepNext w:val="false"/>
              <w:spacing w:after="0" w:line="200"/>
              <w:jc w:val="right"/>
            </w:pPr>
            <w:r>
              <w:rPr>
                <w:rFonts w:ascii="Times New Roman" w:cs="Times New Roman" w:eastAsia="Times New Roman" w:hAnsi="Times New Roman"/>
                <w:b w:val="false"/>
                <w:bCs w:val="false"/>
                <w:i w:val="false"/>
                <w:iCs w:val="false"/>
                <w:smallCaps w:val="false"/>
                <w:sz w:val="16"/>
                <w:szCs w:val="16"/>
              </w:rPr>
              <w:t xml:space="preserve">471.6</w:t>
            </w:r>
          </w:p>
        </w:tc>
      </w:tr>
    </w:tbl>
    <w:p>
      <w:pPr>
        <w:spacing w:after="120"/>
      </w:pPr>
    </w:p>
    <w:p>
      <w:pPr>
        <w:keepNext/>
        <w:spacing w:after="0" w:before="120"/>
        <w:jc w:val="center"/>
      </w:pPr>
      <w:r>
        <w:drawing>
          <wp:inline distT="0" distB="0" distL="0" distR="0">
            <wp:extent cx="3143250" cy="1266825"/>
            <wp:effectExtent t="0" r="0" b="0" l="0"/>
            <wp:docPr id="3" name="fig3" descr="Cumulative XP and cumulative UCN by level; the vertical line marks Reviewer promotion at level 20."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266825"/>
                    </a:xfrm>
                    <a:prstGeom prst="rect">
                      <a:avLst/>
                    </a:prstGeom>
                  </pic:spPr>
                </pic:pic>
              </a:graphicData>
            </a:graphic>
          </wp:inline>
        </w:drawing>
      </w:r>
    </w:p>
    <w:p>
      <w:pPr>
        <w:spacing w:after="160" w:before="8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b w:val="false"/>
          <w:bCs w:val="false"/>
          <w:i w:val="false"/>
          <w:iCs w:val="false"/>
          <w:smallCaps w:val="false"/>
          <w:sz w:val="16"/>
          <w:szCs w:val="16"/>
        </w:rPr>
        <w:t xml:space="preserve">Cumulative XP and cumulative UCN by level; the vertical line marks Reviewer promotion at level 20.</w:t>
      </w:r>
    </w:p>
    <w:p>
      <w:pPr>
        <w:pStyle w:val="Heading1"/>
        <w:keepNext/>
        <w:spacing w:after="80" w:before="200"/>
        <w:jc w:val="center"/>
      </w:pPr>
      <w:r>
        <w:rPr>
          <w:rFonts w:ascii="Times New Roman" w:cs="Times New Roman" w:eastAsia="Times New Roman" w:hAnsi="Times New Roman"/>
          <w:smallCaps/>
        </w:rPr>
        <w:t xml:space="preserve">V. </w:t>
      </w:r>
      <w:r>
        <w:rPr>
          <w:rFonts w:ascii="Times New Roman" w:cs="Times New Roman" w:eastAsia="Times New Roman" w:hAnsi="Times New Roman"/>
          <w:b w:val="false"/>
          <w:bCs w:val="false"/>
          <w:i w:val="false"/>
          <w:iCs w:val="false"/>
          <w:smallCaps/>
        </w:rPr>
        <w:t xml:space="preserve">Discussion and Limitations</w:t>
      </w:r>
    </w:p>
    <w:p>
      <w:pPr>
        <w:pStyle w:val="Heading2"/>
        <w:keepNext/>
        <w:spacing w:after="40" w:before="80"/>
      </w:pPr>
      <w:r>
        <w:rPr>
          <w:rFonts w:ascii="Times New Roman" w:cs="Times New Roman" w:eastAsia="Times New Roman" w:hAnsi="Times New Roman"/>
          <w:i/>
          <w:iCs/>
        </w:rPr>
        <w:t xml:space="preserve">A. </w:t>
      </w:r>
      <w:r>
        <w:rPr>
          <w:rFonts w:ascii="Times New Roman" w:cs="Times New Roman" w:eastAsia="Times New Roman" w:hAnsi="Times New Roman"/>
          <w:b w:val="false"/>
          <w:bCs w:val="false"/>
          <w:i/>
          <w:iCs/>
          <w:smallCaps w:val="false"/>
        </w:rPr>
        <w:t xml:space="preserve">What the prototype taught us</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Three lessons from the prototype generalise to other incentive DApps. First, a limit enforced only in the user interface is not a limit: F2 and F6 both come from treating the dashboard’s arithmetic as the system’s rules. Second, a role that no code path exercises (</w:t>
      </w:r>
      <w:r>
        <w:rPr>
          <w:rFonts w:ascii="Courier New" w:cs="Courier New" w:eastAsia="Courier New" w:hAnsi="Courier New"/>
          <w:b w:val="false"/>
          <w:bCs w:val="false"/>
          <w:i w:val="false"/>
          <w:iCs w:val="false"/>
          <w:smallCaps w:val="false"/>
          <w:sz w:val="18"/>
          <w:szCs w:val="18"/>
        </w:rPr>
        <w:t xml:space="preserve">XP_UPDATER_ROLE</w:t>
      </w:r>
      <w:r>
        <w:rPr>
          <w:rFonts w:ascii="Times New Roman" w:cs="Times New Roman" w:eastAsia="Times New Roman" w:hAnsi="Times New Roman"/>
          <w:b w:val="false"/>
          <w:bCs w:val="false"/>
          <w:i w:val="false"/>
          <w:iCs w:val="false"/>
          <w:smallCaps w:val="false"/>
        </w:rPr>
        <w:t xml:space="preserve">) is a sign that a component is missing, and the Sepolia history confirms it. Third, wherever a number is shown to users, it should be the number the contract will act on; the prototype’s leaderboard, dashboard and contracts each had their own idea of a user’s standing.</w:t>
      </w:r>
    </w:p>
    <w:p>
      <w:pPr>
        <w:pStyle w:val="Heading2"/>
        <w:keepNext/>
        <w:spacing w:after="40" w:before="80"/>
      </w:pPr>
      <w:r>
        <w:rPr>
          <w:rFonts w:ascii="Times New Roman" w:cs="Times New Roman" w:eastAsia="Times New Roman" w:hAnsi="Times New Roman"/>
          <w:i/>
          <w:iCs/>
        </w:rPr>
        <w:t xml:space="preserve">B. </w:t>
      </w:r>
      <w:r>
        <w:rPr>
          <w:rFonts w:ascii="Times New Roman" w:cs="Times New Roman" w:eastAsia="Times New Roman" w:hAnsi="Times New Roman"/>
          <w:b w:val="false"/>
          <w:bCs w:val="false"/>
          <w:i/>
          <w:iCs/>
          <w:smallCaps w:val="false"/>
        </w:rPr>
        <w:t xml:space="preserve">Storage and decentralisation</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Keeping XP and entitlements on chain buys auditability and lets anyone rebuild the leaderboard from events. It also makes each sync cost gas, which at 15–40 gwei on L1 is $0.57–1.53 per user even in batches. Two moves would cut this by one to two orders of magnitude without changing the contracts: deploying them on an optimistic or validity rollup [38], [39], where most Ethereum activity already runs [36], and posting a Merkle root of all counts per sweep, with per-user proofs submitted only when a user withdraws. Rich metadata such as streaks and review text belongs in an indexer or on IPFS [40].</w:t>
      </w:r>
    </w:p>
    <w:p>
      <w:pPr>
        <w:pStyle w:val="Heading2"/>
        <w:keepNext/>
        <w:spacing w:after="40" w:before="80"/>
      </w:pPr>
      <w:r>
        <w:rPr>
          <w:rFonts w:ascii="Times New Roman" w:cs="Times New Roman" w:eastAsia="Times New Roman" w:hAnsi="Times New Roman"/>
          <w:i/>
          <w:iCs/>
        </w:rPr>
        <w:t xml:space="preserve">C. </w:t>
      </w:r>
      <w:r>
        <w:rPr>
          <w:rFonts w:ascii="Times New Roman" w:cs="Times New Roman" w:eastAsia="Times New Roman" w:hAnsi="Times New Roman"/>
          <w:b w:val="false"/>
          <w:bCs w:val="false"/>
          <w:i/>
          <w:iCs/>
          <w:smallCaps w:val="false"/>
        </w:rPr>
        <w:t xml:space="preserve">Quality versus quantity</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A fixed 50 XP per contribution makes XP a count, and counts invite Goodhart’s law [41]. Commit splitting, trivial issues, self-reviews in throwaway repositories and duplicate GitHub accounts all raise the count. Proposition 4 sharpens the concern: the yield past level 13 rises to 55 UCN per contribution at level 100, a level that takes an honest contributor decades and a script days. GitHub data is also a noisy measure of work [42], and visible counters change when people work [26]. BlockSource does not solve this. It makes counts public and reproducible, so abuse is visible, and it gives administrators suspension and payout review. Future work should weight contributions by review outcome rather than count them [43], [44], cap XP per period, index the reward schedule to the remaining treasury, and move these parameters to DAO governance [45], [46]. A token’s value also depends on adoption, which a schedule alone does not create [47].</w:t>
      </w:r>
    </w:p>
    <w:p>
      <w:pPr>
        <w:pStyle w:val="Heading2"/>
        <w:keepNext/>
        <w:spacing w:after="40" w:before="80"/>
      </w:pPr>
      <w:r>
        <w:rPr>
          <w:rFonts w:ascii="Times New Roman" w:cs="Times New Roman" w:eastAsia="Times New Roman" w:hAnsi="Times New Roman"/>
          <w:i/>
          <w:iCs/>
        </w:rPr>
        <w:t xml:space="preserve">D. </w:t>
      </w:r>
      <w:r>
        <w:rPr>
          <w:rFonts w:ascii="Times New Roman" w:cs="Times New Roman" w:eastAsia="Times New Roman" w:hAnsi="Times New Roman"/>
          <w:b w:val="false"/>
          <w:bCs w:val="false"/>
          <w:i/>
          <w:iCs/>
          <w:smallCaps w:val="false"/>
        </w:rPr>
        <w:t xml:space="preserve">Threats to validity</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Our prototype evidence is a seven-user testnet deployment; it shows what the system did, not how a large community would behave. The 0.5–0.6% gap in approval gas may come from a deployed bytecode that differs from the repository. GitHub responses in backend tests are fixtures, and we did not measure GitHub API latency. Contribution counts follow GitHub’s own counting rules, which, for example, credit commits only on default branches. We ran no user study and make no claim that XP, levels or titles change contribution behaviour [22], [23].</w:t>
      </w:r>
    </w:p>
    <w:p>
      <w:pPr>
        <w:pStyle w:val="Heading1"/>
        <w:keepNext/>
        <w:spacing w:after="80" w:before="200"/>
        <w:jc w:val="center"/>
      </w:pPr>
      <w:r>
        <w:rPr>
          <w:rFonts w:ascii="Times New Roman" w:cs="Times New Roman" w:eastAsia="Times New Roman" w:hAnsi="Times New Roman"/>
          <w:smallCaps/>
        </w:rPr>
        <w:t xml:space="preserve">VI. </w:t>
      </w:r>
      <w:r>
        <w:rPr>
          <w:rFonts w:ascii="Times New Roman" w:cs="Times New Roman" w:eastAsia="Times New Roman" w:hAnsi="Times New Roman"/>
          <w:b w:val="false"/>
          <w:bCs w:val="false"/>
          <w:i w:val="false"/>
          <w:iCs w:val="false"/>
          <w:smallCaps/>
        </w:rPr>
        <w:t xml:space="preserve">Conclusion and Future Work</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The BlockSource prototype demonstrated the idea of turning GitHub activity into on-chain levels and tokens, and its Sepolia record shows a team using it. It also showed where prototypes of this kind fail: the browser held the rules, the contracts held the money, and nothing connected them. The hardened design moves identity, XP, levels, entitlements and claims on chain, binds one GitHub account to one wallet, and replaces client-side XP with a monotonic, publicly reproducible count. The contract suite passes 71 tests with full coverage, local gas agrees with Sepolia within 0.6%, batched syncs cost 14,004 gas per user, and a 10</w:t>
      </w:r>
      <w:r>
        <w:rPr>
          <w:rFonts w:ascii="Times New Roman" w:cs="Times New Roman" w:eastAsia="Times New Roman" w:hAnsi="Times New Roman"/>
          <w:b w:val="false"/>
          <w:bCs w:val="false"/>
          <w:i w:val="false"/>
          <w:iCs w:val="false"/>
          <w:smallCaps w:val="false"/>
          <w:vertAlign w:val="superscript"/>
        </w:rPr>
        <w:t xml:space="preserve">8</w:t>
      </w:r>
      <w:r>
        <w:rPr>
          <w:rFonts w:ascii="Times New Roman" w:cs="Times New Roman" w:eastAsia="Times New Roman" w:hAnsi="Times New Roman"/>
          <w:b w:val="false"/>
          <w:bCs w:val="false"/>
          <w:i w:val="false"/>
          <w:iCs w:val="false"/>
          <w:smallCaps w:val="false"/>
        </w:rPr>
        <w:t xml:space="preserve">-UCN supply funds a hundred times more contributors than the prototype’s.</w:t>
      </w:r>
    </w:p>
    <w:p>
      <w:pPr>
        <w:spacing w:after="0" w:line="228" w:lineRule="exact"/>
        <w:ind w:firstLine="202"/>
        <w:jc w:val="both"/>
      </w:pPr>
      <w:r>
        <w:rPr>
          <w:rFonts w:ascii="Times New Roman" w:cs="Times New Roman" w:eastAsia="Times New Roman" w:hAnsi="Times New Roman"/>
          <w:b w:val="false"/>
          <w:bCs w:val="false"/>
          <w:i w:val="false"/>
          <w:iCs w:val="false"/>
          <w:smallCaps w:val="false"/>
        </w:rPr>
        <w:t xml:space="preserve">Next steps follow from the limitations: deploy the hardened contracts on Sepolia and then on an L2; replace the single attester with several independent oracle nodes or authenticated TLS data [48], so that no one key decides a count; weight XP by review outcome; add GitLab and Bitbucket through a forge prefix on the account id; and put reward parameters and payout review under DAO control.</w:t>
      </w:r>
    </w:p>
    <w:p>
      <w:pPr>
        <w:pStyle w:val="Heading1"/>
        <w:spacing w:after="60" w:before="160"/>
        <w:jc w:val="center"/>
      </w:pPr>
      <w:r>
        <w:rPr>
          <w:rFonts w:ascii="Times New Roman" w:cs="Times New Roman" w:eastAsia="Times New Roman" w:hAnsi="Times New Roman"/>
          <w:smallCaps/>
        </w:rPr>
        <w:t xml:space="preserve">References</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b w:val="false"/>
          <w:bCs w:val="false"/>
          <w:i w:val="false"/>
          <w:iCs w:val="false"/>
          <w:smallCaps w:val="false"/>
          <w:sz w:val="16"/>
          <w:szCs w:val="16"/>
        </w:rPr>
        <w:t xml:space="preserve">M. Hoffmann, F. Nagle, and Y. Zhou, “The value of open source software,” Harvard Business School, Working Paper 24-038, 2024.</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b w:val="false"/>
          <w:bCs w:val="false"/>
          <w:i w:val="false"/>
          <w:iCs w:val="false"/>
          <w:smallCaps w:val="false"/>
          <w:sz w:val="16"/>
          <w:szCs w:val="16"/>
        </w:rPr>
        <w:t xml:space="preserve">F. Nagle, D. A. Wheeler, H. Lifshitz-Assaf, H. Ham, and J. L. Hoffman, “Census II of free and open source software—application libraries,” The Linux Foundation and Harvard Laboratory for Innovation Science, Tech. Rep., 2022.</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b w:val="false"/>
          <w:bCs w:val="false"/>
          <w:i w:val="false"/>
          <w:iCs w:val="false"/>
          <w:smallCaps w:val="false"/>
          <w:sz w:val="16"/>
          <w:szCs w:val="16"/>
        </w:rPr>
        <w:t xml:space="preserve">J. Lerner and J. Tirole, “Some simple economics of open source,” </w:t>
      </w:r>
      <w:r>
        <w:rPr>
          <w:rFonts w:ascii="Times New Roman" w:cs="Times New Roman" w:eastAsia="Times New Roman" w:hAnsi="Times New Roman"/>
          <w:b w:val="false"/>
          <w:bCs w:val="false"/>
          <w:i/>
          <w:iCs/>
          <w:smallCaps w:val="false"/>
          <w:sz w:val="16"/>
          <w:szCs w:val="16"/>
        </w:rPr>
        <w:t xml:space="preserve">J. Industrial Economics</w:t>
      </w:r>
      <w:r>
        <w:rPr>
          <w:rFonts w:ascii="Times New Roman" w:cs="Times New Roman" w:eastAsia="Times New Roman" w:hAnsi="Times New Roman"/>
          <w:b w:val="false"/>
          <w:bCs w:val="false"/>
          <w:i w:val="false"/>
          <w:iCs w:val="false"/>
          <w:smallCaps w:val="false"/>
          <w:sz w:val="16"/>
          <w:szCs w:val="16"/>
        </w:rPr>
        <w:t xml:space="preserve">, vol. 50, no. 2, pp. 197–234, 2002.</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b w:val="false"/>
          <w:bCs w:val="false"/>
          <w:i w:val="false"/>
          <w:iCs w:val="false"/>
          <w:smallCaps w:val="false"/>
          <w:sz w:val="16"/>
          <w:szCs w:val="16"/>
        </w:rPr>
        <w:t xml:space="preserve">N. Eghbal, “Roads and bridges: The unseen labor behind our digital infrastructure,” Ford Foundation, Tech. Rep., 2016.</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b w:val="false"/>
          <w:bCs w:val="false"/>
          <w:i w:val="false"/>
          <w:iCs w:val="false"/>
          <w:smallCaps w:val="false"/>
          <w:sz w:val="16"/>
          <w:szCs w:val="16"/>
        </w:rPr>
        <w:t xml:space="preserve">——, </w:t>
      </w:r>
      <w:r>
        <w:rPr>
          <w:rFonts w:ascii="Times New Roman" w:cs="Times New Roman" w:eastAsia="Times New Roman" w:hAnsi="Times New Roman"/>
          <w:b w:val="false"/>
          <w:bCs w:val="false"/>
          <w:i/>
          <w:iCs/>
          <w:smallCaps w:val="false"/>
          <w:sz w:val="16"/>
          <w:szCs w:val="16"/>
        </w:rPr>
        <w:t xml:space="preserve">Working in Public: The Making and Maintenance of Open Source Software</w:t>
      </w:r>
      <w:r>
        <w:rPr>
          <w:rFonts w:ascii="Times New Roman" w:cs="Times New Roman" w:eastAsia="Times New Roman" w:hAnsi="Times New Roman"/>
          <w:b w:val="false"/>
          <w:bCs w:val="false"/>
          <w:i w:val="false"/>
          <w:iCs w:val="false"/>
          <w:smallCaps w:val="false"/>
          <w:sz w:val="16"/>
          <w:szCs w:val="16"/>
        </w:rPr>
        <w:t xml:space="preserve">. Stripe Press, 2020.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b w:val="false"/>
          <w:bCs w:val="false"/>
          <w:i w:val="false"/>
          <w:iCs w:val="false"/>
          <w:smallCaps w:val="false"/>
          <w:sz w:val="16"/>
          <w:szCs w:val="16"/>
        </w:rPr>
        <w:t xml:space="preserve">Z. Durumeric </w:t>
      </w:r>
      <w:r>
        <w:rPr>
          <w:rFonts w:ascii="Times New Roman" w:cs="Times New Roman" w:eastAsia="Times New Roman" w:hAnsi="Times New Roman"/>
          <w:b w:val="false"/>
          <w:bCs w:val="false"/>
          <w:i/>
          <w:iCs/>
          <w:smallCaps w:val="false"/>
          <w:sz w:val="16"/>
          <w:szCs w:val="16"/>
        </w:rPr>
        <w:t xml:space="preserve">et al.</w:t>
      </w:r>
      <w:r>
        <w:rPr>
          <w:rFonts w:ascii="Times New Roman" w:cs="Times New Roman" w:eastAsia="Times New Roman" w:hAnsi="Times New Roman"/>
          <w:b w:val="false"/>
          <w:bCs w:val="false"/>
          <w:i w:val="false"/>
          <w:iCs w:val="false"/>
          <w:smallCaps w:val="false"/>
          <w:sz w:val="16"/>
          <w:szCs w:val="16"/>
        </w:rPr>
        <w:t xml:space="preserve">, “The matter of Heartbleed,” in </w:t>
      </w:r>
      <w:r>
        <w:rPr>
          <w:rFonts w:ascii="Times New Roman" w:cs="Times New Roman" w:eastAsia="Times New Roman" w:hAnsi="Times New Roman"/>
          <w:b w:val="false"/>
          <w:bCs w:val="false"/>
          <w:i/>
          <w:iCs/>
          <w:smallCaps w:val="false"/>
          <w:sz w:val="16"/>
          <w:szCs w:val="16"/>
        </w:rPr>
        <w:t xml:space="preserve">Proc. ACM Internet Measurement Conf. (IMC)</w:t>
      </w:r>
      <w:r>
        <w:rPr>
          <w:rFonts w:ascii="Times New Roman" w:cs="Times New Roman" w:eastAsia="Times New Roman" w:hAnsi="Times New Roman"/>
          <w:b w:val="false"/>
          <w:bCs w:val="false"/>
          <w:i w:val="false"/>
          <w:iCs w:val="false"/>
          <w:smallCaps w:val="false"/>
          <w:sz w:val="16"/>
          <w:szCs w:val="16"/>
        </w:rPr>
        <w:t xml:space="preserve">, 2014, pp. 475–488.</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b w:val="false"/>
          <w:bCs w:val="false"/>
          <w:i w:val="false"/>
          <w:iCs w:val="false"/>
          <w:smallCaps w:val="false"/>
          <w:sz w:val="16"/>
          <w:szCs w:val="16"/>
        </w:rPr>
        <w:t xml:space="preserve">R. Hiesgen, M. Nawrocki, T. C. Schmidt, and M. Wählisch, “The race to the vulnerable: Measuring the Log4j shell incident,” in </w:t>
      </w:r>
      <w:r>
        <w:rPr>
          <w:rFonts w:ascii="Times New Roman" w:cs="Times New Roman" w:eastAsia="Times New Roman" w:hAnsi="Times New Roman"/>
          <w:b w:val="false"/>
          <w:bCs w:val="false"/>
          <w:i/>
          <w:iCs/>
          <w:smallCaps w:val="false"/>
          <w:sz w:val="16"/>
          <w:szCs w:val="16"/>
        </w:rPr>
        <w:t xml:space="preserve">Proc. Network Traffic Measurement and Analysis Conf. (TMA)</w:t>
      </w:r>
      <w:r>
        <w:rPr>
          <w:rFonts w:ascii="Times New Roman" w:cs="Times New Roman" w:eastAsia="Times New Roman" w:hAnsi="Times New Roman"/>
          <w:b w:val="false"/>
          <w:bCs w:val="false"/>
          <w:i w:val="false"/>
          <w:iCs w:val="false"/>
          <w:smallCaps w:val="false"/>
          <w:sz w:val="16"/>
          <w:szCs w:val="16"/>
        </w:rPr>
        <w:t xml:space="preserve">, 2022.</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b w:val="false"/>
          <w:bCs w:val="false"/>
          <w:i w:val="false"/>
          <w:iCs w:val="false"/>
          <w:smallCaps w:val="false"/>
          <w:sz w:val="16"/>
          <w:szCs w:val="16"/>
        </w:rPr>
        <w:t xml:space="preserve">N. Raman, M. Cao, Y. Tsvetkov, C. Kästner, and B. Vasilescu, “Stress and burnout in open source: Toward finding, understanding, and mitigating unhealthy interactions,” in </w:t>
      </w:r>
      <w:r>
        <w:rPr>
          <w:rFonts w:ascii="Times New Roman" w:cs="Times New Roman" w:eastAsia="Times New Roman" w:hAnsi="Times New Roman"/>
          <w:b w:val="false"/>
          <w:bCs w:val="false"/>
          <w:i/>
          <w:iCs/>
          <w:smallCaps w:val="false"/>
          <w:sz w:val="16"/>
          <w:szCs w:val="16"/>
        </w:rPr>
        <w:t xml:space="preserve">Proc. ACM/IEEE 42nd Int. Conf. Softw. Eng.: New Ideas and Emerging Results (ICSE-NIER)</w:t>
      </w:r>
      <w:r>
        <w:rPr>
          <w:rFonts w:ascii="Times New Roman" w:cs="Times New Roman" w:eastAsia="Times New Roman" w:hAnsi="Times New Roman"/>
          <w:b w:val="false"/>
          <w:bCs w:val="false"/>
          <w:i w:val="false"/>
          <w:iCs w:val="false"/>
          <w:smallCaps w:val="false"/>
          <w:sz w:val="16"/>
          <w:szCs w:val="16"/>
        </w:rPr>
        <w:t xml:space="preserve">, 2020.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b w:val="false"/>
          <w:bCs w:val="false"/>
          <w:i w:val="false"/>
          <w:iCs w:val="false"/>
          <w:smallCaps w:val="false"/>
          <w:sz w:val="16"/>
          <w:szCs w:val="16"/>
        </w:rPr>
        <w:t xml:space="preserve">C. Miller, D. G. Widder, C. Kästner, and B. Vasilescu, “Why do people give up FLOSSing? A study of contributor disengagement in open source,” in </w:t>
      </w:r>
      <w:r>
        <w:rPr>
          <w:rFonts w:ascii="Times New Roman" w:cs="Times New Roman" w:eastAsia="Times New Roman" w:hAnsi="Times New Roman"/>
          <w:b w:val="false"/>
          <w:bCs w:val="false"/>
          <w:i/>
          <w:iCs/>
          <w:smallCaps w:val="false"/>
          <w:sz w:val="16"/>
          <w:szCs w:val="16"/>
        </w:rPr>
        <w:t xml:space="preserve">Open Source Systems (OSS 2019), IFIP AICT, vol. 556</w:t>
      </w:r>
      <w:r>
        <w:rPr>
          <w:rFonts w:ascii="Times New Roman" w:cs="Times New Roman" w:eastAsia="Times New Roman" w:hAnsi="Times New Roman"/>
          <w:b w:val="false"/>
          <w:bCs w:val="false"/>
          <w:i w:val="false"/>
          <w:iCs w:val="false"/>
          <w:smallCaps w:val="false"/>
          <w:sz w:val="16"/>
          <w:szCs w:val="16"/>
        </w:rPr>
        <w:t xml:space="preserve">. Springer, 2019.</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b w:val="false"/>
          <w:bCs w:val="false"/>
          <w:i w:val="false"/>
          <w:iCs w:val="false"/>
          <w:smallCaps w:val="false"/>
          <w:sz w:val="16"/>
          <w:szCs w:val="16"/>
        </w:rPr>
        <w:t xml:space="preserve">I. Steinmacher, M. A. G. Silva, M. A. Gerosa, and D. F. Redmiles, “A systematic literature review on the barriers faced by newcomers to open source software projects,” </w:t>
      </w:r>
      <w:r>
        <w:rPr>
          <w:rFonts w:ascii="Times New Roman" w:cs="Times New Roman" w:eastAsia="Times New Roman" w:hAnsi="Times New Roman"/>
          <w:b w:val="false"/>
          <w:bCs w:val="false"/>
          <w:i/>
          <w:iCs/>
          <w:smallCaps w:val="false"/>
          <w:sz w:val="16"/>
          <w:szCs w:val="16"/>
        </w:rPr>
        <w:t xml:space="preserve">Information and Software Technology</w:t>
      </w:r>
      <w:r>
        <w:rPr>
          <w:rFonts w:ascii="Times New Roman" w:cs="Times New Roman" w:eastAsia="Times New Roman" w:hAnsi="Times New Roman"/>
          <w:b w:val="false"/>
          <w:bCs w:val="false"/>
          <w:i w:val="false"/>
          <w:iCs w:val="false"/>
          <w:smallCaps w:val="false"/>
          <w:sz w:val="16"/>
          <w:szCs w:val="16"/>
        </w:rPr>
        <w:t xml:space="preserve">, vol. 59, pp. 67–85, 2015.</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b w:val="false"/>
          <w:bCs w:val="false"/>
          <w:i w:val="false"/>
          <w:iCs w:val="false"/>
          <w:smallCaps w:val="false"/>
          <w:sz w:val="16"/>
          <w:szCs w:val="16"/>
        </w:rPr>
        <w:t xml:space="preserve">C. Overney, J. Meinicke, C. Kästner, and B. Vasilescu, “How to not get rich: An empirical study of donations in open source,” in </w:t>
      </w:r>
      <w:r>
        <w:rPr>
          <w:rFonts w:ascii="Times New Roman" w:cs="Times New Roman" w:eastAsia="Times New Roman" w:hAnsi="Times New Roman"/>
          <w:b w:val="false"/>
          <w:bCs w:val="false"/>
          <w:i/>
          <w:iCs/>
          <w:smallCaps w:val="false"/>
          <w:sz w:val="16"/>
          <w:szCs w:val="16"/>
        </w:rPr>
        <w:t xml:space="preserve">Proc. IEEE/ACM 42nd Int. Conf. Softw. Eng. (ICSE)</w:t>
      </w:r>
      <w:r>
        <w:rPr>
          <w:rFonts w:ascii="Times New Roman" w:cs="Times New Roman" w:eastAsia="Times New Roman" w:hAnsi="Times New Roman"/>
          <w:b w:val="false"/>
          <w:bCs w:val="false"/>
          <w:i w:val="false"/>
          <w:iCs w:val="false"/>
          <w:smallCaps w:val="false"/>
          <w:sz w:val="16"/>
          <w:szCs w:val="16"/>
        </w:rPr>
        <w:t xml:space="preserve">, 2020.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b w:val="false"/>
          <w:bCs w:val="false"/>
          <w:i w:val="false"/>
          <w:iCs w:val="false"/>
          <w:smallCaps w:val="false"/>
          <w:sz w:val="16"/>
          <w:szCs w:val="16"/>
        </w:rPr>
        <w:t xml:space="preserve">N. Shimada, T. Xiao, H. Hata, C. Treude, and K. Matsumoto, “GitHub Sponsors: Exploring a new way to contribute to open source,” in </w:t>
      </w:r>
      <w:r>
        <w:rPr>
          <w:rFonts w:ascii="Times New Roman" w:cs="Times New Roman" w:eastAsia="Times New Roman" w:hAnsi="Times New Roman"/>
          <w:b w:val="false"/>
          <w:bCs w:val="false"/>
          <w:i/>
          <w:iCs/>
          <w:smallCaps w:val="false"/>
          <w:sz w:val="16"/>
          <w:szCs w:val="16"/>
        </w:rPr>
        <w:t xml:space="preserve">Proc. IEEE/ACM 44th Int. Conf. Softw. Eng. (ICSE)</w:t>
      </w:r>
      <w:r>
        <w:rPr>
          <w:rFonts w:ascii="Times New Roman" w:cs="Times New Roman" w:eastAsia="Times New Roman" w:hAnsi="Times New Roman"/>
          <w:b w:val="false"/>
          <w:bCs w:val="false"/>
          <w:i w:val="false"/>
          <w:iCs w:val="false"/>
          <w:smallCaps w:val="false"/>
          <w:sz w:val="16"/>
          <w:szCs w:val="16"/>
        </w:rPr>
        <w:t xml:space="preserve">, 2022.</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b w:val="false"/>
          <w:bCs w:val="false"/>
          <w:i w:val="false"/>
          <w:iCs w:val="false"/>
          <w:smallCaps w:val="false"/>
          <w:sz w:val="16"/>
          <w:szCs w:val="16"/>
        </w:rPr>
        <w:t xml:space="preserve">Y. Zhauniarovich, Y. Boshmaf, H. A. Jawaheri, and M. A. Sabah, “Characterizing Bitcoin donations to open source software on GitHub,” arXiv:1907.04002, 2019.</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b w:val="false"/>
          <w:bCs w:val="false"/>
          <w:i w:val="false"/>
          <w:iCs w:val="false"/>
          <w:smallCaps w:val="false"/>
          <w:sz w:val="16"/>
          <w:szCs w:val="16"/>
        </w:rPr>
        <w:t xml:space="preserve">J. Zhou, S. Wang, C.-P. Bezemer, Y. Zou, and A. E. Hassan, “Studying the association between Bountysource bounties and the issue-addressing likelihood of GitHub issue reports,” </w:t>
      </w:r>
      <w:r>
        <w:rPr>
          <w:rFonts w:ascii="Times New Roman" w:cs="Times New Roman" w:eastAsia="Times New Roman" w:hAnsi="Times New Roman"/>
          <w:b w:val="false"/>
          <w:bCs w:val="false"/>
          <w:i/>
          <w:iCs/>
          <w:smallCaps w:val="false"/>
          <w:sz w:val="16"/>
          <w:szCs w:val="16"/>
        </w:rPr>
        <w:t xml:space="preserve">IEEE Trans. Softw. Eng.</w:t>
      </w:r>
      <w:r>
        <w:rPr>
          <w:rFonts w:ascii="Times New Roman" w:cs="Times New Roman" w:eastAsia="Times New Roman" w:hAnsi="Times New Roman"/>
          <w:b w:val="false"/>
          <w:bCs w:val="false"/>
          <w:i w:val="false"/>
          <w:iCs w:val="false"/>
          <w:smallCaps w:val="false"/>
          <w:sz w:val="16"/>
          <w:szCs w:val="16"/>
        </w:rPr>
        <w:t xml:space="preserve">, vol. 47, no. 12, 2021, arXiv:1904.02724.</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b w:val="false"/>
          <w:bCs w:val="false"/>
          <w:i w:val="false"/>
          <w:iCs w:val="false"/>
          <w:smallCaps w:val="false"/>
          <w:sz w:val="16"/>
          <w:szCs w:val="16"/>
        </w:rPr>
        <w:t xml:space="preserve">Dework, “Dework: Web3-native task management and bounties,” </w:t>
      </w:r>
      <w:r>
        <w:rPr>
          <w:rFonts w:ascii="Courier New" w:cs="Courier New" w:eastAsia="Courier New" w:hAnsi="Courier New"/>
          <w:b w:val="false"/>
          <w:bCs w:val="false"/>
          <w:i w:val="false"/>
          <w:iCs w:val="false"/>
          <w:smallCaps w:val="false"/>
          <w:sz w:val="14"/>
          <w:szCs w:val="14"/>
        </w:rPr>
        <w:t xml:space="preserve">https://dework.xyz</w:t>
      </w:r>
      <w:r>
        <w:rPr>
          <w:rFonts w:ascii="Times New Roman" w:cs="Times New Roman" w:eastAsia="Times New Roman" w:hAnsi="Times New Roman"/>
          <w:b w:val="false"/>
          <w:bCs w:val="false"/>
          <w:i w:val="false"/>
          <w:iCs w:val="false"/>
          <w:smallCaps w:val="false"/>
          <w:sz w:val="16"/>
          <w:szCs w:val="16"/>
        </w:rPr>
        <w:t xml:space="preserve">, 2023.</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b w:val="false"/>
          <w:bCs w:val="false"/>
          <w:i w:val="false"/>
          <w:iCs w:val="false"/>
          <w:smallCaps w:val="false"/>
          <w:sz w:val="16"/>
          <w:szCs w:val="16"/>
        </w:rPr>
        <w:t xml:space="preserve">V. Buterin, Z. Hitzig, and E. G. Weyl, “A flexible design for funding public goods,” </w:t>
      </w:r>
      <w:r>
        <w:rPr>
          <w:rFonts w:ascii="Times New Roman" w:cs="Times New Roman" w:eastAsia="Times New Roman" w:hAnsi="Times New Roman"/>
          <w:b w:val="false"/>
          <w:bCs w:val="false"/>
          <w:i/>
          <w:iCs/>
          <w:smallCaps w:val="false"/>
          <w:sz w:val="16"/>
          <w:szCs w:val="16"/>
        </w:rPr>
        <w:t xml:space="preserve">Management Science</w:t>
      </w:r>
      <w:r>
        <w:rPr>
          <w:rFonts w:ascii="Times New Roman" w:cs="Times New Roman" w:eastAsia="Times New Roman" w:hAnsi="Times New Roman"/>
          <w:b w:val="false"/>
          <w:bCs w:val="false"/>
          <w:i w:val="false"/>
          <w:iCs w:val="false"/>
          <w:smallCaps w:val="false"/>
          <w:sz w:val="16"/>
          <w:szCs w:val="16"/>
        </w:rPr>
        <w:t xml:space="preserve">, vol. 65, no. 11, pp. 5171–5187, 2019.</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b w:val="false"/>
          <w:bCs w:val="false"/>
          <w:i w:val="false"/>
          <w:iCs w:val="false"/>
          <w:smallCaps w:val="false"/>
          <w:sz w:val="16"/>
          <w:szCs w:val="16"/>
        </w:rPr>
        <w:t xml:space="preserve">Gitcoin, “Gitcoin grants stack and passport documentation,” </w:t>
      </w:r>
      <w:r>
        <w:rPr>
          <w:rFonts w:ascii="Courier New" w:cs="Courier New" w:eastAsia="Courier New" w:hAnsi="Courier New"/>
          <w:b w:val="false"/>
          <w:bCs w:val="false"/>
          <w:i w:val="false"/>
          <w:iCs w:val="false"/>
          <w:smallCaps w:val="false"/>
          <w:sz w:val="14"/>
          <w:szCs w:val="14"/>
        </w:rPr>
        <w:t xml:space="preserve">https://www.gitcoin.co</w:t>
      </w:r>
      <w:r>
        <w:rPr>
          <w:rFonts w:ascii="Times New Roman" w:cs="Times New Roman" w:eastAsia="Times New Roman" w:hAnsi="Times New Roman"/>
          <w:b w:val="false"/>
          <w:bCs w:val="false"/>
          <w:i w:val="false"/>
          <w:iCs w:val="false"/>
          <w:smallCaps w:val="false"/>
          <w:sz w:val="16"/>
          <w:szCs w:val="16"/>
        </w:rPr>
        <w:t xml:space="preserve">, 2024.</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b w:val="false"/>
          <w:bCs w:val="false"/>
          <w:i w:val="false"/>
          <w:iCs w:val="false"/>
          <w:smallCaps w:val="false"/>
          <w:sz w:val="16"/>
          <w:szCs w:val="16"/>
        </w:rPr>
        <w:t xml:space="preserve">SourceCred, “SourceCred documentation: How cred works,” </w:t>
      </w:r>
      <w:r>
        <w:rPr>
          <w:rFonts w:ascii="Courier New" w:cs="Courier New" w:eastAsia="Courier New" w:hAnsi="Courier New"/>
          <w:b w:val="false"/>
          <w:bCs w:val="false"/>
          <w:i w:val="false"/>
          <w:iCs w:val="false"/>
          <w:smallCaps w:val="false"/>
          <w:sz w:val="14"/>
          <w:szCs w:val="14"/>
        </w:rPr>
        <w:t xml:space="preserve">https://sourcecred.io/docs</w:t>
      </w:r>
      <w:r>
        <w:rPr>
          <w:rFonts w:ascii="Times New Roman" w:cs="Times New Roman" w:eastAsia="Times New Roman" w:hAnsi="Times New Roman"/>
          <w:b w:val="false"/>
          <w:bCs w:val="false"/>
          <w:i w:val="false"/>
          <w:iCs w:val="false"/>
          <w:smallCaps w:val="false"/>
          <w:sz w:val="16"/>
          <w:szCs w:val="16"/>
        </w:rPr>
        <w:t xml:space="preserve">, 2021.</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b w:val="false"/>
          <w:bCs w:val="false"/>
          <w:i w:val="false"/>
          <w:iCs w:val="false"/>
          <w:smallCaps w:val="false"/>
          <w:sz w:val="16"/>
          <w:szCs w:val="16"/>
        </w:rPr>
        <w:t xml:space="preserve">Coordinape, “Coordinape documentation: GIVE circles and epochs,” </w:t>
      </w:r>
      <w:r>
        <w:rPr>
          <w:rFonts w:ascii="Courier New" w:cs="Courier New" w:eastAsia="Courier New" w:hAnsi="Courier New"/>
          <w:b w:val="false"/>
          <w:bCs w:val="false"/>
          <w:i w:val="false"/>
          <w:iCs w:val="false"/>
          <w:smallCaps w:val="false"/>
          <w:sz w:val="14"/>
          <w:szCs w:val="14"/>
        </w:rPr>
        <w:t xml:space="preserve">https://docs.coordinape.com</w:t>
      </w:r>
      <w:r>
        <w:rPr>
          <w:rFonts w:ascii="Times New Roman" w:cs="Times New Roman" w:eastAsia="Times New Roman" w:hAnsi="Times New Roman"/>
          <w:b w:val="false"/>
          <w:bCs w:val="false"/>
          <w:i w:val="false"/>
          <w:iCs w:val="false"/>
          <w:smallCaps w:val="false"/>
          <w:sz w:val="16"/>
          <w:szCs w:val="16"/>
        </w:rPr>
        <w:t xml:space="preserve">, 2023.</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b w:val="false"/>
          <w:bCs w:val="false"/>
          <w:i w:val="false"/>
          <w:iCs w:val="false"/>
          <w:smallCaps w:val="false"/>
          <w:sz w:val="16"/>
          <w:szCs w:val="16"/>
        </w:rPr>
        <w:t xml:space="preserve">J. O. Silva, I. Wiese, D. M. German, C. Treude, M. A. Gerosa, and I. Steinmacher, “A theory of the engagement in open source projects via summer of code programs,” in </w:t>
      </w:r>
      <w:r>
        <w:rPr>
          <w:rFonts w:ascii="Times New Roman" w:cs="Times New Roman" w:eastAsia="Times New Roman" w:hAnsi="Times New Roman"/>
          <w:b w:val="false"/>
          <w:bCs w:val="false"/>
          <w:i/>
          <w:iCs/>
          <w:smallCaps w:val="false"/>
          <w:sz w:val="16"/>
          <w:szCs w:val="16"/>
        </w:rPr>
        <w:t xml:space="preserve">Proc. 28th ACM Joint Eur. Softw. Eng. Conf. and Symp. Found. Softw. Eng. (ESEC/FSE)</w:t>
      </w:r>
      <w:r>
        <w:rPr>
          <w:rFonts w:ascii="Times New Roman" w:cs="Times New Roman" w:eastAsia="Times New Roman" w:hAnsi="Times New Roman"/>
          <w:b w:val="false"/>
          <w:bCs w:val="false"/>
          <w:i w:val="false"/>
          <w:iCs w:val="false"/>
          <w:smallCaps w:val="false"/>
          <w:sz w:val="16"/>
          <w:szCs w:val="16"/>
        </w:rPr>
        <w:t xml:space="preserve">, 2020.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b w:val="false"/>
          <w:bCs w:val="false"/>
          <w:i w:val="false"/>
          <w:iCs w:val="false"/>
          <w:smallCaps w:val="false"/>
          <w:sz w:val="16"/>
          <w:szCs w:val="16"/>
        </w:rPr>
        <w:t xml:space="preserve">S. Deterding, D. Dixon, R. Khaled, and L. Nacke, “From game design elements to gamefulness: Defining “gamification”,” in </w:t>
      </w:r>
      <w:r>
        <w:rPr>
          <w:rFonts w:ascii="Times New Roman" w:cs="Times New Roman" w:eastAsia="Times New Roman" w:hAnsi="Times New Roman"/>
          <w:b w:val="false"/>
          <w:bCs w:val="false"/>
          <w:i/>
          <w:iCs/>
          <w:smallCaps w:val="false"/>
          <w:sz w:val="16"/>
          <w:szCs w:val="16"/>
        </w:rPr>
        <w:t xml:space="preserve">Proc. 15th Int. Academic MindTrek Conf.</w:t>
      </w:r>
      <w:r>
        <w:rPr>
          <w:rFonts w:ascii="Times New Roman" w:cs="Times New Roman" w:eastAsia="Times New Roman" w:hAnsi="Times New Roman"/>
          <w:b w:val="false"/>
          <w:bCs w:val="false"/>
          <w:i w:val="false"/>
          <w:iCs w:val="false"/>
          <w:smallCaps w:val="false"/>
          <w:sz w:val="16"/>
          <w:szCs w:val="16"/>
        </w:rPr>
        <w:t xml:space="preserve">, 2011, pp. 9–15.</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b w:val="false"/>
          <w:bCs w:val="false"/>
          <w:i w:val="false"/>
          <w:iCs w:val="false"/>
          <w:smallCaps w:val="false"/>
          <w:sz w:val="16"/>
          <w:szCs w:val="16"/>
        </w:rPr>
        <w:t xml:space="preserve">J. Hamari, J. Koivisto, and H. Sarsa, “Does gamification work? A literature review of empirical studies on gamification,” in </w:t>
      </w:r>
      <w:r>
        <w:rPr>
          <w:rFonts w:ascii="Times New Roman" w:cs="Times New Roman" w:eastAsia="Times New Roman" w:hAnsi="Times New Roman"/>
          <w:b w:val="false"/>
          <w:bCs w:val="false"/>
          <w:i/>
          <w:iCs/>
          <w:smallCaps w:val="false"/>
          <w:sz w:val="16"/>
          <w:szCs w:val="16"/>
        </w:rPr>
        <w:t xml:space="preserve">Proc. 47th Hawaii Int. Conf. System Sciences (HICSS)</w:t>
      </w:r>
      <w:r>
        <w:rPr>
          <w:rFonts w:ascii="Times New Roman" w:cs="Times New Roman" w:eastAsia="Times New Roman" w:hAnsi="Times New Roman"/>
          <w:b w:val="false"/>
          <w:bCs w:val="false"/>
          <w:i w:val="false"/>
          <w:iCs w:val="false"/>
          <w:smallCaps w:val="false"/>
          <w:sz w:val="16"/>
          <w:szCs w:val="16"/>
        </w:rPr>
        <w:t xml:space="preserve">, 2014, pp. 3025–3034.</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b w:val="false"/>
          <w:bCs w:val="false"/>
          <w:i w:val="false"/>
          <w:iCs w:val="false"/>
          <w:smallCaps w:val="false"/>
          <w:sz w:val="16"/>
          <w:szCs w:val="16"/>
        </w:rPr>
        <w:t xml:space="preserve">A. Anderson, D. Huttenlocher, J. Kleinberg, and J. Leskovec, “Steering user behavior with badges,” in </w:t>
      </w:r>
      <w:r>
        <w:rPr>
          <w:rFonts w:ascii="Times New Roman" w:cs="Times New Roman" w:eastAsia="Times New Roman" w:hAnsi="Times New Roman"/>
          <w:b w:val="false"/>
          <w:bCs w:val="false"/>
          <w:i/>
          <w:iCs/>
          <w:smallCaps w:val="false"/>
          <w:sz w:val="16"/>
          <w:szCs w:val="16"/>
        </w:rPr>
        <w:t xml:space="preserve">Proc. 22nd Int. Conf. World Wide Web (WWW)</w:t>
      </w:r>
      <w:r>
        <w:rPr>
          <w:rFonts w:ascii="Times New Roman" w:cs="Times New Roman" w:eastAsia="Times New Roman" w:hAnsi="Times New Roman"/>
          <w:b w:val="false"/>
          <w:bCs w:val="false"/>
          <w:i w:val="false"/>
          <w:iCs w:val="false"/>
          <w:smallCaps w:val="false"/>
          <w:sz w:val="16"/>
          <w:szCs w:val="16"/>
        </w:rPr>
        <w:t xml:space="preserve">, 2013, pp. 95–106.</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b w:val="false"/>
          <w:bCs w:val="false"/>
          <w:i w:val="false"/>
          <w:iCs w:val="false"/>
          <w:smallCaps w:val="false"/>
          <w:sz w:val="16"/>
          <w:szCs w:val="16"/>
        </w:rPr>
        <w:t xml:space="preserve">L. Mamykina, B. Manoim, M. Mittal, G. Hripcsak, and B. Hartmann, “Design lessons from the fastest Q&amp;A site in the west,” in </w:t>
      </w:r>
      <w:r>
        <w:rPr>
          <w:rFonts w:ascii="Times New Roman" w:cs="Times New Roman" w:eastAsia="Times New Roman" w:hAnsi="Times New Roman"/>
          <w:b w:val="false"/>
          <w:bCs w:val="false"/>
          <w:i/>
          <w:iCs/>
          <w:smallCaps w:val="false"/>
          <w:sz w:val="16"/>
          <w:szCs w:val="16"/>
        </w:rPr>
        <w:t xml:space="preserve">Proc. SIGCHI Conf. Human Factors in Computing Systems (CHI)</w:t>
      </w:r>
      <w:r>
        <w:rPr>
          <w:rFonts w:ascii="Times New Roman" w:cs="Times New Roman" w:eastAsia="Times New Roman" w:hAnsi="Times New Roman"/>
          <w:b w:val="false"/>
          <w:bCs w:val="false"/>
          <w:i w:val="false"/>
          <w:iCs w:val="false"/>
          <w:smallCaps w:val="false"/>
          <w:sz w:val="16"/>
          <w:szCs w:val="16"/>
        </w:rPr>
        <w:t xml:space="preserve">, 2011, pp. 2857–2866.</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b w:val="false"/>
          <w:bCs w:val="false"/>
          <w:i w:val="false"/>
          <w:iCs w:val="false"/>
          <w:smallCaps w:val="false"/>
          <w:sz w:val="16"/>
          <w:szCs w:val="16"/>
        </w:rPr>
        <w:t xml:space="preserve">O. Pedreira, F. García, N. Brisaboa, and M. Piattini, “Gamification in software engineering—A systematic mapping,” </w:t>
      </w:r>
      <w:r>
        <w:rPr>
          <w:rFonts w:ascii="Times New Roman" w:cs="Times New Roman" w:eastAsia="Times New Roman" w:hAnsi="Times New Roman"/>
          <w:b w:val="false"/>
          <w:bCs w:val="false"/>
          <w:i/>
          <w:iCs/>
          <w:smallCaps w:val="false"/>
          <w:sz w:val="16"/>
          <w:szCs w:val="16"/>
        </w:rPr>
        <w:t xml:space="preserve">Information and Software Technology</w:t>
      </w:r>
      <w:r>
        <w:rPr>
          <w:rFonts w:ascii="Times New Roman" w:cs="Times New Roman" w:eastAsia="Times New Roman" w:hAnsi="Times New Roman"/>
          <w:b w:val="false"/>
          <w:bCs w:val="false"/>
          <w:i w:val="false"/>
          <w:iCs w:val="false"/>
          <w:smallCaps w:val="false"/>
          <w:sz w:val="16"/>
          <w:szCs w:val="16"/>
        </w:rPr>
        <w:t xml:space="preserve">, vol. 57, pp. 157–168, 2015.</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b w:val="false"/>
          <w:bCs w:val="false"/>
          <w:i w:val="false"/>
          <w:iCs w:val="false"/>
          <w:smallCaps w:val="false"/>
          <w:sz w:val="16"/>
          <w:szCs w:val="16"/>
        </w:rPr>
        <w:t xml:space="preserve">L. Moldon, M. Strohmaier, and J. Wachs, “How gamification affects software developers: Cautionary evidence from a natural experiment on GitHub,” in </w:t>
      </w:r>
      <w:r>
        <w:rPr>
          <w:rFonts w:ascii="Times New Roman" w:cs="Times New Roman" w:eastAsia="Times New Roman" w:hAnsi="Times New Roman"/>
          <w:b w:val="false"/>
          <w:bCs w:val="false"/>
          <w:i/>
          <w:iCs/>
          <w:smallCaps w:val="false"/>
          <w:sz w:val="16"/>
          <w:szCs w:val="16"/>
        </w:rPr>
        <w:t xml:space="preserve">Proc. IEEE/ACM 43rd Int. Conf. Softw. Eng. (ICSE)</w:t>
      </w:r>
      <w:r>
        <w:rPr>
          <w:rFonts w:ascii="Times New Roman" w:cs="Times New Roman" w:eastAsia="Times New Roman" w:hAnsi="Times New Roman"/>
          <w:b w:val="false"/>
          <w:bCs w:val="false"/>
          <w:i w:val="false"/>
          <w:iCs w:val="false"/>
          <w:smallCaps w:val="false"/>
          <w:sz w:val="16"/>
          <w:szCs w:val="16"/>
        </w:rPr>
        <w:t xml:space="preserve">, 2021.</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b w:val="false"/>
          <w:bCs w:val="false"/>
          <w:i w:val="false"/>
          <w:iCs w:val="false"/>
          <w:smallCaps w:val="false"/>
          <w:sz w:val="16"/>
          <w:szCs w:val="16"/>
        </w:rPr>
        <w:t xml:space="preserve">E. G. Weyl, P. Ohlhaver, and V. Buterin, “Decentralized society: Finding Web3’s soul,” SSRN 4105763, 2022.</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b w:val="false"/>
          <w:bCs w:val="false"/>
          <w:i w:val="false"/>
          <w:iCs w:val="false"/>
          <w:smallCaps w:val="false"/>
          <w:sz w:val="16"/>
          <w:szCs w:val="16"/>
        </w:rPr>
        <w:t xml:space="preserve">R. Bloemen, L. Logvinov, and J. Evans, “EIP-712: Typed structured data hashing and signing,” Ethereum Improvement Proposals, </w:t>
      </w:r>
      <w:r>
        <w:rPr>
          <w:rFonts w:ascii="Courier New" w:cs="Courier New" w:eastAsia="Courier New" w:hAnsi="Courier New"/>
          <w:b w:val="false"/>
          <w:bCs w:val="false"/>
          <w:i w:val="false"/>
          <w:iCs w:val="false"/>
          <w:smallCaps w:val="false"/>
          <w:sz w:val="14"/>
          <w:szCs w:val="14"/>
        </w:rPr>
        <w:t xml:space="preserve">https://eips.ethereum.org/EIPS/eip-712</w:t>
      </w:r>
      <w:r>
        <w:rPr>
          <w:rFonts w:ascii="Times New Roman" w:cs="Times New Roman" w:eastAsia="Times New Roman" w:hAnsi="Times New Roman"/>
          <w:b w:val="false"/>
          <w:bCs w:val="false"/>
          <w:i w:val="false"/>
          <w:iCs w:val="false"/>
          <w:smallCaps w:val="false"/>
          <w:sz w:val="16"/>
          <w:szCs w:val="16"/>
        </w:rPr>
        <w:t xml:space="preserve">, 2017.</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b w:val="false"/>
          <w:bCs w:val="false"/>
          <w:i w:val="false"/>
          <w:iCs w:val="false"/>
          <w:smallCaps w:val="false"/>
          <w:sz w:val="16"/>
          <w:szCs w:val="16"/>
        </w:rPr>
        <w:t xml:space="preserve">M. Wöhrer and U. Zdun, “Smart contracts: Security patterns in the Ethereum ecosystem and Solidity,” in </w:t>
      </w:r>
      <w:r>
        <w:rPr>
          <w:rFonts w:ascii="Times New Roman" w:cs="Times New Roman" w:eastAsia="Times New Roman" w:hAnsi="Times New Roman"/>
          <w:b w:val="false"/>
          <w:bCs w:val="false"/>
          <w:i/>
          <w:iCs/>
          <w:smallCaps w:val="false"/>
          <w:sz w:val="16"/>
          <w:szCs w:val="16"/>
        </w:rPr>
        <w:t xml:space="preserve">Proc. Int. Workshop on Blockchain Oriented Software Engineering (IWBOSE)</w:t>
      </w:r>
      <w:r>
        <w:rPr>
          <w:rFonts w:ascii="Times New Roman" w:cs="Times New Roman" w:eastAsia="Times New Roman" w:hAnsi="Times New Roman"/>
          <w:b w:val="false"/>
          <w:bCs w:val="false"/>
          <w:i w:val="false"/>
          <w:iCs w:val="false"/>
          <w:smallCaps w:val="false"/>
          <w:sz w:val="16"/>
          <w:szCs w:val="16"/>
        </w:rPr>
        <w:t xml:space="preserve">, 2018.</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b w:val="false"/>
          <w:bCs w:val="false"/>
          <w:i w:val="false"/>
          <w:iCs w:val="false"/>
          <w:smallCaps w:val="false"/>
          <w:sz w:val="16"/>
          <w:szCs w:val="16"/>
        </w:rPr>
        <w:t xml:space="preserve">G. Caldarelli, “Understanding the blockchain oracle problem: A call for action,” </w:t>
      </w:r>
      <w:r>
        <w:rPr>
          <w:rFonts w:ascii="Times New Roman" w:cs="Times New Roman" w:eastAsia="Times New Roman" w:hAnsi="Times New Roman"/>
          <w:b w:val="false"/>
          <w:bCs w:val="false"/>
          <w:i/>
          <w:iCs/>
          <w:smallCaps w:val="false"/>
          <w:sz w:val="16"/>
          <w:szCs w:val="16"/>
        </w:rPr>
        <w:t xml:space="preserve">Information</w:t>
      </w:r>
      <w:r>
        <w:rPr>
          <w:rFonts w:ascii="Times New Roman" w:cs="Times New Roman" w:eastAsia="Times New Roman" w:hAnsi="Times New Roman"/>
          <w:b w:val="false"/>
          <w:bCs w:val="false"/>
          <w:i w:val="false"/>
          <w:iCs w:val="false"/>
          <w:smallCaps w:val="false"/>
          <w:sz w:val="16"/>
          <w:szCs w:val="16"/>
        </w:rPr>
        <w:t xml:space="preserve">, vol. 11, no. 11, p. 509, 2020.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b w:val="false"/>
          <w:bCs w:val="false"/>
          <w:i w:val="false"/>
          <w:iCs w:val="false"/>
          <w:smallCaps w:val="false"/>
          <w:sz w:val="16"/>
          <w:szCs w:val="16"/>
        </w:rPr>
        <w:t xml:space="preserve">J. R. Douceur, “The Sybil attack,” in </w:t>
      </w:r>
      <w:r>
        <w:rPr>
          <w:rFonts w:ascii="Times New Roman" w:cs="Times New Roman" w:eastAsia="Times New Roman" w:hAnsi="Times New Roman"/>
          <w:b w:val="false"/>
          <w:bCs w:val="false"/>
          <w:i/>
          <w:iCs/>
          <w:smallCaps w:val="false"/>
          <w:sz w:val="16"/>
          <w:szCs w:val="16"/>
        </w:rPr>
        <w:t xml:space="preserve">Peer-to-Peer Systems (IPTPS 2002), LNCS, vol. 2429</w:t>
      </w:r>
      <w:r>
        <w:rPr>
          <w:rFonts w:ascii="Times New Roman" w:cs="Times New Roman" w:eastAsia="Times New Roman" w:hAnsi="Times New Roman"/>
          <w:b w:val="false"/>
          <w:bCs w:val="false"/>
          <w:i w:val="false"/>
          <w:iCs w:val="false"/>
          <w:smallCaps w:val="false"/>
          <w:sz w:val="16"/>
          <w:szCs w:val="16"/>
        </w:rPr>
        <w:t xml:space="preserve">. Springer, 2002, pp. 251–260.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b w:val="false"/>
          <w:bCs w:val="false"/>
          <w:i w:val="false"/>
          <w:iCs w:val="false"/>
          <w:smallCaps w:val="false"/>
          <w:sz w:val="16"/>
          <w:szCs w:val="16"/>
        </w:rPr>
        <w:t xml:space="preserve">D. Siddarth, S. Ivliev, S. Siri, and P. Berman, “Who watches the watchmen? A review of subjective approaches for Sybil-resistance in proof of personhood protocols,” </w:t>
      </w:r>
      <w:r>
        <w:rPr>
          <w:rFonts w:ascii="Times New Roman" w:cs="Times New Roman" w:eastAsia="Times New Roman" w:hAnsi="Times New Roman"/>
          <w:b w:val="false"/>
          <w:bCs w:val="false"/>
          <w:i/>
          <w:iCs/>
          <w:smallCaps w:val="false"/>
          <w:sz w:val="16"/>
          <w:szCs w:val="16"/>
        </w:rPr>
        <w:t xml:space="preserve">Frontiers in Blockchain</w:t>
      </w:r>
      <w:r>
        <w:rPr>
          <w:rFonts w:ascii="Times New Roman" w:cs="Times New Roman" w:eastAsia="Times New Roman" w:hAnsi="Times New Roman"/>
          <w:b w:val="false"/>
          <w:bCs w:val="false"/>
          <w:i w:val="false"/>
          <w:iCs w:val="false"/>
          <w:smallCaps w:val="false"/>
          <w:sz w:val="16"/>
          <w:szCs w:val="16"/>
        </w:rPr>
        <w:t xml:space="preserve">, vol. 3, p. 590171, 2020.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b w:val="false"/>
          <w:bCs w:val="false"/>
          <w:i w:val="false"/>
          <w:iCs w:val="false"/>
          <w:smallCaps w:val="false"/>
          <w:sz w:val="16"/>
          <w:szCs w:val="16"/>
        </w:rPr>
        <w:t xml:space="preserve">GitHub, “GitHub REST, GraphQL and webhooks documentation,” </w:t>
      </w:r>
      <w:r>
        <w:rPr>
          <w:rFonts w:ascii="Courier New" w:cs="Courier New" w:eastAsia="Courier New" w:hAnsi="Courier New"/>
          <w:b w:val="false"/>
          <w:bCs w:val="false"/>
          <w:i w:val="false"/>
          <w:iCs w:val="false"/>
          <w:smallCaps w:val="false"/>
          <w:sz w:val="14"/>
          <w:szCs w:val="14"/>
        </w:rPr>
        <w:t xml:space="preserve">https://docs.github.com</w:t>
      </w:r>
      <w:r>
        <w:rPr>
          <w:rFonts w:ascii="Times New Roman" w:cs="Times New Roman" w:eastAsia="Times New Roman" w:hAnsi="Times New Roman"/>
          <w:b w:val="false"/>
          <w:bCs w:val="false"/>
          <w:i w:val="false"/>
          <w:iCs w:val="false"/>
          <w:smallCaps w:val="false"/>
          <w:sz w:val="16"/>
          <w:szCs w:val="16"/>
        </w:rPr>
        <w:t xml:space="preserve">, 2026.</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b w:val="false"/>
          <w:bCs w:val="false"/>
          <w:i w:val="false"/>
          <w:iCs w:val="false"/>
          <w:smallCaps w:val="false"/>
          <w:sz w:val="16"/>
          <w:szCs w:val="16"/>
        </w:rPr>
        <w:t xml:space="preserve">N. Atzei, M. Bartoletti, and T. Cimoli, “A survey of attacks on Ethereum smart contracts (SoK),” in </w:t>
      </w:r>
      <w:r>
        <w:rPr>
          <w:rFonts w:ascii="Times New Roman" w:cs="Times New Roman" w:eastAsia="Times New Roman" w:hAnsi="Times New Roman"/>
          <w:b w:val="false"/>
          <w:bCs w:val="false"/>
          <w:i/>
          <w:iCs/>
          <w:smallCaps w:val="false"/>
          <w:sz w:val="16"/>
          <w:szCs w:val="16"/>
        </w:rPr>
        <w:t xml:space="preserve">Principles of Security and Trust (POST 2017), LNCS, vol. 10204</w:t>
      </w:r>
      <w:r>
        <w:rPr>
          <w:rFonts w:ascii="Times New Roman" w:cs="Times New Roman" w:eastAsia="Times New Roman" w:hAnsi="Times New Roman"/>
          <w:b w:val="false"/>
          <w:bCs w:val="false"/>
          <w:i w:val="false"/>
          <w:iCs w:val="false"/>
          <w:smallCaps w:val="false"/>
          <w:sz w:val="16"/>
          <w:szCs w:val="16"/>
        </w:rPr>
        <w:t xml:space="preserve">. Springer, 2017, pp. 164–186.</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b w:val="false"/>
          <w:bCs w:val="false"/>
          <w:i w:val="false"/>
          <w:iCs w:val="false"/>
          <w:smallCaps w:val="false"/>
          <w:sz w:val="16"/>
          <w:szCs w:val="16"/>
        </w:rPr>
        <w:t xml:space="preserve">L. Luu, D.-H. Chu, H. Olickel, P. Saxena, and A. Hobor, “Making smart contracts smarter,” in </w:t>
      </w:r>
      <w:r>
        <w:rPr>
          <w:rFonts w:ascii="Times New Roman" w:cs="Times New Roman" w:eastAsia="Times New Roman" w:hAnsi="Times New Roman"/>
          <w:b w:val="false"/>
          <w:bCs w:val="false"/>
          <w:i/>
          <w:iCs/>
          <w:smallCaps w:val="false"/>
          <w:sz w:val="16"/>
          <w:szCs w:val="16"/>
        </w:rPr>
        <w:t xml:space="preserve">Proc. ACM SIGSAC Conf. Computer and Communications Security (CCS)</w:t>
      </w:r>
      <w:r>
        <w:rPr>
          <w:rFonts w:ascii="Times New Roman" w:cs="Times New Roman" w:eastAsia="Times New Roman" w:hAnsi="Times New Roman"/>
          <w:b w:val="false"/>
          <w:bCs w:val="false"/>
          <w:i w:val="false"/>
          <w:iCs w:val="false"/>
          <w:smallCaps w:val="false"/>
          <w:sz w:val="16"/>
          <w:szCs w:val="16"/>
        </w:rPr>
        <w:t xml:space="preserve">, 2016, pp. 254–269.</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b w:val="false"/>
          <w:bCs w:val="false"/>
          <w:i w:val="false"/>
          <w:iCs w:val="false"/>
          <w:smallCaps w:val="false"/>
          <w:sz w:val="16"/>
          <w:szCs w:val="16"/>
        </w:rPr>
        <w:t xml:space="preserve">ethereum.org, “Building on Ethereum in 2026: What has changed,” </w:t>
      </w:r>
      <w:r>
        <w:rPr>
          <w:rFonts w:ascii="Courier New" w:cs="Courier New" w:eastAsia="Courier New" w:hAnsi="Courier New"/>
          <w:b w:val="false"/>
          <w:bCs w:val="false"/>
          <w:i w:val="false"/>
          <w:iCs w:val="false"/>
          <w:smallCaps w:val="false"/>
          <w:sz w:val="14"/>
          <w:szCs w:val="14"/>
        </w:rPr>
        <w:t xml:space="preserve">https://ethereum.org/latest/building-on-ethereum-in-2026</w:t>
      </w:r>
      <w:r>
        <w:rPr>
          <w:rFonts w:ascii="Times New Roman" w:cs="Times New Roman" w:eastAsia="Times New Roman" w:hAnsi="Times New Roman"/>
          <w:b w:val="false"/>
          <w:bCs w:val="false"/>
          <w:i w:val="false"/>
          <w:iCs w:val="false"/>
          <w:smallCaps w:val="false"/>
          <w:sz w:val="16"/>
          <w:szCs w:val="16"/>
        </w:rPr>
        <w:t xml:space="preserve">, 2026.</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b w:val="false"/>
          <w:bCs w:val="false"/>
          <w:i w:val="false"/>
          <w:iCs w:val="false"/>
          <w:smallCaps w:val="false"/>
          <w:sz w:val="16"/>
          <w:szCs w:val="16"/>
        </w:rPr>
        <w:t xml:space="preserve">V. Buterin, D. Hernandez, T. Kamphefner, K. Pham, Z. Qiao, D. Ryan, J. Sin, Y. Wang, and Y. X. Zhang, “Combining GHOST and Casper,” arXiv:2003.03052, 2020.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b w:val="false"/>
          <w:bCs w:val="false"/>
          <w:i w:val="false"/>
          <w:iCs w:val="false"/>
          <w:smallCaps w:val="false"/>
          <w:sz w:val="16"/>
          <w:szCs w:val="16"/>
        </w:rPr>
        <w:t xml:space="preserve">H. Kalodner, S. Goldfeder, X. Chen, S. M. Weinberg, and E. W. Felten, “Arbitrum: Scalable, private smart contracts,” in </w:t>
      </w:r>
      <w:r>
        <w:rPr>
          <w:rFonts w:ascii="Times New Roman" w:cs="Times New Roman" w:eastAsia="Times New Roman" w:hAnsi="Times New Roman"/>
          <w:b w:val="false"/>
          <w:bCs w:val="false"/>
          <w:i/>
          <w:iCs/>
          <w:smallCaps w:val="false"/>
          <w:sz w:val="16"/>
          <w:szCs w:val="16"/>
        </w:rPr>
        <w:t xml:space="preserve">Proc. 27th USENIX Security Symp.</w:t>
      </w:r>
      <w:r>
        <w:rPr>
          <w:rFonts w:ascii="Times New Roman" w:cs="Times New Roman" w:eastAsia="Times New Roman" w:hAnsi="Times New Roman"/>
          <w:b w:val="false"/>
          <w:bCs w:val="false"/>
          <w:i w:val="false"/>
          <w:iCs w:val="false"/>
          <w:smallCaps w:val="false"/>
          <w:sz w:val="16"/>
          <w:szCs w:val="16"/>
        </w:rPr>
        <w:t xml:space="preserve">, 2018, pp. 1353–1370.</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[39]	</w:t>
      </w:r>
      <w:r>
        <w:rPr>
          <w:rFonts w:ascii="Times New Roman" w:cs="Times New Roman" w:eastAsia="Times New Roman" w:hAnsi="Times New Roman"/>
          <w:b w:val="false"/>
          <w:bCs w:val="false"/>
          <w:i w:val="false"/>
          <w:iCs w:val="false"/>
          <w:smallCaps w:val="false"/>
          <w:sz w:val="16"/>
          <w:szCs w:val="16"/>
        </w:rPr>
        <w:t xml:space="preserve">L. T. Thibault, T. Sarry, and A. S. Hafid, “Blockchain scaling using rollups: A comprehensive survey,” </w:t>
      </w:r>
      <w:r>
        <w:rPr>
          <w:rFonts w:ascii="Times New Roman" w:cs="Times New Roman" w:eastAsia="Times New Roman" w:hAnsi="Times New Roman"/>
          <w:b w:val="false"/>
          <w:bCs w:val="false"/>
          <w:i/>
          <w:iCs/>
          <w:smallCaps w:val="false"/>
          <w:sz w:val="16"/>
          <w:szCs w:val="16"/>
        </w:rPr>
        <w:t xml:space="preserve">IEEE Access</w:t>
      </w:r>
      <w:r>
        <w:rPr>
          <w:rFonts w:ascii="Times New Roman" w:cs="Times New Roman" w:eastAsia="Times New Roman" w:hAnsi="Times New Roman"/>
          <w:b w:val="false"/>
          <w:bCs w:val="false"/>
          <w:i w:val="false"/>
          <w:iCs w:val="false"/>
          <w:smallCaps w:val="false"/>
          <w:sz w:val="16"/>
          <w:szCs w:val="16"/>
        </w:rPr>
        <w:t xml:space="preserve">, vol. 10, pp. 93 039–93 054, 2022.</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[40]	</w:t>
      </w:r>
      <w:r>
        <w:rPr>
          <w:rFonts w:ascii="Times New Roman" w:cs="Times New Roman" w:eastAsia="Times New Roman" w:hAnsi="Times New Roman"/>
          <w:b w:val="false"/>
          <w:bCs w:val="false"/>
          <w:i w:val="false"/>
          <w:iCs w:val="false"/>
          <w:smallCaps w:val="false"/>
          <w:sz w:val="16"/>
          <w:szCs w:val="16"/>
        </w:rPr>
        <w:t xml:space="preserve">J. Benet, “IPFS—content addressed, versioned, P2P file system,” arXiv:1407.3561, 2014.</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[41]	</w:t>
      </w:r>
      <w:r>
        <w:rPr>
          <w:rFonts w:ascii="Times New Roman" w:cs="Times New Roman" w:eastAsia="Times New Roman" w:hAnsi="Times New Roman"/>
          <w:b w:val="false"/>
          <w:bCs w:val="false"/>
          <w:i w:val="false"/>
          <w:iCs w:val="false"/>
          <w:smallCaps w:val="false"/>
          <w:sz w:val="16"/>
          <w:szCs w:val="16"/>
        </w:rPr>
        <w:t xml:space="preserve">M. Strathern, “‘Improving ratings’: Audit in the British university system,” </w:t>
      </w:r>
      <w:r>
        <w:rPr>
          <w:rFonts w:ascii="Times New Roman" w:cs="Times New Roman" w:eastAsia="Times New Roman" w:hAnsi="Times New Roman"/>
          <w:b w:val="false"/>
          <w:bCs w:val="false"/>
          <w:i/>
          <w:iCs/>
          <w:smallCaps w:val="false"/>
          <w:sz w:val="16"/>
          <w:szCs w:val="16"/>
        </w:rPr>
        <w:t xml:space="preserve">European Review</w:t>
      </w:r>
      <w:r>
        <w:rPr>
          <w:rFonts w:ascii="Times New Roman" w:cs="Times New Roman" w:eastAsia="Times New Roman" w:hAnsi="Times New Roman"/>
          <w:b w:val="false"/>
          <w:bCs w:val="false"/>
          <w:i w:val="false"/>
          <w:iCs w:val="false"/>
          <w:smallCaps w:val="false"/>
          <w:sz w:val="16"/>
          <w:szCs w:val="16"/>
        </w:rPr>
        <w:t xml:space="preserve">, vol. 5, no. 3, pp. 305–321, 1997.</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[42]	</w:t>
      </w:r>
      <w:r>
        <w:rPr>
          <w:rFonts w:ascii="Times New Roman" w:cs="Times New Roman" w:eastAsia="Times New Roman" w:hAnsi="Times New Roman"/>
          <w:b w:val="false"/>
          <w:bCs w:val="false"/>
          <w:i w:val="false"/>
          <w:iCs w:val="false"/>
          <w:smallCaps w:val="false"/>
          <w:sz w:val="16"/>
          <w:szCs w:val="16"/>
        </w:rPr>
        <w:t xml:space="preserve">E. Kalliamvakou, G. Gousios, K. Blincoe, L. Singer, D. M. German, and D. Damian, “The promises and perils of mining GitHub,” in </w:t>
      </w:r>
      <w:r>
        <w:rPr>
          <w:rFonts w:ascii="Times New Roman" w:cs="Times New Roman" w:eastAsia="Times New Roman" w:hAnsi="Times New Roman"/>
          <w:b w:val="false"/>
          <w:bCs w:val="false"/>
          <w:i/>
          <w:iCs/>
          <w:smallCaps w:val="false"/>
          <w:sz w:val="16"/>
          <w:szCs w:val="16"/>
        </w:rPr>
        <w:t xml:space="preserve">Proc. 11th Working Conf. Mining Software Repositories (MSR)</w:t>
      </w:r>
      <w:r>
        <w:rPr>
          <w:rFonts w:ascii="Times New Roman" w:cs="Times New Roman" w:eastAsia="Times New Roman" w:hAnsi="Times New Roman"/>
          <w:b w:val="false"/>
          <w:bCs w:val="false"/>
          <w:i w:val="false"/>
          <w:iCs w:val="false"/>
          <w:smallCaps w:val="false"/>
          <w:sz w:val="16"/>
          <w:szCs w:val="16"/>
        </w:rPr>
        <w:t xml:space="preserve">, 2014, pp. 92–101.</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[43]	</w:t>
      </w:r>
      <w:r>
        <w:rPr>
          <w:rFonts w:ascii="Times New Roman" w:cs="Times New Roman" w:eastAsia="Times New Roman" w:hAnsi="Times New Roman"/>
          <w:b w:val="false"/>
          <w:bCs w:val="false"/>
          <w:i w:val="false"/>
          <w:iCs w:val="false"/>
          <w:smallCaps w:val="false"/>
          <w:sz w:val="16"/>
          <w:szCs w:val="16"/>
        </w:rPr>
        <w:t xml:space="preserve">A. Bacchelli and C. Bird, “Expectations, outcomes, and challenges of modern code review,” in </w:t>
      </w:r>
      <w:r>
        <w:rPr>
          <w:rFonts w:ascii="Times New Roman" w:cs="Times New Roman" w:eastAsia="Times New Roman" w:hAnsi="Times New Roman"/>
          <w:b w:val="false"/>
          <w:bCs w:val="false"/>
          <w:i/>
          <w:iCs/>
          <w:smallCaps w:val="false"/>
          <w:sz w:val="16"/>
          <w:szCs w:val="16"/>
        </w:rPr>
        <w:t xml:space="preserve">Proc. 35th Int. Conf. Softw. Eng. (ICSE)</w:t>
      </w:r>
      <w:r>
        <w:rPr>
          <w:rFonts w:ascii="Times New Roman" w:cs="Times New Roman" w:eastAsia="Times New Roman" w:hAnsi="Times New Roman"/>
          <w:b w:val="false"/>
          <w:bCs w:val="false"/>
          <w:i w:val="false"/>
          <w:iCs w:val="false"/>
          <w:smallCaps w:val="false"/>
          <w:sz w:val="16"/>
          <w:szCs w:val="16"/>
        </w:rPr>
        <w:t xml:space="preserve">, 2013, pp. 712–721.</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[44]	</w:t>
      </w:r>
      <w:r>
        <w:rPr>
          <w:rFonts w:ascii="Times New Roman" w:cs="Times New Roman" w:eastAsia="Times New Roman" w:hAnsi="Times New Roman"/>
          <w:b w:val="false"/>
          <w:bCs w:val="false"/>
          <w:i w:val="false"/>
          <w:iCs w:val="false"/>
          <w:smallCaps w:val="false"/>
          <w:sz w:val="16"/>
          <w:szCs w:val="16"/>
        </w:rPr>
        <w:t xml:space="preserve">G. Gousios, M. Pinzger, and A. van Deursen, “An exploratory study of the pull-based software development model,” in </w:t>
      </w:r>
      <w:r>
        <w:rPr>
          <w:rFonts w:ascii="Times New Roman" w:cs="Times New Roman" w:eastAsia="Times New Roman" w:hAnsi="Times New Roman"/>
          <w:b w:val="false"/>
          <w:bCs w:val="false"/>
          <w:i/>
          <w:iCs/>
          <w:smallCaps w:val="false"/>
          <w:sz w:val="16"/>
          <w:szCs w:val="16"/>
        </w:rPr>
        <w:t xml:space="preserve">Proc. 36th Int. Conf. Softw. Eng. (ICSE)</w:t>
      </w:r>
      <w:r>
        <w:rPr>
          <w:rFonts w:ascii="Times New Roman" w:cs="Times New Roman" w:eastAsia="Times New Roman" w:hAnsi="Times New Roman"/>
          <w:b w:val="false"/>
          <w:bCs w:val="false"/>
          <w:i w:val="false"/>
          <w:iCs w:val="false"/>
          <w:smallCaps w:val="false"/>
          <w:sz w:val="16"/>
          <w:szCs w:val="16"/>
        </w:rPr>
        <w:t xml:space="preserve">, 2014, pp. 345–355.</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[45]	</w:t>
      </w:r>
      <w:r>
        <w:rPr>
          <w:rFonts w:ascii="Times New Roman" w:cs="Times New Roman" w:eastAsia="Times New Roman" w:hAnsi="Times New Roman"/>
          <w:b w:val="false"/>
          <w:bCs w:val="false"/>
          <w:i w:val="false"/>
          <w:iCs w:val="false"/>
          <w:smallCaps w:val="false"/>
          <w:sz w:val="16"/>
          <w:szCs w:val="16"/>
        </w:rPr>
        <w:t xml:space="preserve">S. Hassan and P. De Filippi, “Decentralized autonomous organization,” </w:t>
      </w:r>
      <w:r>
        <w:rPr>
          <w:rFonts w:ascii="Times New Roman" w:cs="Times New Roman" w:eastAsia="Times New Roman" w:hAnsi="Times New Roman"/>
          <w:b w:val="false"/>
          <w:bCs w:val="false"/>
          <w:i/>
          <w:iCs/>
          <w:smallCaps w:val="false"/>
          <w:sz w:val="16"/>
          <w:szCs w:val="16"/>
        </w:rPr>
        <w:t xml:space="preserve">Internet Policy Review</w:t>
      </w:r>
      <w:r>
        <w:rPr>
          <w:rFonts w:ascii="Times New Roman" w:cs="Times New Roman" w:eastAsia="Times New Roman" w:hAnsi="Times New Roman"/>
          <w:b w:val="false"/>
          <w:bCs w:val="false"/>
          <w:i w:val="false"/>
          <w:iCs w:val="false"/>
          <w:smallCaps w:val="false"/>
          <w:sz w:val="16"/>
          <w:szCs w:val="16"/>
        </w:rPr>
        <w:t xml:space="preserve">, vol. 10, no. 2, 2021.</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[46]	</w:t>
      </w:r>
      <w:r>
        <w:rPr>
          <w:rFonts w:ascii="Times New Roman" w:cs="Times New Roman" w:eastAsia="Times New Roman" w:hAnsi="Times New Roman"/>
          <w:b w:val="false"/>
          <w:bCs w:val="false"/>
          <w:i w:val="false"/>
          <w:iCs w:val="false"/>
          <w:smallCaps w:val="false"/>
          <w:sz w:val="16"/>
          <w:szCs w:val="16"/>
        </w:rPr>
        <w:t xml:space="preserve">S. Wang, W. Ding, J. Li, Y. Yuan, L. Ouyang, and F.-Y. Wang, “Decentralized autonomous organizations: Concept, model, and applications,” </w:t>
      </w:r>
      <w:r>
        <w:rPr>
          <w:rFonts w:ascii="Times New Roman" w:cs="Times New Roman" w:eastAsia="Times New Roman" w:hAnsi="Times New Roman"/>
          <w:b w:val="false"/>
          <w:bCs w:val="false"/>
          <w:i/>
          <w:iCs/>
          <w:smallCaps w:val="false"/>
          <w:sz w:val="16"/>
          <w:szCs w:val="16"/>
        </w:rPr>
        <w:t xml:space="preserve">IEEE Trans. Computational Social Systems</w:t>
      </w:r>
      <w:r>
        <w:rPr>
          <w:rFonts w:ascii="Times New Roman" w:cs="Times New Roman" w:eastAsia="Times New Roman" w:hAnsi="Times New Roman"/>
          <w:b w:val="false"/>
          <w:bCs w:val="false"/>
          <w:i w:val="false"/>
          <w:iCs w:val="false"/>
          <w:smallCaps w:val="false"/>
          <w:sz w:val="16"/>
          <w:szCs w:val="16"/>
        </w:rPr>
        <w:t xml:space="preserve">, vol. 6, no. 5, pp. 870–878, 2019.</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[47]	</w:t>
      </w:r>
      <w:r>
        <w:rPr>
          <w:rFonts w:ascii="Times New Roman" w:cs="Times New Roman" w:eastAsia="Times New Roman" w:hAnsi="Times New Roman"/>
          <w:b w:val="false"/>
          <w:bCs w:val="false"/>
          <w:i w:val="false"/>
          <w:iCs w:val="false"/>
          <w:smallCaps w:val="false"/>
          <w:sz w:val="16"/>
          <w:szCs w:val="16"/>
        </w:rPr>
        <w:t xml:space="preserve">L. W. Cong, Y. Li, and N. Wang, “Tokenomics: Dynamic adoption and valuation,” </w:t>
      </w:r>
      <w:r>
        <w:rPr>
          <w:rFonts w:ascii="Times New Roman" w:cs="Times New Roman" w:eastAsia="Times New Roman" w:hAnsi="Times New Roman"/>
          <w:b w:val="false"/>
          <w:bCs w:val="false"/>
          <w:i/>
          <w:iCs/>
          <w:smallCaps w:val="false"/>
          <w:sz w:val="16"/>
          <w:szCs w:val="16"/>
        </w:rPr>
        <w:t xml:space="preserve">Review of Financial Studies</w:t>
      </w:r>
      <w:r>
        <w:rPr>
          <w:rFonts w:ascii="Times New Roman" w:cs="Times New Roman" w:eastAsia="Times New Roman" w:hAnsi="Times New Roman"/>
          <w:b w:val="false"/>
          <w:bCs w:val="false"/>
          <w:i w:val="false"/>
          <w:iCs w:val="false"/>
          <w:smallCaps w:val="false"/>
          <w:sz w:val="16"/>
          <w:szCs w:val="16"/>
        </w:rPr>
        <w:t xml:space="preserve">, vol. 34, no. 3, pp. 1105–1155, 2021.</w:t>
      </w:r>
    </w:p>
    <w:p>
      <w:pPr>
        <w:tabs>
          <w:tab w:val="left" w:pos="400"/>
        </w:tabs>
        <w:spacing w:after="0" w:line="180" w:lineRule="exact"/>
        <w:ind w:left="400" w:hanging="400"/>
        <w:jc w:val="both"/>
      </w:pPr>
      <w:r>
        <w:rPr>
          <w:rFonts w:ascii="Times New Roman" w:cs="Times New Roman" w:eastAsia="Times New Roman" w:hAnsi="Times New Roman"/>
          <w:sz w:val="16"/>
          <w:szCs w:val="16"/>
        </w:rPr>
        <w:t xml:space="preserve">[48]	</w:t>
      </w:r>
      <w:r>
        <w:rPr>
          <w:rFonts w:ascii="Times New Roman" w:cs="Times New Roman" w:eastAsia="Times New Roman" w:hAnsi="Times New Roman"/>
          <w:b w:val="false"/>
          <w:bCs w:val="false"/>
          <w:i w:val="false"/>
          <w:iCs w:val="false"/>
          <w:smallCaps w:val="false"/>
          <w:sz w:val="16"/>
          <w:szCs w:val="16"/>
        </w:rPr>
        <w:t xml:space="preserve">F. Zhang, E. Cecchetti, K. Croman, A. Juels, and E. Shi, “Town crier: An authenticated data feed for smart contracts,” in </w:t>
      </w:r>
      <w:r>
        <w:rPr>
          <w:rFonts w:ascii="Times New Roman" w:cs="Times New Roman" w:eastAsia="Times New Roman" w:hAnsi="Times New Roman"/>
          <w:b w:val="false"/>
          <w:bCs w:val="false"/>
          <w:i/>
          <w:iCs/>
          <w:smallCaps w:val="false"/>
          <w:sz w:val="16"/>
          <w:szCs w:val="16"/>
        </w:rPr>
        <w:t xml:space="preserve">Proc. ACM SIGSAC Conf. Computer and Communications Security (CCS)</w:t>
      </w:r>
      <w:r>
        <w:rPr>
          <w:rFonts w:ascii="Times New Roman" w:cs="Times New Roman" w:eastAsia="Times New Roman" w:hAnsi="Times New Roman"/>
          <w:b w:val="false"/>
          <w:bCs w:val="false"/>
          <w:i w:val="false"/>
          <w:iCs w:val="false"/>
          <w:smallCaps w:val="false"/>
          <w:sz w:val="16"/>
          <w:szCs w:val="16"/>
        </w:rPr>
        <w:t xml:space="preserve">, 2016, pp. 270–282.</w:t>
      </w:r>
    </w:p>
    <w:sectPr>
      <w:type w:val="continuous"/>
      <w:pgSz w:w="12240" w:h="15840" w:orient="portrait"/>
      <w:pgMar w:top="1080" w:right="900" w:bottom="1440" w:left="900" w:header="708" w:footer="708" w:gutter="0"/>
      <w:pgNumType/>
      <w:cols w:space="288"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doNotHyphenateCap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val="false"/>
      <w:bCs w:val="false"/>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b w:val="false"/>
      <w:bCs w:val="false"/>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366cf178bc11405cf198126093a9710a97aada8.png"/><Relationship Id="rId8" Type="http://schemas.openxmlformats.org/officeDocument/2006/relationships/image" Target="media/88918b72657185e340925b0f7c0fbdcfedce5f4d.png"/><Relationship Id="rId9" Type="http://schemas.openxmlformats.org/officeDocument/2006/relationships/image" Target="media/385ce715d799dce728a02af97bba43add04c73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BlockSource: A Decentralized, Gamified Framework for Sustainable Open-Source Incentivization</dc:title>
  <dc:creator>BlockSource authors</dc:creator>
  <cp:lastModifiedBy>Un-named</cp:lastModifiedBy>
  <cp:revision>1</cp:revision>
  <dcterms:created xsi:type="dcterms:W3CDTF">2026-10-21T20:53:19.249Z</dcterms:created>
  <dcterms:modified xsi:type="dcterms:W3CDTF">2026-10-21T20:53:19.250Z</dcterms:modified>
</cp:coreProperties>
</file>

<file path=docProps/custom.xml><?xml version="1.0" encoding="utf-8"?>
<Properties xmlns="http://schemas.openxmlformats.org/officeDocument/2006/custom-properties" xmlns:vt="http://schemas.openxmlformats.org/officeDocument/2006/docPropsVTypes"/>
</file>