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975A4" w14:textId="77777777" w:rsidR="00BE2F0C" w:rsidRDefault="00977C62" w:rsidP="00D51D26">
      <w:pPr>
        <w:spacing w:line="360" w:lineRule="auto"/>
        <w:jc w:val="both"/>
      </w:pPr>
      <w:r w:rsidRPr="00977C62">
        <w:rPr>
          <w:b/>
          <w:bCs/>
        </w:rPr>
        <w:t>Aim:</w:t>
      </w:r>
      <w:r>
        <w:t xml:space="preserve"> Estimation of Chloride in different water samples.</w:t>
      </w:r>
    </w:p>
    <w:p w14:paraId="1623141C" w14:textId="77777777" w:rsidR="00E74352" w:rsidRDefault="00977C62" w:rsidP="00D51D26">
      <w:pPr>
        <w:spacing w:line="360" w:lineRule="auto"/>
        <w:jc w:val="both"/>
      </w:pPr>
      <w:r w:rsidRPr="00977C62">
        <w:rPr>
          <w:b/>
          <w:bCs/>
        </w:rPr>
        <w:t xml:space="preserve">Introduction: </w:t>
      </w:r>
      <w:r>
        <w:t xml:space="preserve">Chloride occurs naturally in all types of water. In fresh water the chloride concentration remains quite low and is generally less than that of sulfates and other bicarbonates. </w:t>
      </w:r>
      <w:r w:rsidR="00D51D26">
        <w:t>Increased chloride concentration in fresh water is due to sewage contamination. Man and other animals excrete very high quantity of chloride toget</w:t>
      </w:r>
      <w:r w:rsidR="00AA153E">
        <w:t>her with nitrogenous compounds (a</w:t>
      </w:r>
      <w:r w:rsidR="00D51D26">
        <w:t>bout 8 – 15 gm of NaCl is excreted by a person every day</w:t>
      </w:r>
      <w:r w:rsidR="00AA153E">
        <w:t>)</w:t>
      </w:r>
      <w:r w:rsidR="00D51D26">
        <w:t xml:space="preserve">. Therefore, chloride concentration serves as an </w:t>
      </w:r>
      <w:r w:rsidR="00E74352">
        <w:t xml:space="preserve">important </w:t>
      </w:r>
      <w:r w:rsidR="00D51D26">
        <w:t xml:space="preserve">indicator of pollution by sewage. </w:t>
      </w:r>
    </w:p>
    <w:p w14:paraId="5AC72FA4" w14:textId="77777777" w:rsidR="00D51D26" w:rsidRDefault="00D51D26" w:rsidP="00D51D26">
      <w:pPr>
        <w:spacing w:line="360" w:lineRule="auto"/>
        <w:jc w:val="both"/>
      </w:pPr>
      <w:r w:rsidRPr="00D51D26">
        <w:rPr>
          <w:b/>
          <w:bCs/>
        </w:rPr>
        <w:t>Principle:</w:t>
      </w:r>
      <w:r>
        <w:t xml:space="preserve"> Silver nitrate (AgNO</w:t>
      </w:r>
      <w:r w:rsidRPr="00D357F4">
        <w:rPr>
          <w:vertAlign w:val="subscript"/>
        </w:rPr>
        <w:t>3</w:t>
      </w:r>
      <w:r>
        <w:t>) reacts with chloride ions to form a very slightly soluble precipitate of Silver chloride. At the end, all the chloride gets precipitated, while free silver ions combine with chromate to give Silver chromate, a reddish brown compound.</w:t>
      </w:r>
    </w:p>
    <w:p w14:paraId="267B8CA2" w14:textId="77777777" w:rsidR="005A1B4D" w:rsidRPr="00C332B5" w:rsidRDefault="005A1B4D" w:rsidP="00C332B5">
      <w:pPr>
        <w:spacing w:after="0" w:line="360" w:lineRule="auto"/>
        <w:jc w:val="both"/>
        <w:rPr>
          <w:rFonts w:cs="Times New Roman"/>
        </w:rPr>
      </w:pPr>
      <w:r>
        <w:tab/>
      </w:r>
      <w:r>
        <w:tab/>
      </w:r>
      <w:r>
        <w:tab/>
      </w:r>
      <w:r>
        <w:tab/>
      </w:r>
      <w:r w:rsidRPr="005A1B4D">
        <w:rPr>
          <w:rFonts w:cs="Times New Roman"/>
          <w:b/>
          <w:bCs/>
        </w:rPr>
        <w:t>Ag</w:t>
      </w:r>
      <w:r w:rsidRPr="005A1B4D">
        <w:rPr>
          <w:rFonts w:cs="Times New Roman"/>
          <w:b/>
          <w:bCs/>
          <w:vertAlign w:val="superscript"/>
        </w:rPr>
        <w:t>+</w:t>
      </w:r>
      <w:r>
        <w:rPr>
          <w:rFonts w:cs="Times New Roman"/>
          <w:b/>
          <w:bCs/>
          <w:vertAlign w:val="superscript"/>
        </w:rPr>
        <w:t xml:space="preserve"> </w:t>
      </w:r>
      <w:r w:rsidRPr="005A1B4D">
        <w:rPr>
          <w:rFonts w:cs="Times New Roman"/>
          <w:b/>
          <w:bCs/>
        </w:rPr>
        <w:t>+ Cl</w:t>
      </w:r>
      <w:r w:rsidRPr="005A1B4D">
        <w:rPr>
          <w:rFonts w:cs="Times New Roman"/>
          <w:b/>
          <w:bCs/>
          <w:vertAlign w:val="superscript"/>
        </w:rPr>
        <w:t>-</w:t>
      </w:r>
      <w:r w:rsidRPr="005A1B4D">
        <w:rPr>
          <w:rFonts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↔</m:t>
        </m:r>
      </m:oMath>
      <w:r w:rsidRPr="005A1B4D">
        <w:rPr>
          <w:rFonts w:cs="Times New Roman"/>
          <w:b/>
          <w:bCs/>
        </w:rPr>
        <w:t xml:space="preserve"> AgCl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↓ </m:t>
        </m:r>
      </m:oMath>
      <w:r w:rsidR="00C332B5" w:rsidRPr="00C332B5">
        <w:rPr>
          <w:rFonts w:cs="Times New Roman"/>
        </w:rPr>
        <w:t>(white precipitate)</w:t>
      </w:r>
    </w:p>
    <w:p w14:paraId="6CCEE576" w14:textId="77777777" w:rsidR="005A1B4D" w:rsidRPr="00C332B5" w:rsidRDefault="005A1B4D" w:rsidP="00C332B5">
      <w:pPr>
        <w:spacing w:after="0" w:line="360" w:lineRule="auto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 w:rsidRPr="005A1B4D">
        <w:rPr>
          <w:rFonts w:cs="Times New Roman"/>
          <w:b/>
          <w:bCs/>
        </w:rPr>
        <w:t>Ag</w:t>
      </w:r>
      <w:r w:rsidRPr="005A1B4D">
        <w:rPr>
          <w:rFonts w:cs="Times New Roman"/>
          <w:b/>
          <w:bCs/>
          <w:vertAlign w:val="superscript"/>
        </w:rPr>
        <w:t>+</w:t>
      </w:r>
      <w:r w:rsidRPr="005A1B4D">
        <w:rPr>
          <w:rFonts w:cs="Times New Roman"/>
          <w:b/>
          <w:bCs/>
        </w:rPr>
        <w:t>+CrO</w:t>
      </w:r>
      <w:r w:rsidRPr="005A1B4D">
        <w:rPr>
          <w:rFonts w:cs="Times New Roman"/>
          <w:b/>
          <w:bCs/>
          <w:vertAlign w:val="subscript"/>
        </w:rPr>
        <w:t>4</w:t>
      </w:r>
      <w:r w:rsidRPr="005A1B4D">
        <w:rPr>
          <w:rFonts w:cs="Times New Roman"/>
          <w:b/>
          <w:bCs/>
          <w:vertAlign w:val="superscript"/>
        </w:rPr>
        <w:t>2-</w:t>
      </w:r>
      <w:r w:rsidRPr="005A1B4D">
        <w:rPr>
          <w:rFonts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↔</m:t>
        </m:r>
      </m:oMath>
      <w:r w:rsidRPr="005A1B4D">
        <w:rPr>
          <w:rFonts w:cs="Times New Roman"/>
          <w:b/>
          <w:bCs/>
        </w:rPr>
        <w:t xml:space="preserve"> AgCrO</w:t>
      </w:r>
      <w:r w:rsidRPr="005A1B4D">
        <w:rPr>
          <w:rFonts w:cs="Times New Roman"/>
          <w:b/>
          <w:bCs/>
          <w:vertAlign w:val="subscript"/>
        </w:rPr>
        <w:t>4</w:t>
      </w:r>
      <w:r w:rsidR="00C332B5">
        <w:rPr>
          <w:rFonts w:cs="Times New Roman"/>
          <w:b/>
          <w:bCs/>
          <w:vertAlign w:val="subscript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vertAlign w:val="subscript"/>
          </w:rPr>
          <m:t xml:space="preserve">↓ </m:t>
        </m:r>
      </m:oMath>
      <w:r w:rsidR="00C332B5" w:rsidRPr="00C332B5">
        <w:rPr>
          <w:rFonts w:cs="Times New Roman"/>
        </w:rPr>
        <w:t>(Brick red)</w:t>
      </w:r>
    </w:p>
    <w:p w14:paraId="5845CC10" w14:textId="77777777" w:rsidR="00D51D26" w:rsidRDefault="00D51D26" w:rsidP="005A1B4D">
      <w:pPr>
        <w:spacing w:after="0" w:line="360" w:lineRule="auto"/>
        <w:jc w:val="both"/>
      </w:pPr>
      <w:r w:rsidRPr="00D51D26">
        <w:rPr>
          <w:b/>
          <w:bCs/>
        </w:rPr>
        <w:t>Reagents required</w:t>
      </w:r>
      <w:r>
        <w:t>:</w:t>
      </w:r>
    </w:p>
    <w:p w14:paraId="08B266BF" w14:textId="77777777" w:rsidR="00D51D26" w:rsidRDefault="00D51D26" w:rsidP="00D51D26">
      <w:pPr>
        <w:spacing w:after="0" w:line="360" w:lineRule="auto"/>
        <w:jc w:val="both"/>
      </w:pPr>
      <w:r>
        <w:tab/>
        <w:t>1) 0.02 N AgNO</w:t>
      </w:r>
      <w:r w:rsidRPr="00D357F4">
        <w:rPr>
          <w:vertAlign w:val="subscript"/>
        </w:rPr>
        <w:t>3</w:t>
      </w:r>
      <w:r>
        <w:t>: Dissolve 3.4 gm of dried AgNO</w:t>
      </w:r>
      <w:r w:rsidRPr="00D357F4">
        <w:rPr>
          <w:vertAlign w:val="subscript"/>
        </w:rPr>
        <w:t>3</w:t>
      </w:r>
      <w:r>
        <w:t xml:space="preserve"> in distilled water and make the </w:t>
      </w:r>
      <w:r>
        <w:tab/>
        <w:t>volume upto 1000ml, this reagent should be kept in dark bottle,</w:t>
      </w:r>
    </w:p>
    <w:p w14:paraId="3F1C5433" w14:textId="77777777" w:rsidR="00D51D26" w:rsidRDefault="00D51D26" w:rsidP="00D51D26">
      <w:pPr>
        <w:spacing w:after="0" w:line="360" w:lineRule="auto"/>
        <w:jc w:val="both"/>
      </w:pPr>
      <w:r>
        <w:tab/>
        <w:t>2) 5 % Potassium chromate (K</w:t>
      </w:r>
      <w:r w:rsidRPr="00D357F4">
        <w:rPr>
          <w:vertAlign w:val="subscript"/>
        </w:rPr>
        <w:t>2</w:t>
      </w:r>
      <w:r>
        <w:t>CrO</w:t>
      </w:r>
      <w:r w:rsidRPr="00D357F4">
        <w:rPr>
          <w:vertAlign w:val="subscript"/>
        </w:rPr>
        <w:t>3</w:t>
      </w:r>
      <w:r>
        <w:t xml:space="preserve">): Dissolve 5 gm potassium chromate in 100 ml </w:t>
      </w:r>
      <w:r>
        <w:tab/>
        <w:t xml:space="preserve"> </w:t>
      </w:r>
      <w:r>
        <w:tab/>
        <w:t xml:space="preserve">    distilled water.</w:t>
      </w:r>
    </w:p>
    <w:p w14:paraId="3CD705D0" w14:textId="77777777" w:rsidR="00D51D26" w:rsidRDefault="00D51D26" w:rsidP="00D51D26">
      <w:pPr>
        <w:spacing w:after="0" w:line="360" w:lineRule="auto"/>
        <w:jc w:val="both"/>
      </w:pPr>
      <w:r w:rsidRPr="00E51921">
        <w:rPr>
          <w:b/>
          <w:bCs/>
        </w:rPr>
        <w:t>Procedure</w:t>
      </w:r>
      <w:r>
        <w:t xml:space="preserve">: </w:t>
      </w:r>
      <w:r w:rsidR="00E51921">
        <w:t>Take 50 ml of water sample in a clean conical flask, add 2ml of 5% Potassium chromate solution. Titrate the solution against 0.02 N AgNO</w:t>
      </w:r>
      <w:r w:rsidR="00E51921" w:rsidRPr="00D357F4">
        <w:rPr>
          <w:vertAlign w:val="subscript"/>
        </w:rPr>
        <w:t>3</w:t>
      </w:r>
      <w:r w:rsidR="00E51921">
        <w:t xml:space="preserve"> solutions taken in the burette until a permanent red tinge is formed. Titration is repeated to get concordant values.</w:t>
      </w:r>
    </w:p>
    <w:p w14:paraId="2006DBE0" w14:textId="77777777" w:rsidR="00E51921" w:rsidRDefault="00E51921" w:rsidP="00D51D26">
      <w:pPr>
        <w:spacing w:after="0" w:line="360" w:lineRule="auto"/>
        <w:jc w:val="both"/>
        <w:rPr>
          <w:b/>
          <w:bCs/>
        </w:rPr>
      </w:pPr>
    </w:p>
    <w:p w14:paraId="422DD5A6" w14:textId="77777777" w:rsidR="00E51921" w:rsidRPr="00977C62" w:rsidRDefault="00E51921" w:rsidP="00D51D26">
      <w:pPr>
        <w:spacing w:after="0" w:line="360" w:lineRule="auto"/>
        <w:jc w:val="both"/>
      </w:pPr>
      <w:r w:rsidRPr="00E51921">
        <w:rPr>
          <w:b/>
          <w:bCs/>
        </w:rPr>
        <w:t>Calculation</w:t>
      </w:r>
      <w:r>
        <w:t>:</w:t>
      </w:r>
    </w:p>
    <w:p w14:paraId="736A20C3" w14:textId="77777777" w:rsidR="00D51D26" w:rsidRDefault="00D51D26">
      <w:pPr>
        <w:spacing w:after="0" w:line="360" w:lineRule="auto"/>
        <w:jc w:val="both"/>
      </w:pPr>
    </w:p>
    <w:p w14:paraId="4977C26A" w14:textId="77777777" w:rsidR="00E51921" w:rsidRDefault="00E51921" w:rsidP="00576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360" w:lineRule="auto"/>
        <w:ind w:left="1980" w:right="1170" w:hanging="1980"/>
        <w:jc w:val="center"/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 w:hAnsi="Cambria Math"/>
            </w:rPr>
            <m:t xml:space="preserve">Chloride (mg/L)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MBR x N of AgNO3 x 1000 x 35.5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Volume of sample taken</m:t>
              </m:r>
            </m:den>
          </m:f>
        </m:oMath>
      </m:oMathPara>
    </w:p>
    <w:p w14:paraId="126A33CD" w14:textId="77777777" w:rsidR="00576437" w:rsidRDefault="00576437" w:rsidP="00576437">
      <w:pPr>
        <w:spacing w:after="0" w:line="360" w:lineRule="auto"/>
        <w:jc w:val="center"/>
      </w:pPr>
    </w:p>
    <w:p w14:paraId="0F520A67" w14:textId="77777777" w:rsidR="00E51921" w:rsidRDefault="00E51921">
      <w:pPr>
        <w:spacing w:after="0" w:line="360" w:lineRule="auto"/>
        <w:jc w:val="both"/>
      </w:pPr>
      <w:r>
        <w:t xml:space="preserve">Where, </w:t>
      </w:r>
    </w:p>
    <w:p w14:paraId="5965DD78" w14:textId="77777777" w:rsidR="00E51921" w:rsidRDefault="00E51921">
      <w:pPr>
        <w:spacing w:after="0" w:line="360" w:lineRule="auto"/>
        <w:jc w:val="both"/>
      </w:pPr>
      <w:r>
        <w:tab/>
        <w:t xml:space="preserve">MBR = Mean burette reading  </w:t>
      </w:r>
    </w:p>
    <w:p w14:paraId="33EE2C72" w14:textId="77777777" w:rsidR="00E51921" w:rsidRDefault="00E51921">
      <w:pPr>
        <w:spacing w:after="0" w:line="360" w:lineRule="auto"/>
        <w:jc w:val="both"/>
      </w:pPr>
      <w:r>
        <w:tab/>
        <w:t>Eq. Wt of Chloride = 35.5</w:t>
      </w:r>
    </w:p>
    <w:p w14:paraId="532BE1D0" w14:textId="77777777" w:rsidR="00E51921" w:rsidRDefault="00E51921">
      <w:pPr>
        <w:spacing w:after="0" w:line="360" w:lineRule="auto"/>
        <w:jc w:val="both"/>
      </w:pPr>
      <w:r>
        <w:tab/>
        <w:t>Vol. of sample taken = 50 ml</w:t>
      </w:r>
    </w:p>
    <w:p w14:paraId="5582BE94" w14:textId="77777777" w:rsidR="00E51921" w:rsidRDefault="00E51921">
      <w:pPr>
        <w:spacing w:after="0" w:line="360" w:lineRule="auto"/>
        <w:jc w:val="both"/>
      </w:pPr>
    </w:p>
    <w:p w14:paraId="13D621B0" w14:textId="77777777" w:rsidR="00E51921" w:rsidRDefault="00E51921">
      <w:pPr>
        <w:spacing w:after="0" w:line="360" w:lineRule="auto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18"/>
        <w:gridCol w:w="1116"/>
        <w:gridCol w:w="1044"/>
        <w:gridCol w:w="990"/>
      </w:tblGrid>
      <w:tr w:rsidR="00E51921" w14:paraId="51EC6C6D" w14:textId="77777777" w:rsidTr="00576437">
        <w:trPr>
          <w:jc w:val="center"/>
        </w:trPr>
        <w:tc>
          <w:tcPr>
            <w:tcW w:w="3618" w:type="dxa"/>
            <w:vAlign w:val="center"/>
          </w:tcPr>
          <w:p w14:paraId="18D72253" w14:textId="77777777" w:rsidR="00E51921" w:rsidRPr="00E51921" w:rsidRDefault="00E51921" w:rsidP="00E51921">
            <w:pPr>
              <w:spacing w:line="360" w:lineRule="auto"/>
              <w:jc w:val="center"/>
              <w:rPr>
                <w:b/>
                <w:bCs/>
              </w:rPr>
            </w:pPr>
            <w:r w:rsidRPr="00E51921">
              <w:rPr>
                <w:b/>
                <w:bCs/>
              </w:rPr>
              <w:lastRenderedPageBreak/>
              <w:t>Trial number</w:t>
            </w:r>
          </w:p>
        </w:tc>
        <w:tc>
          <w:tcPr>
            <w:tcW w:w="1116" w:type="dxa"/>
            <w:vAlign w:val="center"/>
          </w:tcPr>
          <w:p w14:paraId="104C8546" w14:textId="77777777" w:rsidR="00E51921" w:rsidRPr="00E51921" w:rsidRDefault="00E51921" w:rsidP="00E51921">
            <w:pPr>
              <w:spacing w:line="360" w:lineRule="auto"/>
              <w:jc w:val="center"/>
              <w:rPr>
                <w:b/>
                <w:bCs/>
              </w:rPr>
            </w:pPr>
            <w:r w:rsidRPr="00E51921">
              <w:rPr>
                <w:b/>
                <w:bCs/>
              </w:rPr>
              <w:t>I</w:t>
            </w:r>
          </w:p>
        </w:tc>
        <w:tc>
          <w:tcPr>
            <w:tcW w:w="1044" w:type="dxa"/>
            <w:vAlign w:val="center"/>
          </w:tcPr>
          <w:p w14:paraId="62A18DF8" w14:textId="77777777" w:rsidR="00E51921" w:rsidRPr="00E51921" w:rsidRDefault="00E51921" w:rsidP="00E51921">
            <w:pPr>
              <w:spacing w:line="360" w:lineRule="auto"/>
              <w:jc w:val="center"/>
              <w:rPr>
                <w:b/>
                <w:bCs/>
              </w:rPr>
            </w:pPr>
            <w:r w:rsidRPr="00E51921">
              <w:rPr>
                <w:b/>
                <w:bCs/>
              </w:rPr>
              <w:t>II</w:t>
            </w:r>
          </w:p>
        </w:tc>
        <w:tc>
          <w:tcPr>
            <w:tcW w:w="990" w:type="dxa"/>
            <w:vAlign w:val="center"/>
          </w:tcPr>
          <w:p w14:paraId="6AD03E21" w14:textId="77777777" w:rsidR="00E51921" w:rsidRPr="00E51921" w:rsidRDefault="00E51921" w:rsidP="00E51921">
            <w:pPr>
              <w:spacing w:line="360" w:lineRule="auto"/>
              <w:jc w:val="center"/>
              <w:rPr>
                <w:b/>
                <w:bCs/>
              </w:rPr>
            </w:pPr>
            <w:r w:rsidRPr="00E51921">
              <w:rPr>
                <w:b/>
                <w:bCs/>
              </w:rPr>
              <w:t>III</w:t>
            </w:r>
          </w:p>
        </w:tc>
      </w:tr>
      <w:tr w:rsidR="00E51921" w14:paraId="02F0B095" w14:textId="77777777" w:rsidTr="00576437">
        <w:trPr>
          <w:jc w:val="center"/>
        </w:trPr>
        <w:tc>
          <w:tcPr>
            <w:tcW w:w="3618" w:type="dxa"/>
            <w:vAlign w:val="center"/>
          </w:tcPr>
          <w:p w14:paraId="760875EC" w14:textId="77777777" w:rsidR="00E51921" w:rsidRDefault="00E51921" w:rsidP="00E51921">
            <w:pPr>
              <w:spacing w:line="360" w:lineRule="auto"/>
            </w:pPr>
            <w:r>
              <w:t>Final burette reading (ml)</w:t>
            </w:r>
          </w:p>
        </w:tc>
        <w:tc>
          <w:tcPr>
            <w:tcW w:w="1116" w:type="dxa"/>
            <w:vAlign w:val="center"/>
          </w:tcPr>
          <w:p w14:paraId="3DA0E741" w14:textId="77777777" w:rsidR="00E51921" w:rsidRDefault="00E51921" w:rsidP="00E51921">
            <w:pPr>
              <w:spacing w:line="360" w:lineRule="auto"/>
              <w:jc w:val="center"/>
            </w:pPr>
          </w:p>
        </w:tc>
        <w:tc>
          <w:tcPr>
            <w:tcW w:w="1044" w:type="dxa"/>
            <w:vAlign w:val="center"/>
          </w:tcPr>
          <w:p w14:paraId="60D480A7" w14:textId="77777777" w:rsidR="00E51921" w:rsidRDefault="00E51921" w:rsidP="00E51921">
            <w:pPr>
              <w:spacing w:line="360" w:lineRule="auto"/>
              <w:jc w:val="center"/>
            </w:pPr>
          </w:p>
        </w:tc>
        <w:tc>
          <w:tcPr>
            <w:tcW w:w="990" w:type="dxa"/>
            <w:vAlign w:val="center"/>
          </w:tcPr>
          <w:p w14:paraId="535870EA" w14:textId="77777777" w:rsidR="00E51921" w:rsidRDefault="00E51921" w:rsidP="00E51921">
            <w:pPr>
              <w:spacing w:line="360" w:lineRule="auto"/>
              <w:jc w:val="center"/>
            </w:pPr>
          </w:p>
        </w:tc>
      </w:tr>
      <w:tr w:rsidR="00E51921" w14:paraId="629C5312" w14:textId="77777777" w:rsidTr="00576437">
        <w:trPr>
          <w:jc w:val="center"/>
        </w:trPr>
        <w:tc>
          <w:tcPr>
            <w:tcW w:w="3618" w:type="dxa"/>
            <w:vAlign w:val="center"/>
          </w:tcPr>
          <w:p w14:paraId="66B2E2FF" w14:textId="77777777" w:rsidR="00E51921" w:rsidRDefault="00E51921" w:rsidP="00E51921">
            <w:pPr>
              <w:spacing w:line="360" w:lineRule="auto"/>
            </w:pPr>
            <w:r>
              <w:t>Initial burette reading</w:t>
            </w:r>
          </w:p>
        </w:tc>
        <w:tc>
          <w:tcPr>
            <w:tcW w:w="1116" w:type="dxa"/>
            <w:vAlign w:val="center"/>
          </w:tcPr>
          <w:p w14:paraId="77BB4A8B" w14:textId="77777777" w:rsidR="00E51921" w:rsidRDefault="00E51921" w:rsidP="00E51921">
            <w:pPr>
              <w:spacing w:line="360" w:lineRule="auto"/>
              <w:jc w:val="center"/>
            </w:pPr>
          </w:p>
        </w:tc>
        <w:tc>
          <w:tcPr>
            <w:tcW w:w="1044" w:type="dxa"/>
            <w:vAlign w:val="center"/>
          </w:tcPr>
          <w:p w14:paraId="6727BBA4" w14:textId="77777777" w:rsidR="00E51921" w:rsidRDefault="00E51921" w:rsidP="00E51921">
            <w:pPr>
              <w:spacing w:line="360" w:lineRule="auto"/>
              <w:jc w:val="center"/>
            </w:pPr>
          </w:p>
        </w:tc>
        <w:tc>
          <w:tcPr>
            <w:tcW w:w="990" w:type="dxa"/>
            <w:vAlign w:val="center"/>
          </w:tcPr>
          <w:p w14:paraId="7A567A3C" w14:textId="77777777" w:rsidR="00E51921" w:rsidRDefault="00E51921" w:rsidP="00E51921">
            <w:pPr>
              <w:spacing w:line="360" w:lineRule="auto"/>
              <w:jc w:val="center"/>
            </w:pPr>
          </w:p>
        </w:tc>
      </w:tr>
      <w:tr w:rsidR="00E51921" w14:paraId="6B32D32B" w14:textId="77777777" w:rsidTr="00576437">
        <w:trPr>
          <w:jc w:val="center"/>
        </w:trPr>
        <w:tc>
          <w:tcPr>
            <w:tcW w:w="3618" w:type="dxa"/>
            <w:vAlign w:val="center"/>
          </w:tcPr>
          <w:p w14:paraId="222BBC5F" w14:textId="77777777" w:rsidR="00E51921" w:rsidRDefault="00E51921" w:rsidP="00E51921">
            <w:pPr>
              <w:spacing w:line="360" w:lineRule="auto"/>
            </w:pPr>
            <w:r>
              <w:t>Vol. of 0.02 N AgNO</w:t>
            </w:r>
            <w:r w:rsidRPr="00D357F4">
              <w:rPr>
                <w:vertAlign w:val="subscript"/>
              </w:rPr>
              <w:t>3</w:t>
            </w:r>
            <w:r>
              <w:t xml:space="preserve"> used (ml)</w:t>
            </w:r>
          </w:p>
        </w:tc>
        <w:tc>
          <w:tcPr>
            <w:tcW w:w="1116" w:type="dxa"/>
            <w:vAlign w:val="center"/>
          </w:tcPr>
          <w:p w14:paraId="02E65265" w14:textId="77777777" w:rsidR="00E51921" w:rsidRDefault="00E51921" w:rsidP="00E51921">
            <w:pPr>
              <w:spacing w:line="360" w:lineRule="auto"/>
              <w:jc w:val="center"/>
            </w:pPr>
          </w:p>
        </w:tc>
        <w:tc>
          <w:tcPr>
            <w:tcW w:w="1044" w:type="dxa"/>
            <w:vAlign w:val="center"/>
          </w:tcPr>
          <w:p w14:paraId="58F3A3EA" w14:textId="77777777" w:rsidR="00E51921" w:rsidRDefault="00E51921" w:rsidP="00E51921">
            <w:pPr>
              <w:spacing w:line="360" w:lineRule="auto"/>
              <w:jc w:val="center"/>
            </w:pPr>
          </w:p>
        </w:tc>
        <w:tc>
          <w:tcPr>
            <w:tcW w:w="990" w:type="dxa"/>
            <w:vAlign w:val="center"/>
          </w:tcPr>
          <w:p w14:paraId="15E41CD5" w14:textId="77777777" w:rsidR="00E51921" w:rsidRDefault="00E51921" w:rsidP="00E51921">
            <w:pPr>
              <w:spacing w:line="360" w:lineRule="auto"/>
              <w:jc w:val="center"/>
            </w:pPr>
          </w:p>
        </w:tc>
      </w:tr>
    </w:tbl>
    <w:p w14:paraId="17DC16E1" w14:textId="77777777" w:rsidR="00E51921" w:rsidRDefault="00E51921">
      <w:pPr>
        <w:spacing w:after="0" w:line="360" w:lineRule="auto"/>
        <w:jc w:val="both"/>
      </w:pPr>
    </w:p>
    <w:p w14:paraId="71666BC2" w14:textId="77777777" w:rsidR="00E51921" w:rsidRPr="00E51921" w:rsidRDefault="00E51921">
      <w:pPr>
        <w:spacing w:after="0" w:line="360" w:lineRule="auto"/>
        <w:jc w:val="both"/>
        <w:rPr>
          <w:b/>
          <w:bCs/>
        </w:rPr>
      </w:pPr>
      <w:r w:rsidRPr="00E51921">
        <w:rPr>
          <w:b/>
          <w:bCs/>
        </w:rPr>
        <w:t xml:space="preserve">Result: </w:t>
      </w:r>
    </w:p>
    <w:p w14:paraId="0140F042" w14:textId="77777777" w:rsidR="00E51921" w:rsidRDefault="00E51921">
      <w:pPr>
        <w:spacing w:after="0" w:line="360" w:lineRule="auto"/>
        <w:jc w:val="both"/>
      </w:pPr>
      <w:r>
        <w:tab/>
        <w:t>The chloride content in tap water is =…………………. mg/L</w:t>
      </w:r>
    </w:p>
    <w:p w14:paraId="334DD457" w14:textId="77777777" w:rsidR="00E51921" w:rsidRPr="00977C62" w:rsidRDefault="00E51921" w:rsidP="00E51921">
      <w:pPr>
        <w:spacing w:after="0" w:line="360" w:lineRule="auto"/>
        <w:jc w:val="both"/>
      </w:pPr>
      <w:r>
        <w:tab/>
        <w:t>The chloride content in pond water is =…………………. mg/L</w:t>
      </w:r>
    </w:p>
    <w:p w14:paraId="4BD7E892" w14:textId="77777777" w:rsidR="00E51921" w:rsidRDefault="00E51921">
      <w:pPr>
        <w:spacing w:after="0" w:line="360" w:lineRule="auto"/>
        <w:jc w:val="both"/>
        <w:rPr>
          <w:b/>
          <w:bCs/>
        </w:rPr>
      </w:pPr>
    </w:p>
    <w:p w14:paraId="3501FBA6" w14:textId="77777777" w:rsidR="00E51921" w:rsidRDefault="00E51921">
      <w:pPr>
        <w:spacing w:after="0" w:line="360" w:lineRule="auto"/>
        <w:jc w:val="both"/>
      </w:pPr>
      <w:r w:rsidRPr="00E51921">
        <w:rPr>
          <w:b/>
          <w:bCs/>
        </w:rPr>
        <w:t>Comments:</w:t>
      </w:r>
      <w:r>
        <w:rPr>
          <w:b/>
          <w:bCs/>
        </w:rPr>
        <w:t xml:space="preserve"> </w:t>
      </w:r>
    </w:p>
    <w:p w14:paraId="281FDFEE" w14:textId="77777777" w:rsidR="008A7ED5" w:rsidRPr="008A7ED5" w:rsidRDefault="00AD5E89" w:rsidP="008A7ED5">
      <w:pPr>
        <w:spacing w:after="0" w:line="360" w:lineRule="auto"/>
        <w:ind w:firstLine="720"/>
        <w:jc w:val="both"/>
        <w:rPr>
          <w:rFonts w:cs="Times New Roman"/>
          <w:color w:val="333333"/>
          <w:szCs w:val="24"/>
          <w:shd w:val="clear" w:color="auto" w:fill="FFFFFF"/>
        </w:rPr>
      </w:pPr>
      <w:r w:rsidRPr="00AD5E89">
        <w:rPr>
          <w:rFonts w:cs="Times New Roman"/>
          <w:color w:val="333333"/>
          <w:szCs w:val="24"/>
          <w:shd w:val="clear" w:color="auto" w:fill="FFFFFF"/>
        </w:rPr>
        <w:t xml:space="preserve">Chloride is a naturally occurring element that is common in most natural waters and is most often found as a component of salt (sodium chloride) or in some cases in combination with potassium or calcium. </w:t>
      </w:r>
    </w:p>
    <w:p w14:paraId="69DE7205" w14:textId="77777777" w:rsidR="005A1B4D" w:rsidRDefault="005A1B4D" w:rsidP="008A7ED5">
      <w:pPr>
        <w:spacing w:after="0" w:line="360" w:lineRule="auto"/>
        <w:ind w:firstLine="720"/>
        <w:jc w:val="both"/>
      </w:pPr>
      <w:r>
        <w:t xml:space="preserve">The drinking water had low concentration due to filtering process which removes excess of Chloride present in tap water.  </w:t>
      </w:r>
    </w:p>
    <w:p w14:paraId="15C90B60" w14:textId="77777777" w:rsidR="00AD5E89" w:rsidRDefault="008A7ED5" w:rsidP="008A7ED5">
      <w:pPr>
        <w:spacing w:after="0" w:line="360" w:lineRule="auto"/>
        <w:ind w:firstLine="720"/>
        <w:jc w:val="both"/>
      </w:pPr>
      <w:r>
        <w:t>The pond water contained a high concentration of chloride because of anthropogenic or human-caused factors such as road salt, sewage contamination, and the use of water softeners in laundry.</w:t>
      </w:r>
    </w:p>
    <w:p w14:paraId="5CC62862" w14:textId="77777777" w:rsidR="005A1B4D" w:rsidRPr="00AD5E89" w:rsidRDefault="005A1B4D" w:rsidP="008A7ED5">
      <w:pPr>
        <w:spacing w:after="0" w:line="360" w:lineRule="auto"/>
        <w:ind w:firstLine="720"/>
        <w:jc w:val="both"/>
        <w:rPr>
          <w:rFonts w:cs="Times New Roman"/>
          <w:szCs w:val="24"/>
        </w:rPr>
      </w:pPr>
      <w:r>
        <w:rPr>
          <w:rFonts w:cs="Times New Roman"/>
          <w:color w:val="333333"/>
          <w:szCs w:val="24"/>
          <w:shd w:val="clear" w:color="auto" w:fill="FFFFFF"/>
        </w:rPr>
        <w:t>(</w:t>
      </w:r>
      <w:r w:rsidRPr="008A7ED5">
        <w:rPr>
          <w:rFonts w:cs="Times New Roman"/>
          <w:color w:val="333333"/>
          <w:szCs w:val="24"/>
          <w:shd w:val="clear" w:color="auto" w:fill="FFFFFF"/>
        </w:rPr>
        <w:t>The tap water had a higher concentration of chloride in the present study, which is because the source of tap water was groundwater, which can accumulate chloride through a number of sources, including the leaching from soils and salt-bearing rocks. Also, the city municipal may use chloride to bleach water to kill parasites, bacteria, and viruses</w:t>
      </w:r>
      <w:r>
        <w:rPr>
          <w:rFonts w:cs="Times New Roman"/>
          <w:color w:val="333333"/>
          <w:szCs w:val="24"/>
          <w:shd w:val="clear" w:color="auto" w:fill="FFFFFF"/>
        </w:rPr>
        <w:t>)</w:t>
      </w:r>
      <w:r w:rsidRPr="008A7ED5">
        <w:rPr>
          <w:rFonts w:cs="Times New Roman"/>
          <w:color w:val="333333"/>
          <w:szCs w:val="24"/>
          <w:shd w:val="clear" w:color="auto" w:fill="FFFFFF"/>
        </w:rPr>
        <w:t>.</w:t>
      </w:r>
    </w:p>
    <w:sectPr w:rsidR="005A1B4D" w:rsidRPr="00AD5E89" w:rsidSect="002F10E3">
      <w:footerReference w:type="default" r:id="rId7"/>
      <w:pgSz w:w="11909" w:h="17136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CC734" w14:textId="77777777" w:rsidR="00A000BA" w:rsidRDefault="00A000BA" w:rsidP="00576437">
      <w:pPr>
        <w:spacing w:after="0" w:line="240" w:lineRule="auto"/>
      </w:pPr>
      <w:r>
        <w:separator/>
      </w:r>
    </w:p>
  </w:endnote>
  <w:endnote w:type="continuationSeparator" w:id="0">
    <w:p w14:paraId="7E77B311" w14:textId="77777777" w:rsidR="00A000BA" w:rsidRDefault="00A000BA" w:rsidP="00576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72150"/>
      <w:docPartObj>
        <w:docPartGallery w:val="Page Numbers (Bottom of Page)"/>
        <w:docPartUnique/>
      </w:docPartObj>
    </w:sdtPr>
    <w:sdtContent>
      <w:p w14:paraId="1C2AA3D7" w14:textId="77777777" w:rsidR="0057643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76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DC34CA" w14:textId="77777777" w:rsidR="00576437" w:rsidRDefault="00576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29FB2" w14:textId="77777777" w:rsidR="00A000BA" w:rsidRDefault="00A000BA" w:rsidP="00576437">
      <w:pPr>
        <w:spacing w:after="0" w:line="240" w:lineRule="auto"/>
      </w:pPr>
      <w:r>
        <w:separator/>
      </w:r>
    </w:p>
  </w:footnote>
  <w:footnote w:type="continuationSeparator" w:id="0">
    <w:p w14:paraId="050F44E5" w14:textId="77777777" w:rsidR="00A000BA" w:rsidRDefault="00A000BA" w:rsidP="00576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C62"/>
    <w:rsid w:val="001872B4"/>
    <w:rsid w:val="0023541E"/>
    <w:rsid w:val="002B7181"/>
    <w:rsid w:val="002F10E3"/>
    <w:rsid w:val="00310427"/>
    <w:rsid w:val="00416957"/>
    <w:rsid w:val="0044694C"/>
    <w:rsid w:val="00576437"/>
    <w:rsid w:val="005A1B4D"/>
    <w:rsid w:val="006C2800"/>
    <w:rsid w:val="007A23B4"/>
    <w:rsid w:val="008066D6"/>
    <w:rsid w:val="008876CC"/>
    <w:rsid w:val="008A7ED5"/>
    <w:rsid w:val="00977C62"/>
    <w:rsid w:val="00A000BA"/>
    <w:rsid w:val="00AA153E"/>
    <w:rsid w:val="00AD5E89"/>
    <w:rsid w:val="00BE2F0C"/>
    <w:rsid w:val="00C332B5"/>
    <w:rsid w:val="00D357F4"/>
    <w:rsid w:val="00D51D26"/>
    <w:rsid w:val="00D669E1"/>
    <w:rsid w:val="00D948ED"/>
    <w:rsid w:val="00E51921"/>
    <w:rsid w:val="00E74352"/>
    <w:rsid w:val="00F3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EC03"/>
  <w15:docId w15:val="{42371B09-786C-4FF4-AB79-B8E78297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9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76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6437"/>
  </w:style>
  <w:style w:type="paragraph" w:styleId="Footer">
    <w:name w:val="footer"/>
    <w:basedOn w:val="Normal"/>
    <w:link w:val="FooterChar"/>
    <w:uiPriority w:val="99"/>
    <w:unhideWhenUsed/>
    <w:rsid w:val="00576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0D339-5D75-437C-92CE-450BB293B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Priya Priya</cp:lastModifiedBy>
  <cp:revision>19</cp:revision>
  <cp:lastPrinted>2024-06-09T13:12:00Z</cp:lastPrinted>
  <dcterms:created xsi:type="dcterms:W3CDTF">2021-08-14T05:21:00Z</dcterms:created>
  <dcterms:modified xsi:type="dcterms:W3CDTF">2024-06-09T13:13:00Z</dcterms:modified>
</cp:coreProperties>
</file>