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20" w:leader="none"/>
        </w:tabs>
        <w:spacing w:lineRule="auto" w:line="240"/>
        <w:jc w:val="center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PRAJWAL KOIRALA</w:t>
      </w:r>
    </w:p>
    <w:p>
      <w:pPr>
        <w:pStyle w:val="Normal"/>
        <w:pBdr>
          <w:bottom w:val="single" w:sz="4" w:space="1" w:color="000000"/>
        </w:pBdr>
        <w:spacing w:lineRule="auto" w:line="360"/>
        <w:jc w:val="center"/>
        <w:rPr/>
      </w:pPr>
      <w:r>
        <w:rPr>
          <w:rFonts w:eastAsia="Calibri" w:cs="Calibri" w:ascii="Calibri" w:hAnsi="Calibri"/>
          <w:color w:val="auto"/>
          <w:sz w:val="20"/>
          <w:szCs w:val="20"/>
        </w:rPr>
        <w:t>(631) 627-2858 •</w:t>
      </w:r>
      <w:r>
        <w:rPr>
          <w:rStyle w:val="InternetLink"/>
          <w:rFonts w:eastAsia="Calibri" w:cs="Calibri" w:ascii="Calibri" w:hAnsi="Calibri"/>
          <w:color w:val="auto"/>
          <w:sz w:val="20"/>
          <w:szCs w:val="20"/>
        </w:rPr>
        <w:t xml:space="preserve"> Columbus, Ohio•</w:t>
      </w:r>
      <w:r>
        <w:rPr>
          <w:rFonts w:eastAsia="Calibri" w:cs="Calibri" w:ascii="Calibri" w:hAnsi="Calibri"/>
          <w:color w:val="auto"/>
          <w:sz w:val="20"/>
          <w:szCs w:val="20"/>
        </w:rPr>
        <w:t xml:space="preserve"> </w:t>
      </w:r>
      <w:hyperlink r:id="rId2">
        <w:r>
          <w:rPr>
            <w:rStyle w:val="InternetLink"/>
            <w:rFonts w:eastAsia="Calibri" w:cs="Calibri" w:ascii="Calibri" w:hAnsi="Calibri"/>
            <w:sz w:val="20"/>
            <w:szCs w:val="20"/>
          </w:rPr>
          <w:t>prajwal.koirala@gmail.com</w:t>
        </w:r>
      </w:hyperlink>
      <w:r>
        <w:rPr>
          <w:rFonts w:eastAsia="Calibri" w:cs="Calibri" w:ascii="Calibri" w:hAnsi="Calibri"/>
          <w:color w:val="auto"/>
          <w:sz w:val="20"/>
          <w:szCs w:val="20"/>
        </w:rPr>
        <w:t xml:space="preserve"> • </w:t>
      </w:r>
      <w:r>
        <w:rPr>
          <w:rStyle w:val="InternetLink"/>
          <w:rFonts w:eastAsia="Calibri" w:cs="Calibri" w:ascii="Calibri" w:hAnsi="Calibri"/>
          <w:sz w:val="20"/>
          <w:szCs w:val="20"/>
        </w:rPr>
        <w:t xml:space="preserve">https://www.linkedin.com/in/prajwal-koirala-84878454/ </w:t>
      </w:r>
    </w:p>
    <w:p>
      <w:pPr>
        <w:pStyle w:val="Normal"/>
        <w:spacing w:lineRule="auto" w:line="240" w:beforeAutospacing="0" w:before="0" w:afterAutospacing="0" w:after="0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EXPERIENCE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Collaborated with cross-functional business partners to understand business problem, identify best approaches to using data and analytics, set OKRs and metrics for success/failure 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Identified appropriate data (customer demographics, transactional, survey) using SQL (Teradata, SQL Server, PostgreSQL)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and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underst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ood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 its strengths and limitations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Performed exploratory analysis, tested numerous hypothesis using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statistical methods including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A/B tests. Built statistical models (Regression – OLS/Logistic, Factor Analysis, Decision Trees, basic NLP) to understand and predict customer behavior. Examples of model built include Customer &amp; Employee satisfaction and Attrition. Programming languages used – R, Python, SAS, Tableau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Built consensus around r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ecommended solutions by creating a compelling story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for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 both technical and non-technical audiences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driving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 effective decision making. 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Executed recommended items, automated and optimized workflows for implementation and monitoring using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tools like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shell scripting, established feedback loop for continuous learning and refinement</w:t>
      </w:r>
    </w:p>
    <w:p>
      <w:pPr>
        <w:pStyle w:val="Normal"/>
        <w:numPr>
          <w:ilvl w:val="0"/>
          <w:numId w:val="4"/>
        </w:numPr>
        <w:spacing w:lineRule="auto" w:line="240" w:before="57" w:after="57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R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egularly communicated success stories to senior executives and cross-functional partners. </w:t>
      </w:r>
      <w:r>
        <w:rPr>
          <w:rFonts w:eastAsia="Calibri" w:cs="Calibri" w:ascii="Calibri" w:hAnsi="Calibr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Highlights includes sharing strategies to improve Customer Experience to COO of Chase and CEO of Consumer bank,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ar-SA"/>
        </w:rPr>
        <w:t>delivered tips on how to provide exceptional customer service during the COVID-19 crisis to the entire branch network leadership (1K+ employees) through 40+ Virtual Road shows spread over the course of 2020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240" w:beforeAutospacing="0" w:before="0" w:afterAutospacing="0" w:after="0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Citizens Bank – Mar 2021 to Present</w:t>
      </w:r>
    </w:p>
    <w:p>
      <w:pPr>
        <w:pStyle w:val="Normal"/>
        <w:spacing w:lineRule="auto" w:line="240" w:beforeAutospacing="0" w:before="0" w:afterAutospacing="0" w:after="0"/>
        <w:ind w:left="270" w:hanging="0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Senior Data Scientist, VP Individual Contributor</w:t>
      </w:r>
    </w:p>
    <w:p>
      <w:pPr>
        <w:pStyle w:val="ListParagraph"/>
        <w:numPr>
          <w:ilvl w:val="0"/>
          <w:numId w:val="1"/>
        </w:numPr>
        <w:spacing w:lineRule="auto" w:line="240" w:beforeAutospacing="0" w:before="0" w:afterAutospacing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Derived intelligence on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customers and their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properties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for a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personaliz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ed way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to originate Home Equity Line of Credit(HELOC) delivering a fast and superior Customer Experience</w:t>
      </w:r>
    </w:p>
    <w:p>
      <w:pPr>
        <w:pStyle w:val="ListParagraph"/>
        <w:numPr>
          <w:ilvl w:val="0"/>
          <w:numId w:val="1"/>
        </w:numPr>
        <w:spacing w:lineRule="auto" w:line="240" w:beforeAutospacing="0" w:before="0" w:afterAutospacing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Coordinated with cross-functional teams to productionize Automated Property Valuation Model. Monitored the model performance to ensure Model Governance and Risk Policy compliance. Communicated the results to stakeholders</w:t>
      </w:r>
    </w:p>
    <w:p>
      <w:pPr>
        <w:pStyle w:val="ListParagraph"/>
        <w:numPr>
          <w:ilvl w:val="0"/>
          <w:numId w:val="1"/>
        </w:numPr>
        <w:spacing w:lineRule="auto" w:line="240" w:beforeAutospacing="0" w:before="114" w:afterAutospacing="0" w:after="114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Impact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 – Streamlined data and intelligence in the back-end for the newly launched Fastline HELOC Application Portal that reduced HELOC origination times by more than half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right="0" w:hanging="0"/>
        <w:jc w:val="left"/>
        <w:rPr>
          <w:rFonts w:ascii="Calibri" w:hAnsi="Calibri" w:eastAsia="Calibri" w:cs="Calibr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n-US" w:eastAsia="zh-CN" w:bidi="ar-SA"/>
        </w:rPr>
        <w:t>J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n-US" w:eastAsia="zh-CN" w:bidi="ar-SA"/>
        </w:rPr>
        <w:t>P Morgan Chase – Nov 2016 to Mar 202</w:t>
      </w: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n-US" w:eastAsia="zh-CN" w:bidi="ar-SA"/>
        </w:rPr>
        <w:t>1</w:t>
      </w:r>
    </w:p>
    <w:p>
      <w:pPr>
        <w:pStyle w:val="Normal"/>
        <w:spacing w:lineRule="auto" w:line="240" w:beforeAutospacing="0" w:before="0" w:afterAutospacing="0" w:after="0"/>
        <w:ind w:left="360" w:right="0" w:hanging="0"/>
        <w:jc w:val="left"/>
        <w:rPr>
          <w:rFonts w:ascii="Calibri" w:hAnsi="Calibri" w:eastAsia="Calibri" w:cs="Calibr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Calibri" w:cs="Calibri" w:ascii="Calibri" w:hAnsi="Calibri"/>
          <w:b/>
          <w:bCs/>
          <w:color w:val="auto"/>
          <w:kern w:val="2"/>
          <w:sz w:val="24"/>
          <w:szCs w:val="24"/>
          <w:lang w:val="en-US" w:eastAsia="zh-CN" w:bidi="ar-SA"/>
        </w:rPr>
        <w:t>Customer Experience Insights/Analytics – Feb 2019 to Mar 2021</w:t>
      </w:r>
    </w:p>
    <w:p>
      <w:pPr>
        <w:pStyle w:val="ListParagraph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color w:val="auto"/>
        </w:rPr>
        <w:t>Identified top drivers of success/failure, linking customer perceptions/behaviors to operational data and isolated key events increasing or decreasing customers’ attrition to understand how customers experiences drive behaviors. Recommended actions to improve customer experience and profitability</w:t>
      </w:r>
    </w:p>
    <w:p>
      <w:pPr>
        <w:pStyle w:val="ListParagraph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Helped set up first ever Attrition survey, analyzed data and recommended action items </w:t>
      </w:r>
    </w:p>
    <w:p>
      <w:pPr>
        <w:pStyle w:val="ListParagraph"/>
        <w:numPr>
          <w:ilvl w:val="0"/>
          <w:numId w:val="3"/>
        </w:numPr>
        <w:spacing w:lineRule="auto" w:line="240" w:before="114" w:after="114"/>
        <w:ind w:left="720" w:hanging="360"/>
        <w:contextualSpacing/>
        <w:rPr/>
      </w:pPr>
      <w:r>
        <w:rPr>
          <w:rFonts w:eastAsia="Calibri" w:cs="Calibri" w:ascii="Calibri" w:hAnsi="Calibri"/>
          <w:b/>
          <w:bCs/>
          <w:color w:val="auto"/>
        </w:rPr>
        <w:t>Impact</w:t>
      </w:r>
      <w:r>
        <w:rPr>
          <w:rFonts w:eastAsia="Calibri" w:cs="Calibri" w:ascii="Calibri" w:hAnsi="Calibri"/>
          <w:color w:val="auto"/>
        </w:rPr>
        <w:t xml:space="preserve"> –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Highest Overall Satisfaction for Branch,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Highest JD Power Satisfaction score and 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Top 5 in Overall Satisfaction among 23 National Banks, Record low Attritio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>n</w:t>
      </w:r>
    </w:p>
    <w:p>
      <w:pPr>
        <w:pStyle w:val="Normal"/>
        <w:spacing w:lineRule="auto" w:line="240" w:beforeAutospacing="0" w:before="0" w:afterAutospacing="0" w:after="0"/>
        <w:ind w:left="360" w:right="0" w:hanging="0"/>
        <w:jc w:val="left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Debit/Credit Card Fraud Risk Strategy – Nov 2016 to Feb 2019</w:t>
      </w:r>
    </w:p>
    <w:p>
      <w:pPr>
        <w:pStyle w:val="ListParagraph"/>
        <w:numPr>
          <w:ilvl w:val="0"/>
          <w:numId w:val="2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color w:val="auto"/>
        </w:rPr>
        <w:t xml:space="preserve">Developed &amp; implemented proactive and reactive debit/credit fraud prevention as well as customer experience strategies for holidays (Black Friday – Christmas), sporting events, phone launches and disasters (hurricanes, mass shootings) </w:t>
      </w:r>
    </w:p>
    <w:p>
      <w:pPr>
        <w:pStyle w:val="ListParagraph"/>
        <w:numPr>
          <w:ilvl w:val="0"/>
          <w:numId w:val="2"/>
        </w:numPr>
        <w:spacing w:lineRule="auto" w:line="240" w:before="114" w:after="114"/>
        <w:ind w:left="720" w:hanging="360"/>
        <w:contextualSpacing/>
        <w:rPr/>
      </w:pPr>
      <w:r>
        <w:rPr>
          <w:rFonts w:eastAsia="Calibri" w:cs="Calibri" w:ascii="Calibri" w:hAnsi="Calibri"/>
          <w:b/>
          <w:bCs/>
          <w:color w:val="auto"/>
        </w:rPr>
        <w:t>Impact</w:t>
      </w:r>
      <w:r>
        <w:rPr>
          <w:rFonts w:eastAsia="Calibri" w:cs="Calibri" w:ascii="Calibri" w:hAnsi="Calibri"/>
          <w:color w:val="auto"/>
        </w:rPr>
        <w:t xml:space="preserve"> –</w:t>
      </w: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</w:rPr>
        <w:t xml:space="preserve"> Annual - $20 MM in fraud savings, 30 MM customers and millions of transactions</w:t>
      </w:r>
    </w:p>
    <w:p>
      <w:pPr>
        <w:pStyle w:val="Normal"/>
        <w:spacing w:lineRule="auto" w:line="360" w:before="114" w:after="114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Statistician II, A</w:t>
      </w: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dvanceMed, NCI Information Systems – June 2015 to Nov 2016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 w:before="57" w:after="57"/>
        <w:ind w:left="1620" w:hanging="1620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tabs>
          <w:tab w:val="clear" w:pos="720"/>
          <w:tab w:val="left" w:pos="0" w:leader="none"/>
          <w:tab w:val="left" w:pos="180" w:leader="none"/>
        </w:tabs>
        <w:spacing w:lineRule="auto" w:line="240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MS Applied Mathematics: Statistics, Stony Brook University,</w:t>
      </w:r>
      <w:r>
        <w:rPr>
          <w:rFonts w:eastAsia="Calibri" w:cs="Calibri" w:ascii="Calibri" w:hAnsi="Calibri"/>
          <w:color w:val="auto"/>
          <w:sz w:val="24"/>
          <w:szCs w:val="24"/>
        </w:rPr>
        <w:t xml:space="preserve"> Stony Brook, NY </w:t>
      </w: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– Dec 2014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BA Sociology, St. Joseph’s College</w:t>
      </w:r>
      <w:r>
        <w:rPr>
          <w:rFonts w:eastAsia="Calibri" w:cs="Calibri" w:ascii="Calibri" w:hAnsi="Calibri"/>
          <w:color w:val="auto"/>
          <w:sz w:val="24"/>
          <w:szCs w:val="24"/>
        </w:rPr>
        <w:t xml:space="preserve">, Patchogue, NY </w:t>
      </w:r>
      <w:r>
        <w:rPr>
          <w:rFonts w:eastAsia="Calibri" w:cs="Calibri" w:ascii="Calibri" w:hAnsi="Calibri"/>
          <w:b/>
          <w:bCs/>
          <w:color w:val="auto"/>
          <w:sz w:val="24"/>
          <w:szCs w:val="24"/>
        </w:rPr>
        <w:t>– May 2011</w:t>
      </w:r>
      <w:r>
        <w:rPr/>
        <w:tab/>
        <w:tab/>
        <w:tab/>
        <w:tab/>
        <w:tab/>
        <w:tab/>
      </w:r>
    </w:p>
    <w:sectPr>
      <w:footerReference w:type="default" r:id="rId3"/>
      <w:type w:val="nextPage"/>
      <w:pgSz w:w="12240" w:h="15840"/>
      <w:pgMar w:left="720" w:right="720" w:gutter="0" w:header="0" w:top="216" w:footer="72" w:bottom="37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</w:rPr>
    </w:pPr>
    <w:r>
      <w:rPr>
        <w:b/>
      </w:rPr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0"/>
      <w:numFmt w:val="bullet"/>
      <w:lvlText w:val=""/>
      <w:lvlJc w:val="left"/>
      <w:pPr>
        <w:tabs>
          <w:tab w:val="num" w:pos="0"/>
        </w:tabs>
        <w:ind w:left="1080" w:hanging="0"/>
      </w:pPr>
      <w:rPr>
        <w:rFonts w:ascii="Wingdings" w:hAnsi="Wingdings" w:cs="Wingdings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Heading1Char" w:customStyle="1">
    <w:name w:val="Heading 1 Char"/>
    <w:basedOn w:val="DefaultParagraphFont"/>
    <w:qFormat/>
    <w:rPr>
      <w:rFonts w:ascii="Cambria" w:hAnsi="Cambria" w:eastAsia="Times New Roman" w:cs="Times New Roman"/>
      <w:b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32"/>
      <w:sz w:val="32"/>
      <w:szCs w:val="32"/>
      <w:u w:val="none" w:color="FFFFFF"/>
      <w:shd w:fill="auto" w:val="clear"/>
      <w:vertAlign w:val="baseline"/>
      <w:lang w:val="en-US"/>
    </w:rPr>
  </w:style>
  <w:style w:type="character" w:styleId="Heading2Char" w:customStyle="1">
    <w:name w:val="Heading 2 Char"/>
    <w:basedOn w:val="DefaultParagraphFont"/>
    <w:qFormat/>
    <w:rPr>
      <w:rFonts w:ascii="Cambria" w:hAnsi="Cambria" w:eastAsia="Times New Roman" w:cs="Times New Roman"/>
      <w:b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28"/>
      <w:sz w:val="28"/>
      <w:szCs w:val="28"/>
      <w:u w:val="none" w:color="FFFFFF"/>
      <w:shd w:fill="auto" w:val="clear"/>
      <w:vertAlign w:val="baseline"/>
      <w:lang w:val="en-US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Times New Roman" w:cs="Times New Roman"/>
      <w:b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26"/>
      <w:sz w:val="26"/>
      <w:szCs w:val="26"/>
      <w:u w:val="none" w:color="FFFFFF"/>
      <w:shd w:fill="auto" w:val="clear"/>
      <w:vertAlign w:val="baseline"/>
      <w:lang w:val="en-US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Times New Roman" w:cs="Times New Roman"/>
      <w:b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28"/>
      <w:sz w:val="28"/>
      <w:szCs w:val="28"/>
      <w:u w:val="none" w:color="FFFFFF"/>
      <w:shd w:fill="auto" w:val="clear"/>
      <w:vertAlign w:val="baseline"/>
      <w:lang w:val="en-US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Times New Roman" w:cs="Times New Roman"/>
      <w:b/>
      <w:i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26"/>
      <w:sz w:val="26"/>
      <w:szCs w:val="26"/>
      <w:u w:val="none" w:color="FFFFFF"/>
      <w:shd w:fill="auto" w:val="clear"/>
      <w:vertAlign w:val="baseline"/>
      <w:lang w:val="en-US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Times New Roman" w:cs="Times New Roman"/>
      <w:b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22"/>
      <w:sz w:val="22"/>
      <w:szCs w:val="22"/>
      <w:u w:val="none" w:color="FFFFFF"/>
      <w:shd w:fill="auto" w:val="clear"/>
      <w:vertAlign w:val="baseline"/>
      <w:lang w:val="en-US"/>
    </w:rPr>
  </w:style>
  <w:style w:type="character" w:styleId="HeaderChar" w:customStyle="1">
    <w:name w:val="Header Char"/>
    <w:basedOn w:val="DefaultParagraphFont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22"/>
      <w:sz w:val="22"/>
      <w:szCs w:val="22"/>
      <w:u w:val="none" w:color="FFFFFF"/>
      <w:shd w:fill="auto" w:val="clear"/>
      <w:vertAlign w:val="baseline"/>
      <w:lang w:val="en-US"/>
    </w:rPr>
  </w:style>
  <w:style w:type="character" w:styleId="FooterChar" w:customStyle="1">
    <w:name w:val="Footer Char"/>
    <w:basedOn w:val="DefaultParagraphFont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22"/>
      <w:sz w:val="22"/>
      <w:szCs w:val="22"/>
      <w:u w:val="none" w:color="FFFFFF"/>
      <w:shd w:fill="auto" w:val="clear"/>
      <w:vertAlign w:val="baseline"/>
      <w:lang w:val="en-US"/>
    </w:rPr>
  </w:style>
  <w:style w:type="character" w:styleId="BalloonTextChar" w:customStyle="1">
    <w:name w:val="Balloon Text Char"/>
    <w:basedOn w:val="DefaultParagraphFont"/>
    <w:qFormat/>
    <w:rPr>
      <w:rFonts w:ascii="Tahoma" w:hAnsi="Tahoma" w:eastAsia="Tahoma" w:cs="Tahoma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position w:val="0"/>
      <w:sz w:val="16"/>
      <w:sz w:val="16"/>
      <w:szCs w:val="16"/>
      <w:u w:val="none" w:color="FFFFFF"/>
      <w:shd w:fill="auto" w:val="clear"/>
      <w:vertAlign w:val="baseline"/>
      <w:lang w:val="en-US"/>
    </w:rPr>
  </w:style>
  <w:style w:type="character" w:styleId="InternetLink">
    <w:name w:val="Hyperlink"/>
    <w:basedOn w:val="DefaultParagraphFont"/>
    <w:rPr>
      <w:rFonts w:ascii="Arial" w:hAnsi="Arial" w:eastAsia="Arial" w:cs="Times New Roman"/>
      <w:b w:val="false"/>
      <w:i w:val="false"/>
      <w:caps w:val="false"/>
      <w:smallCaps w:val="false"/>
      <w:strike w:val="false"/>
      <w:dstrike w:val="false"/>
      <w:vanish w:val="false"/>
      <w:color w:val="0000FF"/>
      <w:spacing w:val="0"/>
      <w:w w:val="100"/>
      <w:kern w:val="2"/>
      <w:position w:val="0"/>
      <w:sz w:val="22"/>
      <w:sz w:val="22"/>
      <w:szCs w:val="22"/>
      <w:u w:val="single" w:color="FFFFFF"/>
      <w:shd w:fill="auto" w:val="clear"/>
      <w:vertAlign w:val="baseline"/>
      <w:lang w:val="en-US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sz w:val="24"/>
      <w:szCs w:val="24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solid" w:color="F2F2F2"/>
      </w:tcPr>
    </w:tblStylePr>
    <w:tblStylePr w:type="band1Horz">
      <w:tblPr/>
      <w:tcPr>
        <w:shd w:val="solid" w:color="F2F2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jwal.koirala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LibreOffice/7.2.5.2$Windows_X86_64 LibreOffice_project/499f9727c189e6ef3471021d6132d4c694f357e5</Application>
  <AppVersion>15.0000</AppVersion>
  <Pages>1</Pages>
  <Words>482</Words>
  <Characters>3089</Characters>
  <CharactersWithSpaces>3555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2020-11-09T04:03:00Z</dcterms:created>
  <dc:creator/>
  <dc:description/>
  <dc:language>en-US</dc:language>
  <cp:lastModifiedBy/>
  <dcterms:modified xsi:type="dcterms:W3CDTF">2022-02-12T16:48:18Z</dcterms:modified>
  <cp:revision>33</cp:revision>
  <dc:subject/>
  <dc:title>john smith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