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Williams</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Lachlan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Dynes Eco Build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Dynes</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Chris</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Shepherd</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Matthew</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11:30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CPCCOM1012 - Work effectively and sustainably in the construction industry</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CPCCOM1014 - Conduct workplace communication</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CPCCWHS2001 - Apply WHS requirements, policies and procedures in the construction industry</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CPCWHS3001 - Identify construction work hazards and select risk control strategies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Chris Dynes</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Lachlan Williams</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Matthew Shepherd</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Matthew Shepherd</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Dynes Eco Build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Chris Dynes</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11:30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CPCCOM1012 - Work effectively and sustainably in the construction industry</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CPCCOM1014 - Conduct workplace communication</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CPCCWHS2001 - Apply WHS requirements, policies and procedures in the construction industry</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CPCWHS3001 - Identify construction work hazards and select risk control strategies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Work effectively and sustainably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Conduct workplace communication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Apply WHS requirements, policies and procedures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Identify work hazard/Risk control strategies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Lachlan Williams</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11:30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