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Hogan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Riley</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Seidler Group</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Matos</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Marco</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CPCCCA3003 - Install flooring systems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CPCCCA3001 - Carry out general demolition of minor building structures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CPCCCA3004 - Construct and erect wall frames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CPCCCA3012 - Frame and fit wet area fixtures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CPCCCA3014 - Construct and install bulkheads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Marco Matos</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Riley Hogan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Seidler Group</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Marco Matos</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CPCCCA3003 - Install flooring systems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CPCCCA3001 - Carry out general demolition of minor building structures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CPCCCA3004 - Construct and erect wall frames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CPCCCA3012 - Frame and fit wet area fixtures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CPCCCA3014 - Construct and install bulkheads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Install flooring system</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General demolition</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&amp; erect wall frame</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Frame and Fit Wet Area</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Construct and install bulkheads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Riley Hogan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