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ns0:document xmlns:ns0="http://schemas.openxmlformats.org/wordprocessingml/2006/main">
  <ns0:body>
    <ns0:p>
      <ns0:pPr>
        <ns0:pStyle ns0:val="PartLabel"/>
        <ns0:jc ns0:val="center"/>
        <ns0:spacing ns0:after="100"/>
        <ns0:keepNext/>
      </ns0:pPr>
      <ns0:r>
        <ns0:t>Part I — Development History and Retrospective Reproducibility Audit (Archive-Only Closeout)</ns0:t>
      </ns0:r>
    </ns0:p>
    <ns0:p>
      <ns0:pPr>
        <ns0:pStyle ns0:val="DocTitle"/>
        <ns0:jc ns0:val="center"/>
        <ns0:spacing ns0:after="80"/>
        <ns0:keepNext/>
      </ns0:pPr>
      <ns0:r>
        <ns0:t>How Demand Zone AI Evolved—and Why Its Scores Needed an Audit</ns0:t>
      </ns0:r>
    </ns0:p>
    <ns0:p>
      <ns0:pPr>
        <ns0:pStyle ns0:val="DocSubtitle"/>
        <ns0:jc ns0:val="center"/>
        <ns0:spacing ns0:after="180"/>
        <ns0:keepNext/>
      </ns0:pPr>
      <ns0:r>
        <ns0:t>A Retrospective Development Audit and Reproducibility Study of an AI-Based Market-Structure/Demand-Zone System</ns0:t>
      </ns0:r>
    </ns0:p>
    <ns0:p>
      <ns0:pPr>
        <ns0:pStyle ns0:val="Callout"/>
        <ns0:ind ns0:left="220"/>
        <ns0:spacing ns0:before="70" ns0:after="110"/>
        <ns0:keepLines/>
        <ns0:shd ns0:fill="F3F7F7" ns0:val="clear"/>
        <ns0:pBdr>
          <ns0:left ns0:val="single" ns0:sz="20" ns0:space="8" ns0:color="2C7A7B"/>
        </ns0:pBdr>
      </ns0:pPr>
      <ns0:r>
        <ns0:t>Companion document:</ns0:t>
      </ns0:r>
      <ns0:r>
        <ns0:t xml:space="preserve"> Market_Structure_Experiment_Protocol.docx summarizes the frozen machine-readable v1.0.2 protocol and separates it from the immutable v1.0.1 historical results archive. This development record preserves the project chronology and reported legacy metrics, then records the bounded Plan B archive-only audit. Saved-score point metrics and retained-output integrity were checked; the original feature/model-generation pipeline was not reproduced. No v1.0.2 run or prospective evaluation is claimed.</ns0:t>
      </ns0:r>
    </ns0:p>
    <ns0:p>
      <ns0:pPr>
        <ns0:pStyle ns0:val="BodyText"/>
        <ns0:spacing ns0:after="90"/>
        <ns0:keepLines/>
      </ns0:pPr>
      <ns0:r>
        <ns0:rPr>
          <ns0:b/>
        </ns0:rPr>
        <ns0:t>Author:</ns0:t>
      </ns0:r>
      <ns0:r>
        <ns0:t xml:space="preserve"> Not available in the archived project materials. </ns0:t>
      </ns0:r>
      <ns0:r>
        <ns0:rPr>
          <ns0:b/>
        </ns0:rPr>
        <ns0:t>Affiliation:</ns0:t>
      </ns0:r>
      <ns0:r>
        <ns0:t xml:space="preserve"> Not available in the archived project materials. </ns0:t>
      </ns0:r>
      <ns0:r>
        <ns0:rPr>
          <ns0:b/>
        </ns0:rPr>
        <ns0:t>Draft date:</ns0:t>
      </ns0:r>
      <ns0:r>
        <ns0:t xml:space="preserve"> September 29, 2026. </ns0:t>
      </ns0:r>
      <ns0:r>
        <ns0:rPr>
          <ns0:b/>
        </ns0:rPr>
        <ns0:t>Status:</ns0:t>
      </ns0:r>
      <ns0:r>
        <ns0:t xml:space="preserve"> Retrospective development and audit source record; Plan B archive-only closeout complete; exact historical source/feature parity unavailable; no prospective lock or results.</ns0:t>
      </ns0:r>
    </ns0:p>
    <ns0:p>
      <ns0:pPr>
        <ns0:pStyle ns0:val="Callout"/>
        <ns0:ind ns0:left="220"/>
        <ns0:spacing ns0:before="70" ns0:after="110"/>
        <ns0:keepLines/>
        <ns0:shd ns0:fill="F3F7F7" ns0:val="clear"/>
        <ns0:pBdr>
          <ns0:left ns0:val="single" ns0:sz="20" ns0:space="8" ns0:color="2C7A7B"/>
        </ns0:pBdr>
      </ns0:pPr>
      <ns0:r>
        <ns0:t>Research-integrity note.</ns0:t>
      </ns0:r>
      <ns0:r>
        <ns0:t xml:space="preserve"> The v1.0.1 run manifest records source-code SHA-256 29885c5f14235e78349b728156e18feba930f3ee533565ea36a05f695692424b and historical protocol SHA-256 486f46f85c4874405716a7c9424dc7060b5f65b27426e92670f0585247dfec07; the exact Python source matching the code hash is not available. The finite Plan B read-only audit verified the immutable archive's 153 source CSV hashes, two primary result-table hashes, eight model hashes, OOF/event-table identity, labels/dates, and pooled/fold point metrics recalculated from saved OOF scores. This establishes retained-output integrity and arithmetic on stored predictions—not historical event/feature generation or model-training reproduction. Source-prefix comparisons matched event count and ordered event IDs but failed feature parity; a scoped AAL check found 480/480 aligned rows differed on each of rsi14, atr_pct, and zone_width_pct. The older Python 3.13 bytecode used in a separate bounded replay was explicitly unreviewed; its recorded SHA-256 c7d23b68e66d76f1f851887bc755b84b6bb1c8c424c24cccc8bf94de59d8f585 is not the current cache SHA-256 ee9017b7cf354931d638cb83bdc276c341bad9e90278addcdeec9ba60b4a7ed6 because later py_compile syntax validation overwrote it. No matching copy was found. The current reconstructed bootstrap helper did not reproduce any of the seven archive-reported interval bounds in a prior full check; the root cause is unknown. Under the finite Plan B, recovery/replay is closed; no further search/replay, canonical rerun, new study, or prospective artifact was made. The frozen v1.0.2 protocol is distinct from the v1.0.1 archive. There is no prospective lock, prediction, or outcome. This is an educational research project, not investment advice.</ns0:t>
      </ns0:r>
    </ns0:p>
    <ns0:p>
      <ns0:pPr>
        <ns0:pStyle ns0:val="Heading1"/>
        <ns0:spacing ns0:before="300" ns0:after="100"/>
        <ns0:keepNext/>
        <ns0:keepLines/>
      </ns0:pPr>
      <ns0:r>
        <ns0:t>Abstract</ns0:t>
      </ns0:r>
    </ns0:p>
    <ns0:p>
      <ns0:pPr>
        <ns0:pStyle ns0:val="BodyText"/>
        <ns0:spacing ns0:after="90"/>
        <ns0:keepLines/>
      </ns0:pPr>
      <ns0:r>
        <ns0:t>Demand Zone AI evolved iteratively from a rule-based demand-zone detector into a multi-version short-horizon equity-prediction pipeline. This retrospective development audit asks what the project reported, what its source and retained artifacts support, and what could be reproduced. The source and metadata document changes from the V1–V7 model lineage and the separate V10–V13 dataset-engineering lineage, with materially different barrier, next-open, benchmark-relative, same-day, magnitude, and proxy targets. Their AUCs are historical project-reported values, not a matched performance curve. The immutable v1.0.1 archive contains 61,045 labeled candidate events and 41,221 saved out-of-fold predictions. A bounded read-only audit verified retained-file hashes and event/OOF/label consistency, and independently recalculated pooled and fold point metrics from saved scores. It did not regenerate historical features or reproduce the original source/model fitting: the exact source is unavailable and feature parity failed. The archived bootstrap intervals remain report/manifest values only. The frozen v1.0.2 JSON is a separate protocol, not an executed run; there are zero prospective predictions or outcomes. The archive cannot establish that demand-zone features improve performance, that the system generalizes prospectively, or that it is profitable.</ns0:t>
      </ns0:r>
    </ns0:p>
    <ns0:p>
      <ns0:pPr>
        <ns0:pStyle ns0:val="Heading1"/>
        <ns0:spacing ns0:before="300" ns0:after="100"/>
        <ns0:keepNext/>
        <ns0:keepLines/>
      </ns0:pPr>
      <ns0:r>
        <ns0:t>1. Introduction</ns0:t>
      </ns0:r>
    </ns0:p>
    <ns0:p>
      <ns0:pPr>
        <ns0:pStyle ns0:val="BodyText"/>
        <ns0:spacing ns0:after="90"/>
        <ns0:keepLines/>
      </ns0:pPr>
      <ns0:r>
        <ns0:t>Short-horizon equity prediction is difficult. Daily returns are noisy, relationships change across market conditions, and a model can appear successful when its training pipeline accidentally exposes information that would not have been known when a real prediction was made. These difficulties are especially relevant when testing technical and market-structure features: the signals may be useful, but complicated historical features and flexible model searches also create many opportunities for accidental look-ahead or data mining.</ns0:t>
      </ns0:r>
    </ns0:p>
    <ns0:p>
      <ns0:pPr>
        <ns0:pStyle ns0:val="BodyText"/>
        <ns0:spacing ns0:after="90"/>
        <ns0:keepLines/>
      </ns0:pPr>
      <ns0:r>
        <ns0:t>Demand Zone AI began as a software project to identify potential demand zones—historical price areas treated by the system as possible support—and display related technical indicators and trade simulations. The project subsequently grew into a pipeline for generating features, defining forward labels, training machine-learning models, comparing versions, and presenting per-ticker analysis in a web application. The evolution was not a single linear sequence: dataset versions (including V10–V13 scripts), training-model versions (V1–V7), and product releases refer to different parts of the system.</ns0:t>
      </ns0:r>
    </ns0:p>
    <ns0:p>
      <ns0:pPr>
        <ns0:pStyle ns0:val="BodyText"/>
        <ns0:spacing ns0:after="90"/>
        <ns0:keepLines/>
      </ns0:pPr>
      <ns0:r>
        <ns0:t>The paper therefore treats the project as an evolving research pipeline rather than as a finished stock-prediction product. Its purpose is to reconstruct what can be established from available artifacts, describe how the research question and measurement choices changed, and distinguish reproducible code-level observations from reported metrics, code comments, and user recollections. The central narrative is not “each version predicted better,” but “each version changed the model or the question—and the evidence needed to judge it.” A sophisticated model can produce convincing retrospective scores even when the experimental setup is flawed; this project’s audit makes that risk concrete without asserting that all apparent skill was leakage.</ns0:t>
      </ns0:r>
    </ns0:p>
    <ns0:p>
      <ns0:pPr>
        <ns0:pStyle ns0:val="Heading2"/>
        <ns0:spacing ns0:before="220" ns0:after="100"/>
        <ns0:keepNext/>
        <ns0:keepLines/>
      </ns0:pPr>
      <ns0:r>
        <ns0:t>1.1 Research questions</ns0:t>
      </ns0:r>
    </ns0:p>
    <ns0:p>
      <ns0:pPr>
        <ns0:pStyle ns0:val="BodyText"/>
        <ns0:spacing ns0:after="90"/>
        <ns0:keepLines/>
      </ns0:pPr>
      <ns0:r>
        <ns0:t>The project’s overarching question is:</ns0:t>
      </ns0:r>
    </ns0:p>
    <ns0:p>
      <ns0:pPr>
        <ns0:pStyle ns0:val="Callout"/>
        <ns0:ind ns0:left="220"/>
        <ns0:spacing ns0:before="70" ns0:after="110"/>
        <ns0:keepLines/>
        <ns0:shd ns0:fill="F3F7F7" ns0:val="clear"/>
        <ns0:pBdr>
          <ns0:left ns0:val="single" ns0:sz="20" ns0:space="8" ns0:color="2C7A7B"/>
        </ns0:pBdr>
      </ns0:pPr>
      <ns0:r>
        <ns0:rPr>
          <ns0:b/>
        </ns0:rPr>
        <ns0:t>Can machine-learning models provide reliable predictive information about short-horizon equity movements when evaluated under strict, leakage-aware temporal validation?</ns0:t>
      </ns0:r>
    </ns0:p>
    <ns0:p>
      <ns0:pPr>
        <ns0:pStyle ns0:val="BodyText"/>
        <ns0:spacing ns0:after="90"/>
        <ns0:keepLines/>
      </ns0:pPr>
      <ns0:r>
        <ns0:t>The market-structure question is:</ns0:t>
      </ns0:r>
    </ns0:p>
    <ns0:p>
      <ns0:pPr>
        <ns0:pStyle ns0:val="Callout"/>
        <ns0:ind ns0:left="220"/>
        <ns0:spacing ns0:before="70" ns0:after="110"/>
        <ns0:keepLines/>
        <ns0:shd ns0:fill="F3F7F7" ns0:val="clear"/>
        <ns0:pBdr>
          <ns0:left ns0:val="single" ns0:sz="20" ns0:space="8" ns0:color="2C7A7B"/>
        </ns0:pBdr>
      </ns0:pPr>
      <ns0:r>
        <ns0:rPr>
          <ns0:b/>
        </ns0:rPr>
        <ns0:t>How effective is machine-learning prediction for short-horizon equity outcomes, and do demand-zone and related market-structure features provide additional predictive information beyond conventional price, momentum, volume, volatility, and market-context features?</ns0:t>
      </ns0:r>
    </ns0:p>
    <ns0:p>
      <ns0:pPr>
        <ns0:pStyle ns0:val="BodyText"/>
        <ns0:spacing ns0:after="90"/>
        <ns0:keepLines/>
      </ns0:pPr>
      <ns0:r>
        <ns0:t>Part I adds two retrospective questions:</ns0:t>
      </ns0:r>
    </ns0:p>
    <ns0:p>
      <ns0:pPr>
        <ns0:pStyle ns0:val="Callout"/>
        <ns0:ind ns0:left="220"/>
        <ns0:spacing ns0:before="70" ns0:after="110"/>
        <ns0:keepLines/>
        <ns0:shd ns0:fill="F3F7F7" ns0:val="clear"/>
        <ns0:pBdr>
          <ns0:left ns0:val="single" ns0:sz="20" ns0:space="8" ns0:color="2C7A7B"/>
        </ns0:pBdr>
      </ns0:pPr>
      <ns0:r>
        <ns0:rPr>
          <ns0:b/>
        </ns0:rPr>
        <ns0:t>What did each model iteration actually improve, and what did it introduce or fail to solve?</ns0:t>
      </ns0:r>
    </ns0:p>
    <ns0:p>
      <ns0:pPr>
        <ns0:pStyle ns0:val="Callout"/>
        <ns0:ind ns0:left="220"/>
        <ns0:spacing ns0:before="70" ns0:after="110"/>
        <ns0:keepLines/>
        <ns0:shd ns0:fill="F3F7F7" ns0:val="clear"/>
        <ns0:pBdr>
          <ns0:left ns0:val="single" ns0:sz="20" ns0:space="8" ns0:color="2C7A7B"/>
        </ns0:pBdr>
      </ns0:pPr>
      <ns0:r>
        <ns0:rPr>
          <ns0:b/>
        </ns0:rPr>
        <ns0:t>What limitations become apparent when machine learning is applied to this short-horizon financial-prediction pipeline—and which of those can be supported by evidence in the repository?</ns0:t>
      </ns0:r>
    </ns0:p>
    <ns0:p>
      <ns0:pPr>
        <ns0:pStyle ns0:val="BodyText"/>
        <ns0:spacing ns0:after="90"/>
        <ns0:keepLines/>
      </ns0:pPr>
      <ns0:r>
        <ns0:t>A broader interpretive question motivates the combined project:</ns0:t>
      </ns0:r>
    </ns0:p>
    <ns0:p>
      <ns0:pPr>
        <ns0:pStyle ns0:val="Callout"/>
        <ns0:ind ns0:left="220"/>
        <ns0:spacing ns0:before="70" ns0:after="110"/>
        <ns0:keepLines/>
        <ns0:shd ns0:fill="F3F7F7" ns0:val="clear"/>
        <ns0:pBdr>
          <ns0:left ns0:val="single" ns0:sz="20" ns0:space="8" ns0:color="2C7A7B"/>
        </ns0:pBdr>
      </ns0:pPr>
      <ns0:r>
        <ns0:rPr>
          <ns0:b/>
        </ns0:rPr>
        <ns0:t>How much of apparent success in financial machine learning reflects genuine predictive information, and how much may reflect model complexity, experimental choices, or information leakage?</ns0:t>
      </ns0:r>
    </ns0:p>
    <ns0:p>
      <ns0:pPr>
        <ns0:pStyle ns0:val="BodyText"/>
        <ns0:spacing ns0:after="90"/>
        <ns0:keepLines/>
      </ns0:pPr>
      <ns0:r>
        <ns0:t>The broader question of how much apparent financial-ML performance reflects genuine information, model complexity, experimental choices, or leakage is not estimated here. The older versions were not reproduced on one matched target, event set, feature matrix, fold schedule, and selection budget, so no numeric leakage share can be inferred. Part I reconstructs the documented development history and reports the bounded archive-only audit. The frozen v1.0.2 protocol and separate immutable v1.0.1 archive are described distinctly; source recovery, staged correction replay, a canonical v1.0.2 run, and prospective testing were not completed. Any future study requires separate review and explicit authorization.</ns0:t>
      </ns0:r>
    </ns0:p>
    <ns0:p>
      <ns0:pPr>
        <ns0:pStyle ns0:val="BodyText"/>
        <ns0:spacing ns0:after="90"/>
        <ns0:keepLines/>
      </ns0:pPr>
      <ns0:r>
        <ns0:t>The evidence supports a retrospective audit, not a confirmatory performance claim. The v1.0.1 saved-score point metrics recalculate and match the archive report, but exact historical source recovery failed and reconstructed feature parity failed. The archived LightGBM C−B point AUC difference cannot be confidently attributed to intended market-structure features; interval bounds remain archive-reported only. There is no prospective evidence.</ns0:t>
      </ns0:r>
    </ns0:p>
    <ns0:p>
      <ns0:pPr>
        <ns0:pStyle ns0:val="Heading2"/>
        <ns0:spacing ns0:before="220" ns0:after="100"/>
        <ns0:keepNext/>
        <ns0:keepLines/>
      </ns0:pPr>
      <ns0:r>
        <ns0:t>1.2 What this case can say about limitations of machine learning</ns0:t>
      </ns0:r>
    </ns0:p>
    <ns0:p>
      <ns0:pPr>
        <ns0:pStyle ns0:val="BodyText"/>
        <ns0:spacing ns0:after="90"/>
        <ns0:keepLines/>
      </ns0:pPr>
      <ns0:r>
        <ns0:t>This is not a general survey of “AI limitations.” It is a case study of limitations that become visible in one financial-prediction project: future information can enter features; labels and features can become entangled; repeated model or feature selection can compromise validation; financial relationships may vary over time; historical universes and data-vendor conventions constrain generalization; ranking metrics are not probabilities or trading returns; and heuristic proxy labels may not measure their namesake outcomes. Some are specific code-level concerns identified in the audit; others are important domain limitations that the available data do not resolve or quantify. The strongest supported lesson is that a sophisticated model can look convincing while the experiment is not yet trustworthy.</ns0:t>
      </ns0:r>
    </ns0:p>
    <ns0:p>
      <ns0:pPr>
        <ns0:pStyle ns0:val="Heading2"/>
        <ns0:spacing ns0:before="220" ns0:after="100"/>
        <ns0:keepNext/>
        <ns0:keepLines/>
      </ns0:pPr>
      <ns0:r>
        <ns0:t>1.3 Contributions and scope</ns0:t>
      </ns0:r>
    </ns0:p>
    <ns0:p>
      <ns0:pPr>
        <ns0:pStyle ns0:val="BodyText"/>
        <ns0:spacing ns0:after="90"/>
        <ns0:keepLines/>
      </ns0:pPr>
      <ns0:r>
        <ns0:t>This draft makes four limited contributions:</ns0:t>
      </ns0:r>
    </ns0:p>
    <ns0:p>
      <ns0:pPr>
        <ns0:pStyle ns0:val="ListText"/>
        <ns0:ind ns0:left="360"/>
        <ns0:spacing ns0:after="50"/>
        <ns0:keepLines/>
      </ns0:pPr>
      <ns0:r>
        <ns0:rPr>
          <ns0:color ns0:val="2C7A7B"/>
        </ns0:rPr>
        <ns0:t xml:space="preserve">1. </ns0:t>
      </ns0:r>
      <ns0:r>
        <ns0:t>It documents the project’s visible technical progression from a rule-based zone prototype through V1–V7 model iterations and later dataset-generation changes.</ns0:t>
      </ns0:r>
    </ns0:p>
    <ns0:p>
      <ns0:pPr>
        <ns0:pStyle ns0:val="ListText"/>
        <ns0:ind ns0:left="360"/>
        <ns0:spacing ns0:after="50"/>
        <ns0:keepLines/>
      </ns0:pPr>
      <ns0:r>
        <ns0:rPr>
          <ns0:color ns0:val="2C7A7B"/>
        </ns0:rPr>
        <ns0:t xml:space="preserve">2. </ns0:t>
      </ns0:r>
      <ns0:r>
        <ns0:t>It interprets each major model transition in terms of its intended change, reported metric, actual methodological improvement, newly exposed or unresolved risk, and lesson learned.</ns0:t>
      </ns0:r>
    </ns0:p>
    <ns0:p>
      <ns0:pPr>
        <ns0:pStyle ns0:val="ListText"/>
        <ns0:ind ns0:left="360"/>
        <ns0:spacing ns0:after="50"/>
        <ns0:keepLines/>
      </ns0:pPr>
      <ns0:r>
        <ns0:rPr>
          <ns0:color ns0:val="2C7A7B"/>
        </ns0:rPr>
        <ns0:t xml:space="preserve">3. </ns0:t>
      </ns0:r>
      <ns0:r>
        <ns0:t>It organizes the application-specific limitations of short-horizon financial ML by their evidence status rather than presenting them as generic claims about AI.</ns0:t>
      </ns0:r>
    </ns0:p>
    <ns0:p>
      <ns0:pPr>
        <ns0:pStyle ns0:val="ListText"/>
        <ns0:ind ns0:left="360"/>
        <ns0:spacing ns0:after="50"/>
        <ns0:keepLines/>
      </ns0:pPr>
      <ns0:r>
        <ns0:rPr>
          <ns0:color ns0:val="2C7A7B"/>
        </ns0:rPr>
        <ns0:t xml:space="preserve">4. </ns0:t>
      </ns0:r>
      <ns0:r>
        <ns0:t>It identifies concrete source paths and design decisions that require a matched replay or new leakage-aware experiment before any performance claim is reliable.</ns0:t>
      </ns0:r>
    </ns0:p>
    <ns0:p>
      <ns0:pPr>
        <ns0:pStyle ns0:val="BodyText"/>
        <ns0:spacing ns0:after="90"/>
        <ns0:keepLines/>
      </ns0:pPr>
      <ns0:r>
        <ns0:t>The work does not establish that demand zones predict returns, that any model is profitable, or that a displayed probability is calibrated. The current web application is a software deployment, not a prospective scientific evaluation: the inspected repository does not contain a complete immutable ledger of predictions frozen before their outcomes became known.</ns0:t>
      </ns0:r>
    </ns0:p>
    <ns0:p>
      <ns0:pPr>
        <ns0:pStyle ns0:val="Heading1"/>
        <ns0:spacing ns0:before="300" ns0:after="100"/>
        <ns0:keepNext/>
        <ns0:keepLines/>
      </ns0:pPr>
      <ns0:r>
        <ns0:t>2. Related work</ns0:t>
      </ns0:r>
    </ns0:p>
    <ns0:p>
      <ns0:pPr>
        <ns0:pStyle ns0:val="BodyText"/>
        <ns0:spacing ns0:after="90"/>
        <ns0:keepLines/>
      </ns0:pPr>
      <ns0:r>
        <ns0:t>Machine learning has been applied to empirical asset-pricing problems using large sets of firm characteristics and nonlinear prediction methods. Gu, Kelly, and Xiu compare machine-learning approaches for measuring risk premia and emphasize model comparison in a financial setting [1]. Their work is related in its use of flexible models and heterogeneous features, but the present project is narrower: it studies selected short-horizon labels associated with demand-zone observations, not a broad asset-pricing framework.</ns0:t>
      </ns0:r>
    </ns0:p>
    <ns0:p>
      <ns0:pPr>
        <ns0:pStyle ns0:val="BodyText"/>
        <ns0:spacing ns0:after="90"/>
        <ns0:keepLines/>
      </ns0:pPr>
      <ns0:r>
        <ns0:t>Financial research also faces data-snooping and multiple-testing problems. Sullivan, Timmermann, and White evaluate technical trading rules while accounting for the search over many candidate rules [2]. Harvey, Liu, and Zhu discuss the multiple-testing burden created by a large literature of proposed return predictors [3]. Bailey and coauthors develop a framework for estimating the probability of backtest overfitting [4]. These concerns directly motivate a versioned experiment log, a frozen final test period, and restraint when interpreting the best result among many model/target/feature combinations.</ns0:t>
      </ns0:r>
    </ns0:p>
    <ns0:p>
      <ns0:pPr>
        <ns0:pStyle ns0:val="BodyText"/>
        <ns0:spacing ns0:after="90"/>
        <ns0:keepLines/>
      </ns0:pPr>
      <ns0:r>
        <ns0:t>The project’s chronology is conceptually appropriate because observations in financial time series are not exchangeable in the same way as randomly sampled independent examples. Training on earlier dates and evaluating on later dates better matches the intended forecasting task. Chronological splitting alone is not sufficient, however: every feature must be computed from information available by its signal timestamp; fitted transformations and target-derived aggregates must also be restricted to the training history; repeated model selection can still overfit the validation periods.</ns0:t>
      </ns0:r>
    </ns0:p>
    <ns0:p>
      <ns0:pPr>
        <ns0:pStyle ns0:val="Heading1"/>
        <ns0:spacing ns0:before="300" ns0:after="100"/>
        <ns0:keepNext/>
        <ns0:keepLines/>
      </ns0:pPr>
      <ns0:r>
        <ns0:t>3. Data and outcome definitions</ns0:t>
      </ns0:r>
    </ns0:p>
    <ns0:p>
      <ns0:pPr>
        <ns0:pStyle ns0:val="Heading2"/>
        <ns0:spacing ns0:before="220" ns0:after="100"/>
        <ns0:keepNext/>
        <ns0:keepLines/>
      </ns0:pPr>
      <ns0:r>
        <ns0:t>3.1 Dataset evidence available</ns0:t>
      </ns0:r>
    </ns0:p>
    <ns0:p>
      <ns0:pPr>
        <ns0:pStyle ns0:val="BodyText"/>
        <ns0:spacing ns0:after="90"/>
        <ns0:keepLines/>
      </ns0:pPr>
      <ns0:r>
        <ns0:t xml:space="preserve">The saved V2 evaluation report identifies a dataset of </ns0:t>
      </ns0:r>
      <ns0:r>
        <ns0:rPr>
          <ns0:b/>
        </ns0:rPr>
        <ns0:t>44,854 rows</ns0:t>
      </ns0:r>
      <ns0:r>
        <ns0:t xml:space="preserve">, </ns0:t>
      </ns0:r>
      <ns0:r>
        <ns0:rPr>
          <ns0:b/>
        </ns0:rPr>
        <ns0:t>149 tickers</ns0:t>
      </ns0:r>
      <ns0:r>
        <ns0:t xml:space="preserve">, and dates from </ns0:t>
      </ns0:r>
      <ns0:r>
        <ns0:rPr>
          <ns0:b/>
        </ns0:rPr>
        <ns0:t>August 3, 2021 to June 24, 2026</ns0:t>
      </ns0:r>
      <ns0:r>
        <ns0:t xml:space="preserve">. The V2 and V5 dataset-building scripts use daily OHLCV histories and retrieve data through </ns0:t>
      </ns0:r>
      <ns0:r>
        <ns0:rPr>
          <ns0:rFonts ns0:ascii="Consolas" ns0:hAnsi="Consolas"/>
          <ns0:shd ns0:fill="F1F3F5" ns0:val="clear"/>
          <ns0:sz ns0:val="18"/>
        </ns0:rPr>
        <ns0:t>yfinance</ns0:t>
      </ns0:r>
      <ns0:r>
        <ns0:t>; V2 also builds benchmark and sector context from instruments including SPY, QQQ, IWM, VIX, and sector ETFs. The report does not provide a complete frozen security-universe manifest, survivorship-bias treatment, or a precise data-vendor snapshot.</ns0:t>
      </ns0:r>
    </ns0:p>
    <ns0:p>
      <ns0:pPr>
        <ns0:pStyle ns0:val="BodyText"/>
        <ns0:spacing ns0:after="90"/>
        <ns0:keepLines/>
      </ns0:pPr>
      <ns0:r>
        <ns0:t xml:space="preserve">The V2 report describes the primary target as </ns0:t>
      </ns0:r>
      <ns0:r>
        <ns0:rPr>
          <ns0:rFonts ns0:ascii="Consolas" ns0:hAnsi="Consolas"/>
          <ns0:shd ns0:fill="F1F3F5" ns0:val="clear"/>
          <ns0:sz ns0:val="18"/>
        </ns0:rPr>
        <ns0:t>hold1_2pct</ns0:t>
      </ns0:r>
      <ns0:r>
        <ns0:t xml:space="preserve"> and phrases it as a return above 2%. The inspected hold-1 target builder uses an inclusive threshold, so the proposed executable label is positive when buying at the next session’s open and selling at the following session’s open yields a return of at least 2%. Whether that exact code produced the saved V2 labels must be verified before the historical metric is tied to this boundary convention. In notation, for signal date </ns0:t>
      </ns0:r>
      <ns0:r>
        <ns0:rPr>
          <ns0:i/>
        </ns0:rPr>
        <ns0:t>t</ns0:t>
      </ns0:r>
      <ns0:r>
        <ns0:t>:</ns0:t>
      </ns0:r>
    </ns0:p>
    <ns0:p>
      <ns0:pPr>
        <ns0:pStyle ns0:val="Equation"/>
        <ns0:jc ns0:val="center"/>
        <ns0:spacing ns0:before="100" ns0:after="120"/>
        <ns0:keepLines/>
        <ns0:shd ns0:fill="F4F7FA" ns0:val="clear"/>
      </ns0:pPr>
      <ns0:r>
        <ns0:rPr>
          <ns0:i/>
          <ns0:color ns0:val="203864"/>
          <ns0:sz ns0:val="22"/>
        </ns0:rPr>
        <ns0:t xml:space="preserve">R_(t+1,t+2) = O_(t+2) / O_(t+1) - 1,      Y_t = 1[R_(t+1,t+2) ≥ 0.02].</ns0:t>
      </ns0:r>
    </ns0:p>
    <ns0:p>
      <ns0:pPr>
        <ns0:pStyle ns0:val="BodyText"/>
        <ns0:spacing ns0:after="90"/>
        <ns0:keepLines/>
      </ns0:pPr>
      <ns0:r>
        <ns0:t xml:space="preserve">Here, the signal is formed using information through date </ns0:t>
      </ns0:r>
      <ns0:r>
        <ns0:rPr>
          <ns0:i/>
        </ns0:rPr>
        <ns0:t>t</ns0:t>
      </ns0:r>
      <ns0:r>
        <ns0:t xml:space="preserve">, the entry is the open of </ns0:t>
      </ns0:r>
      <ns0:r>
        <ns0:rPr>
          <ns0:i/>
        </ns0:rPr>
        <ns0:t>t+1</ns0:t>
      </ns0:r>
      <ns0:r>
        <ns0:t xml:space="preserve">, and the exit is the open of </ns0:t>
      </ns0:r>
      <ns0:r>
        <ns0:rPr>
          <ns0:i/>
        </ns0:rPr>
        <ns0:t>t+2</ns0:t>
      </ns0:r>
      <ns0:r>
        <ns0:t>. This executable-style definition is more precise than labeling a sample successful because its future intraday high crossed a profit threshold.</ns0:t>
      </ns0:r>
    </ns0:p>
    <ns0:p>
      <ns0:pPr>
        <ns0:pStyle ns0:val="BodyText"/>
        <ns0:spacing ns0:after="90"/>
        <ns0:keepLines/>
      </ns0:pPr>
      <ns0:r>
        <ns0:t xml:space="preserve">The repository’s earlier dataset-generation code describes another target family: a zone-touch entry followed by a simulated 20-trading-day holding period with a +15% target and a -5% stop. That historical simulation tracks future highs and lows to determine whether barriers were touched. These labels are not interchangeable with </ns0:t>
      </ns0:r>
      <ns0:r>
        <ns0:rPr>
          <ns0:rFonts ns0:ascii="Consolas" ns0:hAnsi="Consolas"/>
          <ns0:shd ns0:fill="F1F3F5" ns0:val="clear"/>
          <ns0:sz ns0:val="18"/>
        </ns0:rPr>
        <ns0:t>hold1_2pct</ns0:t>
      </ns0:r>
      <ns0:r>
        <ns0:t>; they represent different entry assumptions, horizons, and outcome rules.</ns0:t>
      </ns0:r>
    </ns0:p>
    <ns0:p>
      <ns0:pPr>
        <ns0:pStyle ns0:val="Heading2"/>
        <ns0:spacing ns0:before="220" ns0:after="100"/>
        <ns0:keepNext/>
        <ns0:keepLines/>
      </ns0:pPr>
      <ns0:r>
        <ns0:t>3.2 Feature groups</ns0:t>
      </ns0:r>
    </ns0:p>
    <ns0:p>
      <ns0:pPr>
        <ns0:pStyle ns0:val="BodyText"/>
        <ns0:spacing ns0:after="90"/>
        <ns0:keepLines/>
      </ns0:pPr>
      <ns0:r>
        <ns0:t>Across the dataset-building scripts and model metadata, feature groups include:</ns0:t>
      </ns0:r>
    </ns0:p>
    <ns0:p>
      <ns0:pPr>
        <ns0:pStyle ns0:val="ListText"/>
        <ns0:ind ns0:left="360"/>
        <ns0:spacing ns0:after="50"/>
        <ns0:keepLines/>
      </ns0:pPr>
      <ns0:r>
        <ns0:rPr>
          <ns0:b/>
          <ns0:color ns0:val="2C7A7B"/>
        </ns0:rPr>
        <ns0:t xml:space="preserve">• </ns0:t>
      </ns0:r>
      <ns0:r>
        <ns0:rPr>
          <ns0:b/>
        </ns0:rPr>
        <ns0:t>Price and trend:</ns0:t>
      </ns0:r>
      <ns0:r>
        <ns0:t xml:space="preserve"> daily and multi-day returns, moving-average distances, EMA alignment, trend slopes, and price distance from historical highs.</ns0:t>
      </ns0:r>
    </ns0:p>
    <ns0:p>
      <ns0:pPr>
        <ns0:pStyle ns0:val="ListText"/>
        <ns0:ind ns0:left="360"/>
        <ns0:spacing ns0:after="50"/>
        <ns0:keepLines/>
      </ns0:pPr>
      <ns0:r>
        <ns0:rPr>
          <ns0:b/>
          <ns0:color ns0:val="2C7A7B"/>
        </ns0:rPr>
        <ns0:t xml:space="preserve">• </ns0:t>
      </ns0:r>
      <ns0:r>
        <ns0:rPr>
          <ns0:b/>
        </ns0:rPr>
        <ns0:t>Momentum and candle structure:</ns0:t>
      </ns0:r>
      <ns0:r>
        <ns0:t xml:space="preserve"> RSI, MACD, rate of change, candle body/wicks, and rejection proxies.</ns0:t>
      </ns0:r>
    </ns0:p>
    <ns0:p>
      <ns0:pPr>
        <ns0:pStyle ns0:val="ListText"/>
        <ns0:ind ns0:left="360"/>
        <ns0:spacing ns0:after="50"/>
        <ns0:keepLines/>
      </ns0:pPr>
      <ns0:r>
        <ns0:rPr>
          <ns0:b/>
          <ns0:color ns0:val="2C7A7B"/>
        </ns0:rPr>
        <ns0:t xml:space="preserve">• </ns0:t>
      </ns0:r>
      <ns0:r>
        <ns0:rPr>
          <ns0:b/>
        </ns0:rPr>
        <ns0:t>Volume and liquidity:</ns0:t>
      </ns0:r>
      <ns0:r>
        <ns0:t xml:space="preserve"> relative volume, volume trends, dollar-volume measures, OBV/Chaikin-style summaries, and liquidity proxies.</ns0:t>
      </ns0:r>
    </ns0:p>
    <ns0:p>
      <ns0:pPr>
        <ns0:pStyle ns0:val="ListText"/>
        <ns0:ind ns0:left="360"/>
        <ns0:spacing ns0:after="50"/>
        <ns0:keepLines/>
      </ns0:pPr>
      <ns0:r>
        <ns0:rPr>
          <ns0:b/>
          <ns0:color ns0:val="2C7A7B"/>
        </ns0:rPr>
        <ns0:t xml:space="preserve">• </ns0:t>
      </ns0:r>
      <ns0:r>
        <ns0:rPr>
          <ns0:b/>
        </ns0:rPr>
        <ns0:t>Volatility and market context:</ns0:t>
      </ns0:r>
      <ns0:r>
        <ns0:t xml:space="preserve"> ATR, rolling volatility, VIX measures, market-index returns, and sector-ETF returns.</ns0:t>
      </ns0:r>
    </ns0:p>
    <ns0:p>
      <ns0:pPr>
        <ns0:pStyle ns0:val="ListText"/>
        <ns0:ind ns0:left="360"/>
        <ns0:spacing ns0:after="50"/>
        <ns0:keepLines/>
      </ns0:pPr>
      <ns0:r>
        <ns0:rPr>
          <ns0:b/>
          <ns0:color ns0:val="2C7A7B"/>
        </ns0:rPr>
        <ns0:t xml:space="preserve">• </ns0:t>
      </ns0:r>
      <ns0:r>
        <ns0:rPr>
          <ns0:b/>
        </ns0:rPr>
        <ns0:t>Demand-zone structure:</ns0:t>
      </ns0:r>
      <ns0:r>
        <ns0:t xml:space="preserve"> zone distance, touches, age/freshness, width, retest number, base geometry, departure strength, and multi-timeframe zone alignment.</ns0:t>
      </ns0:r>
    </ns0:p>
    <ns0:p>
      <ns0:pPr>
        <ns0:pStyle ns0:val="ListText"/>
        <ns0:ind ns0:left="360"/>
        <ns0:spacing ns0:after="50"/>
        <ns0:keepLines/>
      </ns0:pPr>
      <ns0:r>
        <ns0:rPr>
          <ns0:b/>
          <ns0:color ns0:val="2C7A7B"/>
        </ns0:rPr>
        <ns0:t xml:space="preserve">• </ns0:t>
      </ns0:r>
      <ns0:r>
        <ns0:rPr>
          <ns0:b/>
        </ns0:rPr>
        <ns0:t>Additional derived features:</ns0:t>
      </ns0:r>
      <ns0:r>
        <ns0:t xml:space="preserve"> interactions, gap features, market regime proxies, and (in later scripts) order-block features.</ns0:t>
      </ns0:r>
    </ns0:p>
    <ns0:p>
      <ns0:pPr>
        <ns0:pStyle ns0:val="BodyText"/>
        <ns0:spacing ns0:after="90"/>
        <ns0:keepLines/>
      </ns0:pPr>
      <ns0:r>
        <ns0:t>The existence of a feature in a CSV or model metadata does not by itself prove it is point-in-time safe. The intended prediction timestamp and implementation of each feature must be audited individually. In particular, the code contains both past-only indicator calculations and fields computed from later-period outcomes or whole-sample aggregates.</ns0:t>
      </ns0:r>
    </ns0:p>
    <ns0:p>
      <ns0:pPr>
        <ns0:pStyle ns0:val="Heading2"/>
        <ns0:spacing ns0:before="220" ns0:after="100"/>
        <ns0:keepNext/>
        <ns0:keepLines/>
      </ns0:pPr>
      <ns0:r>
        <ns0:t>3.3 Data and universe limitations</ns0:t>
      </ns0:r>
    </ns0:p>
    <ns0:p>
      <ns0:pPr>
        <ns0:pStyle ns0:val="BodyText"/>
        <ns0:spacing ns0:after="90"/>
        <ns0:keepLines/>
      </ns0:pPr>
      <ns0:r>
        <ns0:t>The current evidence leaves several important dataset properties unresolved: historical constituent membership, treatment of delisted securities, corporate-action adjustment conventions for OHLCV, missing-data handling by version, and whether all tickers have comparable date coverage. The V2 report gives a row count and date range but not a reproducible security-selection procedure. The current project should not claim broad market representativeness until those points are documented.</ns0:t>
      </ns0:r>
    </ns0:p>
    <ns0:p>
      <ns0:pPr>
        <ns0:pStyle ns0:val="Heading1"/>
        <ns0:spacing ns0:before="300" ns0:after="100"/>
        <ns0:keepNext/>
        <ns0:keepLines/>
      </ns0:pPr>
      <ns0:r>
        <ns0:t>4. Project and model evolution</ns0:t>
      </ns0:r>
    </ns0:p>
    <ns0:p>
      <ns0:pPr>
        <ns0:pStyle ns0:val="BodyText"/>
        <ns0:spacing ns0:after="90"/>
        <ns0:keepLines/>
      </ns0:pPr>
      <ns0:r>
        <ns0:t>The labels “V1,” “V2,” etc. occur in distinct subsystems. The table below separates model-training from dataset-generation lineage. Every metric in the V1–V7 rows is a historical project-reported value from a report or metadata file and was not independently reproduced as part of this audit. These versions use different targets, samples, features, and selection procedures; none is a controlled estimate of improvement. The separately audited v1.0.1 archive is summarized in Section 7.2.</ns0:t>
      </ns0:r>
    </ns0:p>
    <ns0:tbl>
      <ns0:tblPr>
        <ns0:tblW ns0:w="10240" ns0:type="dxa"/>
        <ns0:tblLayout ns0:type="fixed"/>
        <ns0:tblBorders>
          <ns0:top ns0:val="single" ns0:sz="4" ns0:space="0" ns0:color="B8C5D3"/>
          <ns0:left ns0:val="single" ns0:sz="4" ns0:space="0" ns0:color="B8C5D3"/>
          <ns0:bottom ns0:val="single" ns0:sz="4" ns0:space="0" ns0:color="B8C5D3"/>
          <ns0:right ns0:val="single" ns0:sz="4" ns0:space="0" ns0:color="B8C5D3"/>
          <ns0:insideH ns0:val="single" ns0:sz="4" ns0:space="0" ns0:color="B8C5D3"/>
          <ns0:insideV ns0:val="single" ns0:sz="4" ns0:space="0" ns0:color="B8C5D3"/>
        </ns0:tblBorders>
        <ns0:tblCellMar>
          <ns0:top ns0:w="70" ns0:type="dxa"/>
          <ns0:start ns0:w="75" ns0:type="dxa"/>
          <ns0:bottom ns0:w="70" ns0:type="dxa"/>
          <ns0:end ns0:w="75" ns0:type="dxa"/>
        </ns0:tblCellMar>
      </ns0:tblPr>
      <ns0:tblGrid>
        <ns0:gridCol ns0:w="2441"/>
        <ns0:gridCol ns0:w="2599"/>
        <ns0:gridCol ns0:w="2599"/>
        <ns0:gridCol ns0:w="2601"/>
      </ns0:tblGrid>
      <ns0:tr>
        <ns0:trPr>
          <ns0:tblHeader ns0:val="true"/>
        </ns0:trPr>
        <ns0:tc>
          <ns0:tcPr>
            <ns0:tcW ns0:w="2441" ns0:type="dxa"/>
            <ns0:vAlign ns0:val="center"/>
            <ns0:shd ns0:fill="1F4E5F" ns0:val="clear"/>
          </ns0:tcPr>
          <ns0:p>
            <ns0:pPr>
              <ns0:spacing ns0:before="0" ns0:after="0" ns0:line="220" ns0:lineRule="auto"/>
            </ns0:pPr>
            <ns0:r>
              <ns0:rPr>
                <ns0:b/>
                <ns0:color ns0:val="FFFFFF"/>
                <ns0:sz ns0:val="17"/>
              </ns0:rPr>
              <ns0:t>Stage</ns0:t>
            </ns0:r>
          </ns0:p>
        </ns0:tc>
        <ns0:tc>
          <ns0:tcPr>
            <ns0:tcW ns0:w="2599" ns0:type="dxa"/>
            <ns0:vAlign ns0:val="center"/>
            <ns0:shd ns0:fill="1F4E5F" ns0:val="clear"/>
          </ns0:tcPr>
          <ns0:p>
            <ns0:pPr>
              <ns0:spacing ns0:before="0" ns0:after="0" ns0:line="220" ns0:lineRule="auto"/>
            </ns0:pPr>
            <ns0:r>
              <ns0:rPr>
                <ns0:b/>
                <ns0:color ns0:val="FFFFFF"/>
                <ns0:sz ns0:val="17"/>
              </ns0:rPr>
              <ns0:t>Documented development</ns0:t>
            </ns0:r>
          </ns0:p>
        </ns0:tc>
        <ns0:tc>
          <ns0:tcPr>
            <ns0:tcW ns0:w="2599" ns0:type="dxa"/>
            <ns0:vAlign ns0:val="center"/>
            <ns0:shd ns0:fill="1F4E5F" ns0:val="clear"/>
          </ns0:tcPr>
          <ns0:p>
            <ns0:pPr>
              <ns0:spacing ns0:before="0" ns0:after="0" ns0:line="220" ns0:lineRule="auto"/>
            </ns0:pPr>
            <ns0:r>
              <ns0:rPr>
                <ns0:b/>
                <ns0:color ns0:val="FFFFFF"/>
                <ns0:sz ns0:val="17"/>
              </ns0:rPr>
              <ns0:t>Historical project-reported values (not independently reproduced)</ns0:t>
            </ns0:r>
          </ns0:p>
        </ns0:tc>
        <ns0:tc>
          <ns0:tcPr>
            <ns0:tcW ns0:w="2601" ns0:type="dxa"/>
            <ns0:vAlign ns0:val="center"/>
            <ns0:shd ns0:fill="1F4E5F" ns0:val="clear"/>
          </ns0:tcPr>
          <ns0:p>
            <ns0:pPr>
              <ns0:spacing ns0:before="0" ns0:after="0" ns0:line="220" ns0:lineRule="auto"/>
            </ns0:pPr>
            <ns0:r>
              <ns0:rPr>
                <ns0:b/>
                <ns0:color ns0:val="FFFFFF"/>
                <ns0:sz ns0:val="17"/>
              </ns0:rPr>
              <ns0:t>Current interpretation</ns0:t>
            </ns0:r>
          </ns0:p>
        </ns0:tc>
      </ns0:tr>
      <ns0:tr>
        <ns0:tc>
          <ns0:tcPr>
            <ns0:tcW ns0:w="2441" ns0:type="dxa"/>
            <ns0:vAlign ns0:val="center"/>
          </ns0:tcPr>
          <ns0:p>
            <ns0:pPr>
              <ns0:spacing ns0:before="0" ns0:after="0" ns0:line="220" ns0:lineRule="auto"/>
            </ns0:pPr>
            <ns0:r>
              <ns0:rPr>
                <ns0:sz ns0:val="17"/>
              </ns0:rPr>
              <ns0:t>Initial demand-zone prototype / dataset lineage</ns0:t>
            </ns0:r>
          </ns0:p>
        </ns0:tc>
        <ns0:tc>
          <ns0:tcPr>
            <ns0:tcW ns0:w="2599" ns0:type="dxa"/>
            <ns0:vAlign ns0:val="center"/>
          </ns0:tcPr>
          <ns0:p>
            <ns0:pPr>
              <ns0:spacing ns0:before="0" ns0:after="0" ns0:line="220" ns0:lineRule="auto"/>
            </ns0:pPr>
            <ns0:r>
              <ns0:rPr>
                <ns0:sz ns0:val="17"/>
              </ns0:rPr>
              <ns0:t>A rule-based daily OHLCV pipeline detects swing-low zones, records retests, computes technical and zone features, and simulates forward barrier outcomes. The active generator is configured to write a V10-named dataset; its rules include a 20-day horizon, +15% target, and -5% stop.</ns0:t>
            </ns0:r>
          </ns0:p>
        </ns0:tc>
        <ns0:tc>
          <ns0:tcPr>
            <ns0:tcW ns0:w="2599" ns0:type="dxa"/>
            <ns0:vAlign ns0:val="center"/>
          </ns0:tcPr>
          <ns0:p>
            <ns0:pPr>
              <ns0:spacing ns0:before="0" ns0:after="0" ns0:line="220" ns0:lineRule="auto"/>
            </ns0:pPr>
            <ns0:r>
              <ns0:rPr>
                <ns0:sz ns0:val="17"/>
              </ns0:rPr>
              <ns0:t>README and dataset-generation source describe the design. Historical output/results for all early iterations are not available in a complete immutable sequence.</ns0:t>
            </ns0:r>
          </ns0:p>
        </ns0:tc>
        <ns0:tc>
          <ns0:tcPr>
            <ns0:tcW ns0:w="2601" ns0:type="dxa"/>
            <ns0:vAlign ns0:val="center"/>
          </ns0:tcPr>
          <ns0:p>
            <ns0:pPr>
              <ns0:spacing ns0:before="0" ns0:after="0" ns0:line="220" ns0:lineRule="auto"/>
            </ns0:pPr>
            <ns0:r>
              <ns0:rPr>
                <ns0:sz ns0:val="17"/>
              </ns0:rPr>
              <ns0:t>Establishes the engineering origin, but it is not yet a reproducible V1–V13 laboratory notebook.</ns0:t>
            </ns0:r>
          </ns0:p>
        </ns0:tc>
      </ns0:tr>
      <ns0:tr>
        <ns0:tc>
          <ns0:tcPr>
            <ns0:tcW ns0:w="2441" ns0:type="dxa"/>
            <ns0:vAlign ns0:val="center"/>
            <ns0:shd ns0:fill="F4F7F9" ns0:val="clear"/>
          </ns0:tcPr>
          <ns0:p>
            <ns0:pPr>
              <ns0:spacing ns0:before="0" ns0:after="0" ns0:line="220" ns0:lineRule="auto"/>
            </ns0:pPr>
            <ns0:r>
              <ns0:rPr>
                <ns0:sz ns0:val="17"/>
              </ns0:rPr>
              <ns0:t>V1 model baseline (as referenced by V2 report)</ns0:t>
            </ns0:r>
          </ns0:p>
        </ns0:tc>
        <ns0:tc>
          <ns0:tcPr>
            <ns0:tcW ns0:w="2599" ns0:type="dxa"/>
            <ns0:vAlign ns0:val="center"/>
            <ns0:shd ns0:fill="F4F7F9" ns0:val="clear"/>
          </ns0:tcPr>
          <ns0:p>
            <ns0:pPr>
              <ns0:spacing ns0:before="0" ns0:after="0" ns0:line="220" ns0:lineRule="auto"/>
            </ns0:pPr>
            <ns0:r>
              <ns0:rPr>
                <ns0:sz ns0:val="17"/>
              </ns0:rPr>
              <ns0:t>The V2 report calls the baseline “hold1 XGBoost” and lists 50 features.</ns0:t>
            </ns0:r>
          </ns0:p>
        </ns0:tc>
        <ns0:tc>
          <ns0:tcPr>
            <ns0:tcW ns0:w="2599" ns0:type="dxa"/>
            <ns0:vAlign ns0:val="center"/>
            <ns0:shd ns0:fill="F4F7F9" ns0:val="clear"/>
          </ns0:tcPr>
          <ns0:p>
            <ns0:pPr>
              <ns0:spacing ns0:before="0" ns0:after="0" ns0:line="220" ns0:lineRule="auto"/>
            </ns0:pPr>
            <ns0:r>
              <ns0:rPr>
                <ns0:sz ns0:val="17"/>
              </ns0:rPr>
              <ns0:t xml:space="preserve">AUC </ns0:t>
            </ns0:r>
            <ns0:r>
              <ns0:rPr>
                <ns0:b/>
                <ns0:sz ns0:val="17"/>
              </ns0:rPr>
              <ns0:t>0.619</ns0:t>
            </ns0:r>
            <ns0:r>
              <ns0:rPr>
                <ns0:sz ns0:val="17"/>
              </ns0:rPr>
              <ns0:t xml:space="preserve"> and top-5% hit rate </ns0:t>
            </ns0:r>
            <ns0:r>
              <ns0:rPr>
                <ns0:b/>
                <ns0:sz ns0:val="17"/>
              </ns0:rPr>
              <ns0:t>29.0%</ns0:t>
            </ns0:r>
            <ns0:r>
              <ns0:rPr>
                <ns0:sz ns0:val="17"/>
              </ns0:rPr>
              <ns0:t xml:space="preserve"> are quoted by the V2 report; a matching V1 metadata file or exact evaluation artifact was not found in the inspected paths.</ns0:t>
            </ns0:r>
          </ns0:p>
        </ns0:tc>
        <ns0:tc>
          <ns0:tcPr>
            <ns0:tcW ns0:w="2601" ns0:type="dxa"/>
            <ns0:vAlign ns0:val="center"/>
            <ns0:shd ns0:fill="F4F7F9" ns0:val="clear"/>
          </ns0:tcPr>
          <ns0:p>
            <ns0:pPr>
              <ns0:spacing ns0:before="0" ns0:after="0" ns0:line="220" ns0:lineRule="auto"/>
            </ns0:pPr>
            <ns0:r>
              <ns0:rPr>
                <ns0:sz ns0:val="17"/>
              </ns0:rPr>
              <ns0:t>Cite only as a baseline quoted by the later report until its original split, code, and predictions are recovered.</ns0:t>
            </ns0:r>
          </ns0:p>
        </ns0:tc>
      </ns0:tr>
      <ns0:tr>
        <ns0:tc>
          <ns0:tcPr>
            <ns0:tcW ns0:w="2441" ns0:type="dxa"/>
            <ns0:vAlign ns0:val="center"/>
          </ns0:tcPr>
          <ns0:p>
            <ns0:pPr>
              <ns0:spacing ns0:before="0" ns0:after="0" ns0:line="220" ns0:lineRule="auto"/>
            </ns0:pPr>
            <ns0:r>
              <ns0:rPr>
                <ns0:sz ns0:val="17"/>
              </ns0:rPr>
              <ns0:t>V2</ns0:t>
            </ns0:r>
          </ns0:p>
        </ns0:tc>
        <ns0:tc>
          <ns0:tcPr>
            <ns0:tcW ns0:w="2599" ns0:type="dxa"/>
            <ns0:vAlign ns0:val="center"/>
          </ns0:tcPr>
          <ns0:p>
            <ns0:pPr>
              <ns0:spacing ns0:before="0" ns0:after="0" ns0:line="220" ns0:lineRule="auto"/>
            </ns0:pPr>
            <ns0:r>
              <ns0:rPr>
                <ns0:sz ns0:val="17"/>
              </ns0:rPr>
              <ns0:t>Evaluates next-open holding-period outcomes alongside benchmark-relative and triple-barrier targets; adds regime, relative-strength, liquidity, volume, volatility, and event features. Compares CatBoost, Random Forest, LightGBM, XGBoost, and LambdaRank using chronological folds.</ns0:t>
            </ns0:r>
          </ns0:p>
        </ns0:tc>
        <ns0:tc>
          <ns0:tcPr>
            <ns0:tcW ns0:w="2599" ns0:type="dxa"/>
            <ns0:vAlign ns0:val="center"/>
          </ns0:tcPr>
          <ns0:p>
            <ns0:pPr>
              <ns0:spacing ns0:before="0" ns0:after="0" ns0:line="220" ns0:lineRule="auto"/>
            </ns0:pPr>
            <ns0:r>
              <ns0:rPr>
                <ns0:sz ns0:val="17"/>
              </ns0:rPr>
              <ns0:t xml:space="preserve">Saved report/CSV: 5-fold CatBoost mean AUC </ns0:t>
            </ns0:r>
            <ns0:r>
              <ns0:rPr>
                <ns0:b/>
                <ns0:sz ns0:val="17"/>
              </ns0:rPr>
              <ns0:t>0.67595</ns0:t>
            </ns0:r>
            <ns0:r>
              <ns0:rPr>
                <ns0:sz ns0:val="17"/>
              </ns0:rPr>
              <ns0:t xml:space="preserve"> (SD </ns0:t>
            </ns0:r>
            <ns0:r>
              <ns0:rPr>
                <ns0:b/>
                <ns0:sz ns0:val="17"/>
              </ns0:rPr>
              <ns0:t>0.02284</ns0:t>
            </ns0:r>
            <ns0:r>
              <ns0:rPr>
                <ns0:sz ns0:val="17"/>
              </ns0:rPr>
              <ns0:t xml:space="preserve">); Random Forest </ns0:t>
            </ns0:r>
            <ns0:r>
              <ns0:rPr>
                <ns0:b/>
                <ns0:sz ns0:val="17"/>
              </ns0:rPr>
              <ns0:t>0.67511</ns0:t>
            </ns0:r>
            <ns0:r>
              <ns0:rPr>
                <ns0:sz ns0:val="17"/>
              </ns0:rPr>
              <ns0:t xml:space="preserve">; LightGBM </ns0:t>
            </ns0:r>
            <ns0:r>
              <ns0:rPr>
                <ns0:b/>
                <ns0:sz ns0:val="17"/>
              </ns0:rPr>
              <ns0:t>0.66666</ns0:t>
            </ns0:r>
            <ns0:r>
              <ns0:rPr>
                <ns0:sz ns0:val="17"/>
              </ns0:rPr>
              <ns0:t xml:space="preserve">; XGBoost </ns0:t>
            </ns0:r>
            <ns0:r>
              <ns0:rPr>
                <ns0:b/>
                <ns0:sz ns0:val="17"/>
              </ns0:rPr>
              <ns0:t>0.66598</ns0:t>
            </ns0:r>
            <ns0:r>
              <ns0:rPr>
                <ns0:sz ns0:val="17"/>
              </ns0:rPr>
              <ns0:t xml:space="preserve">; LambdaRank </ns0:t>
            </ns0:r>
            <ns0:r>
              <ns0:rPr>
                <ns0:b/>
                <ns0:sz ns0:val="17"/>
              </ns0:rPr>
              <ns0:t>0.65479</ns0:t>
            </ns0:r>
            <ns0:r>
              <ns0:rPr>
                <ns0:sz ns0:val="17"/>
              </ns0:rPr>
              <ns0:t xml:space="preserve">. V2 report also records a simulated 1,228-trade result: mean return </ns0:t>
            </ns0:r>
            <ns0:r>
              <ns0:rPr>
                <ns0:b/>
                <ns0:sz ns0:val="17"/>
              </ns0:rPr>
              <ns0:t>-0.044% per trade</ns0:t>
            </ns0:r>
            <ns0:r>
              <ns0:rPr>
                <ns0:sz ns0:val="17"/>
              </ns0:rPr>
              <ns0:t xml:space="preserve">, profit factor </ns0:t>
            </ns0:r>
            <ns0:r>
              <ns0:rPr>
                <ns0:b/>
                <ns0:sz ns0:val="17"/>
              </ns0:rPr>
              <ns0:t>0.97</ns0:t>
            </ns0:r>
            <ns0:r>
              <ns0:rPr>
                <ns0:sz ns0:val="17"/>
              </ns0:rPr>
              <ns0:t xml:space="preserve">, Sharpe </ns0:t>
            </ns0:r>
            <ns0:r>
              <ns0:rPr>
                <ns0:b/>
                <ns0:sz ns0:val="17"/>
              </ns0:rPr>
              <ns0:t>-0.16</ns0:t>
            </ns0:r>
            <ns0:r>
              <ns0:rPr>
                <ns0:sz ns0:val="17"/>
              </ns0:rPr>
              <ns0:t xml:space="preserve">, and total PnL </ns0:t>
            </ns0:r>
            <ns0:r>
              <ns0:rPr>
                <ns0:b/>
                <ns0:sz ns0:val="17"/>
              </ns0:rPr>
              <ns0:t>-$9.77</ns0:t>
            </ns0:r>
            <ns0:r>
              <ns0:rPr>
                <ns0:sz ns0:val="17"/>
              </ns0:rPr>
              <ns0:t xml:space="preserve"> under its stated setup.</ns0:t>
            </ns0:r>
          </ns0:p>
        </ns0:tc>
        <ns0:tc>
          <ns0:tcPr>
            <ns0:tcW ns0:w="2601" ns0:type="dxa"/>
            <ns0:vAlign ns0:val="center"/>
          </ns0:tcPr>
          <ns0:p>
            <ns0:pPr>
              <ns0:spacing ns0:before="0" ns0:after="0" ns0:line="220" ns0:lineRule="auto"/>
            </ns0:pPr>
            <ns0:r>
              <ns0:rPr>
                <ns0:sz ns0:val="17"/>
              </ns0:rPr>
              <ns0:t>Strongest documented report, including an unprofitable backtest. However, source review found probable forward benchmark-feature leakage in the V2 feature filter; metrics require a corrected rerun. Backtest implementation also requires audit before reuse.</ns0:t>
            </ns0:r>
          </ns0:p>
        </ns0:tc>
      </ns0:tr>
      <ns0:tr>
        <ns0:tc>
          <ns0:tcPr>
            <ns0:tcW ns0:w="2441" ns0:type="dxa"/>
            <ns0:vAlign ns0:val="center"/>
            <ns0:shd ns0:fill="F4F7F9" ns0:val="clear"/>
          </ns0:tcPr>
          <ns0:p>
            <ns0:pPr>
              <ns0:spacing ns0:before="0" ns0:after="0" ns0:line="220" ns0:lineRule="auto"/>
            </ns0:pPr>
            <ns0:r>
              <ns0:rPr>
                <ns0:sz ns0:val="17"/>
              </ns0:rPr>
              <ns0:t>V3</ns0:t>
            </ns0:r>
          </ns0:p>
        </ns0:tc>
        <ns0:tc>
          <ns0:tcPr>
            <ns0:tcW ns0:w="2599" ns0:type="dxa"/>
            <ns0:vAlign ns0:val="center"/>
            <ns0:shd ns0:fill="F4F7F9" ns0:val="clear"/>
          </ns0:tcPr>
          <ns0:p>
            <ns0:pPr>
              <ns0:spacing ns0:before="0" ns0:after="0" ns0:line="220" ns0:lineRule="auto"/>
            </ns0:pPr>
            <ns0:r>
              <ns0:rPr>
                <ns0:sz ns0:val="17"/>
              </ns0:rPr>
              <ns0:t xml:space="preserve">Expands the target menu to include SPY-relative thresholds (including </ns0:t>
            </ns0:r>
            <ns0:r>
              <ns0:rPr>
                <ns0:rFonts ns0:ascii="Consolas" ns0:hAnsi="Consolas"/>
                <ns0:shd ns0:fill="F1F3F5" ns0:val="clear"/>
                <ns0:sz ns0:val="17"/>
              </ns0:rPr>
              <ns0:t>alpha_spy_1pct</ns0:t>
            </ns0:r>
            <ns0:r>
              <ns0:rPr>
                <ns0:sz ns0:val="17"/>
              </ns0:rPr>
              <ns0:t xml:space="preserve"> and </ns0:t>
            </ns0:r>
            <ns0:r>
              <ns0:rPr>
                <ns0:rFonts ns0:ascii="Consolas" ns0:hAnsi="Consolas"/>
                <ns0:shd ns0:fill="F1F3F5" ns0:val="clear"/>
                <ns0:sz ns0:val="17"/>
              </ns0:rPr>
              <ns0:t>alpha_spy_2pct</ns0:t>
            </ns0:r>
            <ns0:r>
              <ns0:rPr>
                <ns0:sz ns0:val="17"/>
              </ns0:rPr>
              <ns0:t>), adds daily gap/open-drive features, and aims to expand the universe from 149 toward roughly 449 tickers. Uses a CatBoost chronological walk-forward benchmark.</ns0:t>
            </ns0:r>
          </ns0:p>
        </ns0:tc>
        <ns0:tc>
          <ns0:tcPr>
            <ns0:tcW ns0:w="2599" ns0:type="dxa"/>
            <ns0:vAlign ns0:val="center"/>
            <ns0:shd ns0:fill="F4F7F9" ns0:val="clear"/>
          </ns0:tcPr>
          <ns0:p>
            <ns0:pPr>
              <ns0:spacing ns0:before="0" ns0:after="0" ns0:line="220" ns0:lineRule="auto"/>
            </ns0:pPr>
            <ns0:r>
              <ns0:rPr>
                <ns0:rFonts ns0:ascii="Consolas" ns0:hAnsi="Consolas"/>
                <ns0:shd ns0:fill="F1F3F5" ns0:val="clear"/>
                <ns0:sz ns0:val="17"/>
              </ns0:rPr>
              <ns0:t>models/v3/v3_metadata.json</ns0:t>
            </ns0:r>
            <ns0:r>
              <ns0:rPr>
                <ns0:sz ns0:val="17"/>
              </ns0:rPr>
              <ns0:t xml:space="preserve"> reports </ns0:t>
            </ns0:r>
            <ns0:r>
              <ns0:rPr>
                <ns0:rFonts ns0:ascii="Consolas" ns0:hAnsi="Consolas"/>
                <ns0:shd ns0:fill="F1F3F5" ns0:val="clear"/>
                <ns0:sz ns0:val="17"/>
              </ns0:rPr>
              <ns0:t>alpha_spy_2pct</ns0:t>
            </ns0:r>
            <ns0:r>
              <ns0:rPr>
                <ns0:sz ns0:val="17"/>
              </ns0:rPr>
              <ns0:t xml:space="preserve"> mean AUC </ns0:t>
            </ns0:r>
            <ns0:r>
              <ns0:rPr>
                <ns0:b/>
                <ns0:sz ns0:val="17"/>
              </ns0:rPr>
              <ns0:t>0.72811</ns0:t>
            </ns0:r>
            <ns0:r>
              <ns0:rPr>
                <ns0:sz ns0:val="17"/>
              </ns0:rPr>
              <ns0:t xml:space="preserve">, 5 folds, base rate </ns0:t>
            </ns0:r>
            <ns0:r>
              <ns0:rPr>
                <ns0:b/>
                <ns0:sz ns0:val="17"/>
              </ns0:rPr>
              <ns0:t>19.89%</ns0:t>
            </ns0:r>
            <ns0:r>
              <ns0:rPr>
                <ns0:sz ns0:val="17"/>
              </ns0:rPr>
              <ns0:t xml:space="preserve">; also reports 0.67123 for </ns0:t>
            </ns0:r>
            <ns0:r>
              <ns0:rPr>
                <ns0:rFonts ns0:ascii="Consolas" ns0:hAnsi="Consolas"/>
                <ns0:shd ns0:fill="F1F3F5" ns0:val="clear"/>
                <ns0:sz ns0:val="17"/>
              </ns0:rPr>
              <ns0:t>hold1_2pct</ns0:t>
            </ns0:r>
            <ns0:r>
              <ns0:rPr>
                <ns0:sz ns0:val="17"/>
              </ns0:rPr>
              <ns0:t xml:space="preserve"> and 0.71067 for </ns0:t>
            </ns0:r>
            <ns0:r>
              <ns0:rPr>
                <ns0:rFonts ns0:ascii="Consolas" ns0:hAnsi="Consolas"/>
                <ns0:shd ns0:fill="F1F3F5" ns0:val="clear"/>
                <ns0:sz ns0:val="17"/>
              </ns0:rPr>
              <ns0:t>alpha_spy_1pct</ns0:t>
            </ns0:r>
            <ns0:r>
              <ns0:rPr>
                <ns0:sz ns0:val="17"/>
              </ns0:rPr>
              <ns0:t>.</ns0:t>
            </ns0:r>
          </ns0:p>
        </ns0:tc>
        <ns0:tc>
          <ns0:tcPr>
            <ns0:tcW ns0:w="2601" ns0:type="dxa"/>
            <ns0:vAlign ns0:val="center"/>
            <ns0:shd ns0:fill="F4F7F9" ns0:val="clear"/>
          </ns0:tcPr>
          <ns0:p>
            <ns0:pPr>
              <ns0:spacing ns0:before="0" ns0:after="0" ns0:line="220" ns0:lineRule="auto"/>
            </ns0:pPr>
            <ns0:r>
              <ns0:rPr>
                <ns0:sz ns0:val="17"/>
              </ns0:rPr>
              <ns0:t>The richer targets/features are a documented iteration. V2/V3 feature exclusion patterns appear to omit some forward benchmark-return columns; do not present these AUCs as clean until rerun. The intended expanded universe is not independently confirmed by the V3 metadata.</ns0:t>
            </ns0:r>
          </ns0:p>
        </ns0:tc>
      </ns0:tr>
      <ns0:tr>
        <ns0:tc>
          <ns0:tcPr>
            <ns0:tcW ns0:w="2441" ns0:type="dxa"/>
            <ns0:vAlign ns0:val="center"/>
          </ns0:tcPr>
          <ns0:p>
            <ns0:pPr>
              <ns0:spacing ns0:before="0" ns0:after="0" ns0:line="220" ns0:lineRule="auto"/>
            </ns0:pPr>
            <ns0:r>
              <ns0:rPr>
                <ns0:sz ns0:val="17"/>
              </ns0:rPr>
              <ns0:t>V4</ns0:t>
            </ns0:r>
          </ns0:p>
        </ns0:tc>
        <ns0:tc>
          <ns0:tcPr>
            <ns0:tcW ns0:w="2599" ns0:type="dxa"/>
            <ns0:vAlign ns0:val="center"/>
          </ns0:tcPr>
          <ns0:p>
            <ns0:pPr>
              <ns0:spacing ns0:before="0" ns0:after="0" ns0:line="220" ns0:lineRule="auto"/>
            </ns0:pPr>
            <ns0:r>
              <ns0:rPr>
                <ns0:sz ns0:val="17"/>
              </ns0:rPr>
              <ns0:t>Adds a CatBoost/XGBoost/LightGBM ensemble, interaction features, recency weights, and ticker/month target encodings.</ns0:t>
            </ns0:r>
          </ns0:p>
        </ns0:tc>
        <ns0:tc>
          <ns0:tcPr>
            <ns0:tcW ns0:w="2599" ns0:type="dxa"/>
            <ns0:vAlign ns0:val="center"/>
          </ns0:tcPr>
          <ns0:p>
            <ns0:pPr>
              <ns0:spacing ns0:before="0" ns0:after="0" ns0:line="220" ns0:lineRule="auto"/>
            </ns0:pPr>
            <ns0:r>
              <ns0:rPr>
                <ns0:sz ns0:val="17"/>
              </ns0:rPr>
              <ns0:t xml:space="preserve">Metadata reports </ns0:t>
            </ns0:r>
            <ns0:r>
              <ns0:rPr>
                <ns0:rFonts ns0:ascii="Consolas" ns0:hAnsi="Consolas"/>
                <ns0:shd ns0:fill="F1F3F5" ns0:val="clear"/>
                <ns0:sz ns0:val="17"/>
              </ns0:rPr>
              <ns0:t>alpha_spy_2pct</ns0:t>
            </ns0:r>
            <ns0:r>
              <ns0:rPr>
                <ns0:sz ns0:val="17"/>
              </ns0:rPr>
              <ns0:t xml:space="preserve"> OOF AUC </ns0:t>
            </ns0:r>
            <ns0:r>
              <ns0:rPr>
                <ns0:b/>
                <ns0:sz ns0:val="17"/>
              </ns0:rPr>
              <ns0:t>0.74464</ns0:t>
            </ns0:r>
            <ns0:r>
              <ns0:rPr>
                <ns0:sz ns0:val="17"/>
              </ns0:rPr>
              <ns0:t xml:space="preserve">, final temporal test AUC </ns0:t>
            </ns0:r>
            <ns0:r>
              <ns0:rPr>
                <ns0:b/>
                <ns0:sz ns0:val="17"/>
              </ns0:rPr>
              <ns0:t>0.72799</ns0:t>
            </ns0:r>
            <ns0:r>
              <ns0:rPr>
                <ns0:sz ns0:val="17"/>
              </ns0:rPr>
              <ns0:t xml:space="preserve">, and top-5 hit rate </ns0:t>
            </ns0:r>
            <ns0:r>
              <ns0:rPr>
                <ns0:b/>
                <ns0:sz ns0:val="17"/>
              </ns0:rPr>
              <ns0:t>53.49%</ns0:t>
            </ns0:r>
            <ns0:r>
              <ns0:rPr>
                <ns0:sz ns0:val="17"/>
              </ns0:rPr>
              <ns0:t>.</ns0:t>
            </ns0:r>
          </ns0:p>
        </ns0:tc>
        <ns0:tc>
          <ns0:tcPr>
            <ns0:tcW ns0:w="2601" ns0:type="dxa"/>
            <ns0:vAlign ns0:val="center"/>
          </ns0:tcPr>
          <ns0:p>
            <ns0:pPr>
              <ns0:spacing ns0:before="0" ns0:after="0" ns0:line="220" ns0:lineRule="auto"/>
            </ns0:pPr>
            <ns0:r>
              <ns0:rPr>
                <ns0:sz ns0:val="17"/>
              </ns0:rPr>
              <ns0:t>A promising engineering experiment, but target encoding and retained benchmark outcomes appear to use future information. Both OOF and test metrics require re-evaluation with point-in-time encodings and a leakage-safe feature list.</ns0:t>
            </ns0:r>
          </ns0:p>
        </ns0:tc>
      </ns0:tr>
      <ns0:tr>
        <ns0:tc>
          <ns0:tcPr>
            <ns0:tcW ns0:w="2441" ns0:type="dxa"/>
            <ns0:vAlign ns0:val="center"/>
            <ns0:shd ns0:fill="F4F7F9" ns0:val="clear"/>
          </ns0:tcPr>
          <ns0:p>
            <ns0:pPr>
              <ns0:spacing ns0:before="0" ns0:after="0" ns0:line="220" ns0:lineRule="auto"/>
            </ns0:pPr>
            <ns0:r>
              <ns0:rPr>
                <ns0:sz ns0:val="17"/>
              </ns0:rPr>
              <ns0:t>V5</ns0:t>
            </ns0:r>
          </ns0:p>
        </ns0:tc>
        <ns0:tc>
          <ns0:tcPr>
            <ns0:tcW ns0:w="2599" ns0:type="dxa"/>
            <ns0:vAlign ns0:val="center"/>
            <ns0:shd ns0:fill="F4F7F9" ns0:val="clear"/>
          </ns0:tcPr>
          <ns0:p>
            <ns0:pPr>
              <ns0:spacing ns0:before="0" ns0:after="0" ns0:line="220" ns0:lineRule="auto"/>
            </ns0:pPr>
            <ns0:r>
              <ns0:rPr>
                <ns0:sz ns0:val="17"/>
              </ns0:rPr>
              <ns0:t>Adds all-sector ETF context, VIX, gap and zone-geometry features, magnitude targets, interactions, and a three-model ensemble.</ns0:t>
            </ns0:r>
          </ns0:p>
        </ns0:tc>
        <ns0:tc>
          <ns0:tcPr>
            <ns0:tcW ns0:w="2599" ns0:type="dxa"/>
            <ns0:vAlign ns0:val="center"/>
            <ns0:shd ns0:fill="F4F7F9" ns0:val="clear"/>
          </ns0:tcPr>
          <ns0:p>
            <ns0:pPr>
              <ns0:spacing ns0:before="0" ns0:after="0" ns0:line="220" ns0:lineRule="auto"/>
            </ns0:pPr>
            <ns0:r>
              <ns0:rPr>
                <ns0:sz ns0:val="17"/>
              </ns0:rPr>
              <ns0:t xml:space="preserve">Metadata selects </ns0:t>
            </ns0:r>
            <ns0:r>
              <ns0:rPr>
                <ns0:rFonts ns0:ascii="Consolas" ns0:hAnsi="Consolas"/>
                <ns0:shd ns0:fill="F1F3F5" ns0:val="clear"/>
                <ns0:sz ns0:val="17"/>
              </ns0:rPr>
              <ns0:t>alpha_spy_3pct</ns0:t>
            </ns0:r>
            <ns0:r>
              <ns0:rPr>
                <ns0:sz ns0:val="17"/>
              </ns0:rPr>
              <ns0:t xml:space="preserve">: OOF AUC </ns0:t>
            </ns0:r>
            <ns0:r>
              <ns0:rPr>
                <ns0:b/>
                <ns0:sz ns0:val="17"/>
              </ns0:rPr>
              <ns0:t>0.78408</ns0:t>
            </ns0:r>
            <ns0:r>
              <ns0:rPr>
                <ns0:sz ns0:val="17"/>
              </ns0:rPr>
              <ns0:t xml:space="preserve">, test AUC </ns0:t>
            </ns0:r>
            <ns0:r>
              <ns0:rPr>
                <ns0:b/>
                <ns0:sz ns0:val="17"/>
              </ns0:rPr>
              <ns0:t>0.75295</ns0:t>
            </ns0:r>
            <ns0:r>
              <ns0:rPr>
                <ns0:sz ns0:val="17"/>
              </ns0:rPr>
              <ns0:t xml:space="preserve">, top-5 hit rate </ns0:t>
            </ns0:r>
            <ns0:r>
              <ns0:rPr>
                <ns0:b/>
                <ns0:sz ns0:val="17"/>
              </ns0:rPr>
              <ns0:t>43.13%</ns0:t>
            </ns0:r>
            <ns0:r>
              <ns0:rPr>
                <ns0:sz ns0:val="17"/>
              </ns0:rPr>
              <ns0:t xml:space="preserve">, base rate </ns0:t>
            </ns0:r>
            <ns0:r>
              <ns0:rPr>
                <ns0:b/>
                <ns0:sz ns0:val="17"/>
              </ns0:rPr>
              <ns0:t>11.85%</ns0:t>
            </ns0:r>
            <ns0:r>
              <ns0:rPr>
                <ns0:sz ns0:val="17"/>
              </ns0:rPr>
              <ns0:t>. It reports 428 features.</ns0:t>
            </ns0:r>
          </ns0:p>
        </ns0:tc>
        <ns0:tc>
          <ns0:tcPr>
            <ns0:tcW ns0:w="2601" ns0:type="dxa"/>
            <ns0:vAlign ns0:val="center"/>
            <ns0:shd ns0:fill="F4F7F9" ns0:val="clear"/>
          </ns0:tcPr>
          <ns0:p>
            <ns0:pPr>
              <ns0:spacing ns0:before="0" ns0:after="0" ns0:line="220" ns0:lineRule="auto"/>
            </ns0:pPr>
            <ns0:r>
              <ns0:rPr>
                <ns0:sz ns0:val="17"/>
              </ns0:rPr>
              <ns0:t>These figures are historical development output on a different, rarer target than V2. V5 code computes some target encodings from full-sample outcome aggregates and appears to retain some forward benchmark outcomes, so these numbers are not admissible as leakage-free evidence yet.</ns0:t>
            </ns0:r>
          </ns0:p>
        </ns0:tc>
      </ns0:tr>
      <ns0:tr>
        <ns0:tc>
          <ns0:tcPr>
            <ns0:tcW ns0:w="2441" ns0:type="dxa"/>
            <ns0:vAlign ns0:val="center"/>
          </ns0:tcPr>
          <ns0:p>
            <ns0:pPr>
              <ns0:spacing ns0:before="0" ns0:after="0" ns0:line="220" ns0:lineRule="auto"/>
            </ns0:pPr>
            <ns0:r>
              <ns0:rPr>
                <ns0:sz ns0:val="17"/>
              </ns0:rPr>
              <ns0:t>V6</ns0:t>
            </ns0:r>
          </ns0:p>
        </ns0:tc>
        <ns0:tc>
          <ns0:tcPr>
            <ns0:tcW ns0:w="2599" ns0:type="dxa"/>
            <ns0:vAlign ns0:val="center"/>
          </ns0:tcPr>
          <ns0:p>
            <ns0:pPr>
              <ns0:spacing ns0:before="0" ns0:after="0" ns0:line="220" ns0:lineRule="auto"/>
            </ns0:pPr>
            <ns0:r>
              <ns0:rPr>
                <ns0:sz ns0:val="17"/>
              </ns0:rPr>
              <ns0:t>Adds magnitude and same-day-close experiments; its script states that it builds on V5 data.</ns0:t>
            </ns0:r>
          </ns0:p>
        </ns0:tc>
        <ns0:tc>
          <ns0:tcPr>
            <ns0:tcW ns0:w="2599" ns0:type="dxa"/>
            <ns0:vAlign ns0:val="center"/>
          </ns0:tcPr>
          <ns0:p>
            <ns0:pPr>
              <ns0:spacing ns0:before="0" ns0:after="0" ns0:line="220" ns0:lineRule="auto"/>
            </ns0:pPr>
            <ns0:r>
              <ns0:rPr>
                <ns0:rFonts ns0:ascii="Consolas" ns0:hAnsi="Consolas"/>
                <ns0:shd ns0:fill="F1F3F5" ns0:val="clear"/>
                <ns0:sz ns0:val="17"/>
              </ns0:rPr>
              <ns0:t>models/v6/v6_metadata.json</ns0:t>
            </ns0:r>
            <ns0:r>
              <ns0:rPr>
                <ns0:sz ns0:val="17"/>
              </ns0:rPr>
              <ns0:t xml:space="preserve"> reports magnitude AUC </ns0:t>
            </ns0:r>
            <ns0:r>
              <ns0:rPr>
                <ns0:b/>
                <ns0:sz ns0:val="17"/>
              </ns0:rPr>
              <ns0:t>0.72583</ns0:t>
            </ns0:r>
            <ns0:r>
              <ns0:rPr>
                <ns0:sz ns0:val="17"/>
              </ns0:rPr>
              <ns0:t xml:space="preserve">, top-5 rate </ns0:t>
            </ns0:r>
            <ns0:r>
              <ns0:rPr>
                <ns0:b/>
                <ns0:sz ns0:val="17"/>
              </ns0:rPr>
              <ns0:t>72.24%</ns0:t>
            </ns0:r>
            <ns0:r>
              <ns0:rPr>
                <ns0:sz ns0:val="17"/>
              </ns0:rPr>
              <ns0:t xml:space="preserve">, base rate </ns0:t>
            </ns0:r>
            <ns0:r>
              <ns0:rPr>
                <ns0:b/>
                <ns0:sz ns0:val="17"/>
              </ns0:rPr>
              <ns0:t>38.04%</ns0:t>
            </ns0:r>
            <ns0:r>
              <ns0:rPr>
                <ns0:sz ns0:val="17"/>
              </ns0:rPr>
              <ns0:t xml:space="preserve">; same-day absolute-move AUC </ns0:t>
            </ns0:r>
            <ns0:r>
              <ns0:rPr>
                <ns0:b/>
                <ns0:sz ns0:val="17"/>
              </ns0:rPr>
              <ns0:t>0.76056</ns0:t>
            </ns0:r>
            <ns0:r>
              <ns0:rPr>
                <ns0:sz ns0:val="17"/>
              </ns0:rPr>
              <ns0:t xml:space="preserve">, top-5 rate </ns0:t>
            </ns0:r>
            <ns0:r>
              <ns0:rPr>
                <ns0:b/>
                <ns0:sz ns0:val="17"/>
              </ns0:rPr>
              <ns0:t>64.55%</ns0:t>
            </ns0:r>
            <ns0:r>
              <ns0:rPr>
                <ns0:sz ns0:val="17"/>
              </ns0:rPr>
              <ns0:t>.</ns0:t>
            </ns0:r>
          </ns0:p>
        </ns0:tc>
        <ns0:tc>
          <ns0:tcPr>
            <ns0:tcW ns0:w="2601" ns0:type="dxa"/>
            <ns0:vAlign ns0:val="center"/>
          </ns0:tcPr>
          <ns0:p>
            <ns0:pPr>
              <ns0:spacing ns0:before="0" ns0:after="0" ns0:line="220" ns0:lineRule="auto"/>
            </ns0:pPr>
            <ns0:r>
              <ns0:rPr>
                <ns0:sz ns0:val="17"/>
              </ns0:rPr>
              <ns0:t>Target definitions differ from directional next-open outcomes. Because this generation uses V5 data, the upstream V5 audit concerns also apply.</ns0:t>
            </ns0:r>
          </ns0:p>
        </ns0:tc>
      </ns0:tr>
      <ns0:tr>
        <ns0:tc>
          <ns0:tcPr>
            <ns0:tcW ns0:w="2441" ns0:type="dxa"/>
            <ns0:vAlign ns0:val="center"/>
            <ns0:shd ns0:fill="F4F7F9" ns0:val="clear"/>
          </ns0:tcPr>
          <ns0:p>
            <ns0:pPr>
              <ns0:spacing ns0:before="0" ns0:after="0" ns0:line="220" ns0:lineRule="auto"/>
            </ns0:pPr>
            <ns0:r>
              <ns0:rPr>
                <ns0:sz ns0:val="17"/>
              </ns0:rPr>
              <ns0:t>V7</ns0:t>
            </ns0:r>
          </ns0:p>
        </ns0:tc>
        <ns0:tc>
          <ns0:tcPr>
            <ns0:tcW ns0:w="2599" ns0:type="dxa"/>
            <ns0:vAlign ns0:val="center"/>
            <ns0:shd ns0:fill="F4F7F9" ns0:val="clear"/>
          </ns0:tcPr>
          <ns0:p>
            <ns0:pPr>
              <ns0:spacing ns0:before="0" ns0:after="0" ns0:line="220" ns0:lineRule="auto"/>
            </ns0:pPr>
            <ns0:r>
              <ns0:rPr>
                <ns0:sz ns0:val="17"/>
              </ns0:rPr>
              <ns0:t>Described as an equal-weight LightGBM/CatBoost/XGBoost ensemble with chronological folds, explicit exclusions for target/forward-outcome columns, no cross-sectional ranks, and 120 selected features.</ns0:t>
            </ns0:r>
          </ns0:p>
        </ns0:tc>
        <ns0:tc>
          <ns0:tcPr>
            <ns0:tcW ns0:w="2599" ns0:type="dxa"/>
            <ns0:vAlign ns0:val="center"/>
            <ns0:shd ns0:fill="F4F7F9" ns0:val="clear"/>
          </ns0:tcPr>
          <ns0:p>
            <ns0:pPr>
              <ns0:spacing ns0:before="0" ns0:after="0" ns0:line="220" ns0:lineRule="auto"/>
            </ns0:pPr>
            <ns0:r>
              <ns0:rPr>
                <ns0:sz ns0:val="17"/>
              </ns0:rPr>
              <ns0:t xml:space="preserve">Metadata reports OOF AUC: </ns0:t>
            </ns0:r>
            <ns0:r>
              <ns0:rPr>
                <ns0:rFonts ns0:ascii="Consolas" ns0:hAnsi="Consolas"/>
                <ns0:shd ns0:fill="F1F3F5" ns0:val="clear"/>
                <ns0:sz ns0:val="17"/>
              </ns0:rPr>
              <ns0:t>hold1_2pct</ns0:t>
            </ns0:r>
            <ns0:r>
              <ns0:rPr>
                <ns0:sz ns0:val="17"/>
              </ns0:rPr>
              <ns0:t xml:space="preserve"> </ns0:t>
            </ns0:r>
            <ns0:r>
              <ns0:rPr>
                <ns0:b/>
                <ns0:sz ns0:val="17"/>
              </ns0:rPr>
              <ns0:t>0.7084</ns0:t>
            </ns0:r>
            <ns0:r>
              <ns0:rPr>
                <ns0:sz ns0:val="17"/>
              </ns0:rPr>
              <ns0:t xml:space="preserve"> (base rate 16.42%, top-5 hit 47.95%); </ns0:t>
            </ns0:r>
            <ns0:r>
              <ns0:rPr>
                <ns0:rFonts ns0:ascii="Consolas" ns0:hAnsi="Consolas"/>
                <ns0:shd ns0:fill="F1F3F5" ns0:val="clear"/>
                <ns0:sz ns0:val="17"/>
              </ns0:rPr>
              <ns0:t>alpha_spy_2pct</ns0:t>
            </ns0:r>
            <ns0:r>
              <ns0:rPr>
                <ns0:sz ns0:val="17"/>
              </ns0:rPr>
              <ns0:t xml:space="preserve"> </ns0:t>
            </ns0:r>
            <ns0:r>
              <ns0:rPr>
                <ns0:b/>
                <ns0:sz ns0:val="17"/>
              </ns0:rPr>
              <ns0:t>0.7049</ns0:t>
            </ns0:r>
            <ns0:r>
              <ns0:rPr>
                <ns0:sz ns0:val="17"/>
              </ns0:rPr>
              <ns0:t xml:space="preserve"> (base 19.57%, top-5 47.72%); </ns0:t>
            </ns0:r>
            <ns0:r>
              <ns0:rPr>
                <ns0:rFonts ns0:ascii="Consolas" ns0:hAnsi="Consolas"/>
                <ns0:shd ns0:fill="F1F3F5" ns0:val="clear"/>
                <ns0:sz ns0:val="17"/>
              </ns0:rPr>
              <ns0:t>mag_spy_2pct</ns0:t>
            </ns0:r>
            <ns0:r>
              <ns0:rPr>
                <ns0:sz ns0:val="17"/>
              </ns0:rPr>
              <ns0:t xml:space="preserve"> </ns0:t>
            </ns0:r>
            <ns0:r>
              <ns0:rPr>
                <ns0:b/>
                <ns0:sz ns0:val="17"/>
              </ns0:rPr>
              <ns0:t>0.6989</ns0:t>
            </ns0:r>
            <ns0:r>
              <ns0:rPr>
                <ns0:sz ns0:val="17"/>
              </ns0:rPr>
              <ns0:t xml:space="preserve"> (base 38.04%, top-5 62.36%). Three validation folds are recorded.</ns0:t>
            </ns0:r>
          </ns0:p>
        </ns0:tc>
        <ns0:tc>
          <ns0:tcPr>
            <ns0:tcW ns0:w="2601" ns0:type="dxa"/>
            <ns0:vAlign ns0:val="center"/>
            <ns0:shd ns0:fill="F4F7F9" ns0:val="clear"/>
          </ns0:tcPr>
          <ns0:p>
            <ns0:pPr>
              <ns0:spacing ns0:before="0" ns0:after="0" ns0:line="220" ns0:lineRule="auto"/>
            </ns0:pPr>
            <ns0:r>
              <ns0:rPr>
                <ns0:sz ns0:val="17"/>
              </ns0:rPr>
              <ns0:t>This is the most promising candidate for a clean re-audit because its feature exclusions are broader and its blend weights are fixed. The “leakage-free” metadata note is a project claim, not independent verification; feature construction, split reproducibility, and prospective performance still need review.</ns0:t>
            </ns0:r>
          </ns0:p>
        </ns0:tc>
      </ns0:tr>
      <ns0:tr>
        <ns0:tc>
          <ns0:tcPr>
            <ns0:tcW ns0:w="2441" ns0:type="dxa"/>
            <ns0:vAlign ns0:val="center"/>
          </ns0:tcPr>
          <ns0:p>
            <ns0:pPr>
              <ns0:spacing ns0:before="0" ns0:after="0" ns0:line="220" ns0:lineRule="auto"/>
            </ns0:pPr>
            <ns0:r>
              <ns0:rPr>
                <ns0:sz ns0:val="17"/>
              </ns0:rPr>
              <ns0:t>Dataset augmentation V10–V13</ns0:t>
            </ns0:r>
          </ns0:p>
        </ns0:tc>
        <ns0:tc>
          <ns0:tcPr>
            <ns0:tcW ns0:w="2599" ns0:type="dxa"/>
            <ns0:vAlign ns0:val="center"/>
          </ns0:tcPr>
          <ns0:p>
            <ns0:pPr>
              <ns0:spacing ns0:before="0" ns0:after="0" ns0:line="220" ns0:lineRule="auto"/>
            </ns0:pPr>
            <ns0:r>
              <ns0:rPr>
                <ns0:sz ns0:val="17"/>
              </ns0:rPr>
              <ns0:t>Scripts add derived features, proxy targets, market-context features, higher-timeframe structure, and later order-block features.</ns0:t>
            </ns0:r>
          </ns0:p>
        </ns0:tc>
        <ns0:tc>
          <ns0:tcPr>
            <ns0:tcW ns0:w="2599" ns0:type="dxa"/>
            <ns0:vAlign ns0:val="center"/>
          </ns0:tcPr>
          <ns0:p>
            <ns0:pPr>
              <ns0:spacing ns0:before="0" ns0:after="0" ns0:line="220" ns0:lineRule="auto"/>
            </ns0:pPr>
            <ns0:r>
              <ns0:rPr>
                <ns0:sz ns0:val="17"/>
              </ns0:rPr>
              <ns0:t>The relevant generation scripts exist, but the corresponding V10–V13 output datasets were not all present in the inspected checkout. No comparable controlled model-evaluation table for each dataset version was found.</ns0:t>
            </ns0:r>
          </ns0:p>
        </ns0:tc>
        <ns0:tc>
          <ns0:tcPr>
            <ns0:tcW ns0:w="2601" ns0:type="dxa"/>
            <ns0:vAlign ns0:val="center"/>
          </ns0:tcPr>
          <ns0:p>
            <ns0:pPr>
              <ns0:spacing ns0:before="0" ns0:after="0" ns0:line="220" ns0:lineRule="auto"/>
            </ns0:pPr>
            <ns0:r>
              <ns0:rPr>
                <ns0:sz ns0:val="17"/>
              </ns0:rPr>
              <ns0:t>Treat these as documented feature-engineering intentions, not a verified sequence of performance improvements. In particular, some V13 labels are explicitly constructed from heuristic conditions rather than realized threshold outcomes.</ns0:t>
            </ns0:r>
          </ns0:p>
        </ns0:tc>
      </ns0:tr>
    </ns0:tbl>
    <ns0:p>
      <ns0:pPr>
        <ns0:pStyle ns0:val="Heading2"/>
        <ns0:spacing ns0:before="220" ns0:after="100"/>
        <ns0:keepNext/>
        <ns0:keepLines/>
      </ns0:pPr>
      <ns0:r>
        <ns0:t>4.1 Dataset-generation lineage (distinct from model versions)</ns0:t>
      </ns0:r>
    </ns0:p>
    <ns0:p>
      <ns0:pPr>
        <ns0:pStyle ns0:val="BodyText"/>
        <ns0:spacing ns0:after="90"/>
        <ns0:keepLines/>
      </ns0:pPr>
      <ns0:r>
        <ns0:t>The repository also versions datasets separately from trained models. The source scripts support the following reconstruction; these are documented code changes, not proof that every generated dataset was retained or evaluated.</ns0:t>
      </ns0:r>
    </ns0:p>
    <ns0:tbl>
      <ns0:tblPr>
        <ns0:tblW ns0:w="10240" ns0:type="dxa"/>
        <ns0:tblLayout ns0:type="fixed"/>
        <ns0:tblBorders>
          <ns0:top ns0:val="single" ns0:sz="4" ns0:space="0" ns0:color="B8C5D3"/>
          <ns0:left ns0:val="single" ns0:sz="4" ns0:space="0" ns0:color="B8C5D3"/>
          <ns0:bottom ns0:val="single" ns0:sz="4" ns0:space="0" ns0:color="B8C5D3"/>
          <ns0:right ns0:val="single" ns0:sz="4" ns0:space="0" ns0:color="B8C5D3"/>
          <ns0:insideH ns0:val="single" ns0:sz="4" ns0:space="0" ns0:color="B8C5D3"/>
          <ns0:insideV ns0:val="single" ns0:sz="4" ns0:space="0" ns0:color="B8C5D3"/>
        </ns0:tblBorders>
        <ns0:tblCellMar>
          <ns0:top ns0:w="70" ns0:type="dxa"/>
          <ns0:start ns0:w="75" ns0:type="dxa"/>
          <ns0:bottom ns0:w="70" ns0:type="dxa"/>
          <ns0:end ns0:w="75" ns0:type="dxa"/>
        </ns0:tblCellMar>
      </ns0:tblPr>
      <ns0:tblGrid>
        <ns0:gridCol ns0:w="2420"/>
        <ns0:gridCol ns0:w="3909"/>
        <ns0:gridCol ns0:w="3911"/>
      </ns0:tblGrid>
      <ns0:tr>
        <ns0:trPr>
          <ns0:tblHeader ns0:val="true"/>
        </ns0:trPr>
        <ns0:tc>
          <ns0:tcPr>
            <ns0:tcW ns0:w="2420" ns0:type="dxa"/>
            <ns0:vAlign ns0:val="center"/>
            <ns0:shd ns0:fill="1F4E5F" ns0:val="clear"/>
          </ns0:tcPr>
          <ns0:p>
            <ns0:pPr>
              <ns0:spacing ns0:before="0" ns0:after="0" ns0:line="220" ns0:lineRule="auto"/>
            </ns0:pPr>
            <ns0:r>
              <ns0:rPr>
                <ns0:b/>
                <ns0:color ns0:val="FFFFFF"/>
                <ns0:sz ns0:val="17"/>
              </ns0:rPr>
              <ns0:t>Dataset stage</ns0:t>
            </ns0:r>
          </ns0:p>
        </ns0:tc>
        <ns0:tc>
          <ns0:tcPr>
            <ns0:tcW ns0:w="3909" ns0:type="dxa"/>
            <ns0:vAlign ns0:val="center"/>
            <ns0:shd ns0:fill="1F4E5F" ns0:val="clear"/>
          </ns0:tcPr>
          <ns0:p>
            <ns0:pPr>
              <ns0:spacing ns0:before="0" ns0:after="0" ns0:line="220" ns0:lineRule="auto"/>
            </ns0:pPr>
            <ns0:r>
              <ns0:rPr>
                <ns0:b/>
                <ns0:color ns0:val="FFFFFF"/>
                <ns0:sz ns0:val="17"/>
              </ns0:rPr>
              <ns0:t>Changes visible in source</ns0:t>
            </ns0:r>
          </ns0:p>
        </ns0:tc>
        <ns0:tc>
          <ns0:tcPr>
            <ns0:tcW ns0:w="3911" ns0:type="dxa"/>
            <ns0:vAlign ns0:val="center"/>
            <ns0:shd ns0:fill="1F4E5F" ns0:val="clear"/>
          </ns0:tcPr>
          <ns0:p>
            <ns0:pPr>
              <ns0:spacing ns0:before="0" ns0:after="0" ns0:line="220" ns0:lineRule="auto"/>
            </ns0:pPr>
            <ns0:r>
              <ns0:rPr>
                <ns0:b/>
                <ns0:color ns0:val="FFFFFF"/>
                <ns0:sz ns0:val="17"/>
              </ns0:rPr>
              <ns0:t>Research interpretation / caution</ns0:t>
            </ns0:r>
          </ns0:p>
        </ns0:tc>
      </ns0:tr>
      <ns0:tr>
        <ns0:tc>
          <ns0:tcPr>
            <ns0:tcW ns0:w="2420" ns0:type="dxa"/>
            <ns0:vAlign ns0:val="center"/>
          </ns0:tcPr>
          <ns0:p>
            <ns0:pPr>
              <ns0:spacing ns0:before="0" ns0:after="0" ns0:line="220" ns0:lineRule="auto"/>
            </ns0:pPr>
            <ns0:r>
              <ns0:rPr>
                <ns0:sz ns0:val="17"/>
              </ns0:rPr>
              <ns0:t>V10-style generator</ns0:t>
            </ns0:r>
          </ns0:p>
        </ns0:tc>
        <ns0:tc>
          <ns0:tcPr>
            <ns0:tcW ns0:w="3909" ns0:type="dxa"/>
            <ns0:vAlign ns0:val="center"/>
          </ns0:tcPr>
          <ns0:p>
            <ns0:pPr>
              <ns0:spacing ns0:before="0" ns0:after="0" ns0:line="220" ns0:lineRule="auto"/>
            </ns0:pPr>
            <ns0:r>
              <ns0:rPr>
                <ns0:rFonts ns0:ascii="Consolas" ns0:hAnsi="Consolas"/>
                <ns0:shd ns0:fill="F1F3F5" ns0:val="clear"/>
                <ns0:sz ns0:val="17"/>
              </ns0:rPr>
              <ns0:t>Python/generate_ml_dataset.py</ns0:t>
            </ns0:r>
            <ns0:r>
              <ns0:rPr>
                <ns0:sz ns0:val="17"/>
              </ns0:rPr>
              <ns0:t xml:space="preserve"> detects swing lows only after two confirmation bars, records later zone retests, adds technical/volume/market-context features, and simulates a 20-day +15% target / -5% stop outcome.</ns0:t>
            </ns0:r>
          </ns0:p>
        </ns0:tc>
        <ns0:tc>
          <ns0:tcPr>
            <ns0:tcW ns0:w="3911" ns0:type="dxa"/>
            <ns0:vAlign ns0:val="center"/>
          </ns0:tcPr>
          <ns0:p>
            <ns0:pPr>
              <ns0:spacing ns0:before="0" ns0:after="0" ns0:line="220" ns0:lineRule="auto"/>
            </ns0:pPr>
            <ns0:r>
              <ns0:rPr>
                <ns0:sz ns0:val="17"/>
              </ns0:rPr>
              <ns0:t>Initial task is a barrier-touch trade simulation. The label depends on future highs/lows by design; all such outcome fields must remain targets/backtest-only. The configured output location names V10, but its exact final contents are not present here.</ns0:t>
            </ns0:r>
          </ns0:p>
        </ns0:tc>
      </ns0:tr>
      <ns0:tr>
        <ns0:tc>
          <ns0:tcPr>
            <ns0:tcW ns0:w="2420" ns0:type="dxa"/>
            <ns0:vAlign ns0:val="center"/>
            <ns0:shd ns0:fill="F4F7F9" ns0:val="clear"/>
          </ns0:tcPr>
          <ns0:p>
            <ns0:pPr>
              <ns0:spacing ns0:before="0" ns0:after="0" ns0:line="220" ns0:lineRule="auto"/>
            </ns0:pPr>
            <ns0:r>
              <ns0:rPr>
                <ns0:sz ns0:val="17"/>
              </ns0:rPr>
              <ns0:t>V11 augmentation</ns0:t>
            </ns0:r>
          </ns0:p>
        </ns0:tc>
        <ns0:tc>
          <ns0:tcPr>
            <ns0:tcW ns0:w="3909" ns0:type="dxa"/>
            <ns0:vAlign ns0:val="center"/>
            <ns0:shd ns0:fill="F4F7F9" ns0:val="clear"/>
          </ns0:tcPr>
          <ns0:p>
            <ns0:pPr>
              <ns0:spacing ns0:before="0" ns0:after="0" ns0:line="220" ns0:lineRule="auto"/>
            </ns0:pPr>
            <ns0:r>
              <ns0:rPr>
                <ns0:sz ns0:val="17"/>
              </ns0:rPr>
              <ns0:t xml:space="preserve">Adds nine derived features, including zone-efficiency, volume-pressure, and volatility-adjusted market-context terms. It sets </ns0:t>
            </ns0:r>
            <ns0:r>
              <ns0:rPr>
                <ns0:rFonts ns0:ascii="Consolas" ns0:hAnsi="Consolas"/>
                <ns0:shd ns0:fill="F1F3F5" ns0:val="clear"/>
                <ns0:sz ns0:val="17"/>
              </ns0:rPr>
              <ns0:t>market_relative_hit</ns0:t>
            </ns0:r>
            <ns0:r>
              <ns0:rPr>
                <ns0:sz ns0:val="17"/>
              </ns0:rPr>
              <ns0:t xml:space="preserve"> equal to </ns0:t>
            </ns0:r>
            <ns0:r>
              <ns0:rPr>
                <ns0:rFonts ns0:ascii="Consolas" ns0:hAnsi="Consolas"/>
                <ns0:shd ns0:fill="F1F3F5" ns0:val="clear"/>
                <ns0:sz ns0:val="17"/>
              </ns0:rPr>
              <ns0:t>hit_target</ns0:t>
            </ns0:r>
            <ns0:r>
              <ns0:rPr>
                <ns0:sz ns0:val="17"/>
              </ns0:rPr>
              <ns0:t>.</ns0:t>
            </ns0:r>
          </ns0:p>
        </ns0:tc>
        <ns0:tc>
          <ns0:tcPr>
            <ns0:tcW ns0:w="3911" ns0:type="dxa"/>
            <ns0:vAlign ns0:val="center"/>
            <ns0:shd ns0:fill="F4F7F9" ns0:val="clear"/>
          </ns0:tcPr>
          <ns0:p>
            <ns0:pPr>
              <ns0:spacing ns0:before="0" ns0:after="0" ns0:line="220" ns0:lineRule="auto"/>
            </ns0:pPr>
            <ns0:r>
              <ns0:rPr>
                <ns0:sz ns0:val="17"/>
              </ns0:rPr>
              <ns0:t xml:space="preserve">Some additions are feature engineering; </ns0:t>
            </ns0:r>
            <ns0:r>
              <ns0:rPr>
                <ns0:rFonts ns0:ascii="Consolas" ns0:hAnsi="Consolas"/>
                <ns0:shd ns0:fill="F1F3F5" ns0:val="clear"/>
                <ns0:sz ns0:val="17"/>
              </ns0:rPr>
              <ns0:t>market_relative_hit</ns0:t>
            </ns0:r>
            <ns0:r>
              <ns0:rPr>
                <ns0:sz ns0:val="17"/>
              </ns0:rPr>
              <ns0:t xml:space="preserve"> is not an independent market-relative realized return. Treat the name as misleading and do not use it as a distinct empirical claim.</ns0:t>
            </ns0:r>
          </ns0:p>
        </ns0:tc>
      </ns0:tr>
      <ns0:tr>
        <ns0:tc>
          <ns0:tcPr>
            <ns0:tcW ns0:w="2420" ns0:type="dxa"/>
            <ns0:vAlign ns0:val="center"/>
          </ns0:tcPr>
          <ns0:p>
            <ns0:pPr>
              <ns0:spacing ns0:before="0" ns0:after="0" ns0:line="220" ns0:lineRule="auto"/>
            </ns0:pPr>
            <ns0:r>
              <ns0:rPr>
                <ns0:sz ns0:val="17"/>
              </ns0:rPr>
              <ns0:t>V12 augmentation</ns0:t>
            </ns0:r>
          </ns0:p>
        </ns0:tc>
        <ns0:tc>
          <ns0:tcPr>
            <ns0:tcW ns0:w="3909" ns0:type="dxa"/>
            <ns0:vAlign ns0:val="center"/>
          </ns0:tcPr>
          <ns0:p>
            <ns0:pPr>
              <ns0:spacing ns0:before="0" ns0:after="0" ns0:line="220" ns0:lineRule="auto"/>
            </ns0:pPr>
            <ns0:r>
              <ns0:rPr>
                <ns0:sz ns0:val="17"/>
              </ns0:rPr>
              <ns0:t xml:space="preserve">Adds a </ns0:t>
            </ns0:r>
            <ns0:r>
              <ns0:rPr>
                <ns0:rFonts ns0:ascii="Consolas" ns0:hAnsi="Consolas"/>
                <ns0:shd ns0:fill="F1F3F5" ns0:val="clear"/>
                <ns0:sz ns0:val="17"/>
              </ns0:rPr>
              <ns0:t>strong_hit</ns0:t>
            </ns0:r>
            <ns0:r>
              <ns0:rPr>
                <ns0:sz ns0:val="17"/>
              </ns0:rPr>
              <ns0:t xml:space="preserve"> target using </ns0:t>
            </ns0:r>
            <ns0:r>
              <ns0:rPr>
                <ns0:rFonts ns0:ascii="Consolas" ns0:hAnsi="Consolas"/>
                <ns0:shd ns0:fill="F1F3F5" ns0:val="clear"/>
                <ns0:sz ns0:val="17"/>
              </ns0:rPr>
              <ns0:t>hit_target</ns0:t>
            </ns0:r>
            <ns0:r>
              <ns0:rPr>
                <ns0:sz ns0:val="17"/>
              </ns0:rPr>
              <ns0:t xml:space="preserve"> and an SPY-return condition, plus momentum, zone-to-volatility, trend/momentum, rejection/volume, zone-depth, and liquidity/trend features.</ns0:t>
            </ns0:r>
          </ns0:p>
        </ns0:tc>
        <ns0:tc>
          <ns0:tcPr>
            <ns0:tcW ns0:w="3911" ns0:type="dxa"/>
            <ns0:vAlign ns0:val="center"/>
          </ns0:tcPr>
          <ns0:p>
            <ns0:pPr>
              <ns0:spacing ns0:before="0" ns0:after="0" ns0:line="220" ns0:lineRule="auto"/>
            </ns0:pPr>
            <ns0:r>
              <ns0:rPr>
                <ns0:rFonts ns0:ascii="Consolas" ns0:hAnsi="Consolas"/>
                <ns0:shd ns0:fill="F1F3F5" ns0:val="clear"/>
                <ns0:sz ns0:val="17"/>
              </ns0:rPr>
              <ns0:t>strong_hit</ns0:t>
            </ns0:r>
            <ns0:r>
              <ns0:rPr>
                <ns0:sz ns0:val="17"/>
              </ns0:rPr>
              <ns0:t xml:space="preserve"> is a rule-filtered version of the existing label, not a separately measured return threshold. It changes the question and should be described as a proxy label.</ns0:t>
            </ns0:r>
          </ns0:p>
        </ns0:tc>
      </ns0:tr>
      <ns0:tr>
        <ns0:tc>
          <ns0:tcPr>
            <ns0:tcW ns0:w="2420" ns0:type="dxa"/>
            <ns0:vAlign ns0:val="center"/>
            <ns0:shd ns0:fill="F4F7F9" ns0:val="clear"/>
          </ns0:tcPr>
          <ns0:p>
            <ns0:pPr>
              <ns0:spacing ns0:before="0" ns0:after="0" ns0:line="220" ns0:lineRule="auto"/>
            </ns0:pPr>
            <ns0:r>
              <ns0:rPr>
                <ns0:sz ns0:val="17"/>
              </ns0:rPr>
              <ns0:t>V13 augmentation</ns0:t>
            </ns0:r>
          </ns0:p>
        </ns0:tc>
        <ns0:tc>
          <ns0:tcPr>
            <ns0:tcW ns0:w="3909" ns0:type="dxa"/>
            <ns0:vAlign ns0:val="center"/>
            <ns0:shd ns0:fill="F4F7F9" ns0:val="clear"/>
          </ns0:tcPr>
          <ns0:p>
            <ns0:pPr>
              <ns0:spacing ns0:before="0" ns0:after="0" ns0:line="220" ns0:lineRule="auto"/>
            </ns0:pPr>
            <ns0:r>
              <ns0:rPr>
                <ns0:sz ns0:val="17"/>
              </ns0:rPr>
              <ns0:t xml:space="preserve">Adds multi-level </ns0:t>
            </ns0:r>
            <ns0:r>
              <ns0:rPr>
                <ns0:rFonts ns0:ascii="Consolas" ns0:hAnsi="Consolas"/>
                <ns0:shd ns0:fill="F1F3F5" ns0:val="clear"/>
                <ns0:sz ns0:val="17"/>
              </ns0:rPr>
              <ns0:t>hit_5pct</ns0:t>
            </ns0:r>
            <ns0:r>
              <ns0:rPr>
                <ns0:sz ns0:val="17"/>
              </ns0:rPr>
              <ns0:t xml:space="preserve">, </ns0:t>
            </ns0:r>
            <ns0:r>
              <ns0:rPr>
                <ns0:rFonts ns0:ascii="Consolas" ns0:hAnsi="Consolas"/>
                <ns0:shd ns0:fill="F1F3F5" ns0:val="clear"/>
                <ns0:sz ns0:val="17"/>
              </ns0:rPr>
              <ns0:t>hit_10pct</ns0:t>
            </ns0:r>
            <ns0:r>
              <ns0:rPr>
                <ns0:sz ns0:val="17"/>
              </ns0:rPr>
              <ns0:t xml:space="preserve">, </ns0:t>
            </ns0:r>
            <ns0:r>
              <ns0:rPr>
                <ns0:rFonts ns0:ascii="Consolas" ns0:hAnsi="Consolas"/>
                <ns0:shd ns0:fill="F1F3F5" ns0:val="clear"/>
                <ns0:sz ns0:val="17"/>
              </ns0:rPr>
              <ns0:t>hit_15pct</ns0:t>
            </ns0:r>
            <ns0:r>
              <ns0:rPr>
                <ns0:sz ns0:val="17"/>
              </ns0:rPr>
              <ns0:t xml:space="preserve">, </ns0:t>
            </ns0:r>
            <ns0:r>
              <ns0:rPr>
                <ns0:rFonts ns0:ascii="Consolas" ns0:hAnsi="Consolas"/>
                <ns0:shd ns0:fill="F1F3F5" ns0:val="clear"/>
                <ns0:sz ns0:val="17"/>
              </ns0:rPr>
              <ns0:t>hit_20pct</ns0:t>
            </ns0:r>
            <ns0:r>
              <ns0:rPr>
                <ns0:sz ns0:val="17"/>
              </ns0:rPr>
              <ns0:t>, a graded tier, and additional regime, relative-strength, volatility, liquidity, gap, zone, and higher-timeframe features. A separate order-block augmenter is documented as adding roughly 55 features.</ns0:t>
            </ns0:r>
          </ns0:p>
        </ns0:tc>
        <ns0:tc>
          <ns0:tcPr>
            <ns0:tcW ns0:w="3911" ns0:type="dxa"/>
            <ns0:vAlign ns0:val="center"/>
            <ns0:shd ns0:fill="F4F7F9" ns0:val="clear"/>
          </ns0:tcPr>
          <ns0:p>
            <ns0:pPr>
              <ns0:spacing ns0:before="0" ns0:after="0" ns0:line="220" ns0:lineRule="auto"/>
            </ns0:pPr>
            <ns0:r>
              <ns0:rPr>
                <ns0:sz ns0:val="17"/>
              </ns0:rPr>
              <ns0:t xml:space="preserve">The source constructs several lower/higher-threshold labels with heuristic rules using </ns0:t>
            </ns0:r>
            <ns0:r>
              <ns0:rPr>
                <ns0:rFonts ns0:ascii="Consolas" ns0:hAnsi="Consolas"/>
                <ns0:shd ns0:fill="F1F3F5" ns0:val="clear"/>
                <ns0:sz ns0:val="17"/>
              </ns0:rPr>
              <ns0:t>hit_target</ns0:t>
            </ns0:r>
            <ns0:r>
              <ns0:rPr>
                <ns0:sz ns0:val="17"/>
              </ns0:rPr>
              <ns0:t xml:space="preserve"> and contemporaneous features; they are not all computed from realized +5%/+10%/+20% outcomes. The order-block extension requires its own timing audit and the version/output lineage is not completely reconstructable from available artifacts.</ns0:t>
            </ns0:r>
          </ns0:p>
        </ns0:tc>
      </ns0:tr>
      <ns0:tr>
        <ns0:tc>
          <ns0:tcPr>
            <ns0:tcW ns0:w="2420" ns0:type="dxa"/>
            <ns0:vAlign ns0:val="center"/>
          </ns0:tcPr>
          <ns0:p>
            <ns0:pPr>
              <ns0:spacing ns0:before="0" ns0:after="0" ns0:line="220" ns0:lineRule="auto"/>
            </ns0:pPr>
            <ns0:r>
              <ns0:rPr>
                <ns0:sz ns0:val="17"/>
              </ns0:rPr>
              <ns0:t>Hold-1 target conversion</ns0:t>
            </ns0:r>
          </ns0:p>
        </ns0:tc>
        <ns0:tc>
          <ns0:tcPr>
            <ns0:tcW ns0:w="3909" ns0:type="dxa"/>
            <ns0:vAlign ns0:val="center"/>
          </ns0:tcPr>
          <ns0:p>
            <ns0:pPr>
              <ns0:spacing ns0:before="0" ns0:after="0" ns0:line="220" ns0:lineRule="auto"/>
            </ns0:pPr>
            <ns0:r>
              <ns0:rPr>
                <ns0:rFonts ns0:ascii="Consolas" ns0:hAnsi="Consolas"/>
                <ns0:shd ns0:fill="F1F3F5" ns0:val="clear"/>
                <ns0:sz ns0:val="17"/>
              </ns0:rPr>
              <ns0:t>backend/build_hold1_targets.py</ns0:t>
            </ns0:r>
            <ns0:r>
              <ns0:rPr>
                <ns0:sz ns0:val="17"/>
              </ns0:rPr>
              <ns0:t xml:space="preserve"> uses subsequent OHLCV bars to attach buy-open[T+1], sell-open[T+2], same-day-close, and strict close-plus-open outcomes to V13 signal rows.</ns0:t>
            </ns0:r>
          </ns0:p>
        </ns0:tc>
        <ns0:tc>
          <ns0:tcPr>
            <ns0:tcW ns0:w="3911" ns0:type="dxa"/>
            <ns0:vAlign ns0:val="center"/>
          </ns0:tcPr>
          <ns0:p>
            <ns0:pPr>
              <ns0:spacing ns0:before="0" ns0:after="0" ns0:line="220" ns0:lineRule="auto"/>
            </ns0:pPr>
            <ns0:r>
              <ns0:rPr>
                <ns0:sz ns0:val="17"/>
              </ns0:rPr>
              <ns0:t>This is the clearest conceptual shift toward an executable target. It needs exact input data and row alignment verification before claiming every saved sample is correct.</ns0:t>
            </ns0:r>
          </ns0:p>
        </ns0:tc>
      </ns0:tr>
    </ns0:tbl>
    <ns0:p>
      <ns0:pPr>
        <ns0:pStyle ns0:val="Heading2"/>
        <ns0:spacing ns0:before="220" ns0:after="100"/>
        <ns0:keepNext/>
        <ns0:keepLines/>
      </ns0:pPr>
      <ns0:r>
        <ns0:t>4.2 Why version comparisons are difficult</ns0:t>
      </ns0:r>
    </ns0:p>
    <ns0:p>
      <ns0:pPr>
        <ns0:pStyle ns0:val="BodyText"/>
        <ns0:spacing ns0:after="90"/>
        <ns0:keepLines/>
      </ns0:pPr>
      <ns0:r>
        <ns0:t>AUC values cannot be ranked across rows of the preceding table as if they measured the same task. The targets differ (absolute stock return, SPY-relative return, magnitude of either-direction return, and same-day movement), as do feature sets, validation folds, universe assumptions, sample sizes, and base rates. A larger AUC can result from a different prediction question or evaluation design rather than a better model. Even when target names match, differing folds, feature matrices, or tuning decisions can prevent a like-for-like comparison. Any valid performance comparison must hold those choices fixed.</ns0:t>
      </ns0:r>
    </ns0:p>
    <ns0:p>
      <ns0:pPr>
        <ns0:pStyle ns0:val="BodyText"/>
        <ns0:spacing ns0:after="90"/>
        <ns0:keepLines/>
      </ns0:pPr>
      <ns0:r>
        <ns0:t>The project’s meaningful iteration is therefore not simply “V1 to V7 increased AUC.” It is a sequence of changes in the problem definition and research process: from simulated zone-touch outcomes toward executable next-session targets; from single-model references toward model and feature comparisons; and from initially strong retrospective scores toward explicit leakage exclusions and chronological evaluation.</ns0:t>
      </ns0:r>
    </ns0:p>
    <ns0:p>
      <ns0:pPr>
        <ns0:pStyle ns0:val="Heading2"/>
        <ns0:spacing ns0:before="220" ns0:after="100"/>
        <ns0:keepNext/>
        <ns0:keepLines/>
      </ns0:pPr>
      <ns0:r>
        <ns0:t>4.3 What each iteration improved—and what it exposed</ns0:t>
      </ns0:r>
    </ns0:p>
    <ns0:p>
      <ns0:pPr>
        <ns0:pStyle ns0:val="BodyText"/>
        <ns0:spacing ns0:after="90"/>
        <ns0:keepLines/>
      </ns0:pPr>
      <ns0:r>
        <ns0:rPr>
          <ns0:rFonts ns0:ascii="Consolas" ns0:hAnsi="Consolas"/>
          <ns0:shd ns0:fill="F1F3F5" ns0:val="clear"/>
          <ns0:sz ns0:val="18"/>
        </ns0:rPr>
        <ns0:t>The following version summaries separate intended engineering or measurement changes from demonstrated predictive improvement. “Historically reported” means preserved in a project report or metadata, not independently reproduced during this audit. The version transitions were not matched controlled experiments; metric differences cannot be attributed to an individual code change. The v1.0.1 saved-score checks reported later are limited to arithmetic and retained-output integrity, not reproduction of the pipeline that generated the scores.</ns0:t>
      </ns0:r>
    </ns0:p>
    <ns0:p>
      <ns0:pPr>
        <ns0:pStyle ns0:val="Heading3"/>
        <ns0:spacing ns0:before="220" ns0:after="100"/>
        <ns0:keepNext/>
        <ns0:keepLines/>
      </ns0:pPr>
      <ns0:r>
        <ns0:t>V1: a useful reported reference, but an unrecovered experiment</ns0:t>
      </ns0:r>
    </ns0:p>
    <ns0:p>
      <ns0:pPr>
        <ns0:pStyle ns0:val="BodyText"/>
        <ns0:spacing ns0:after="90"/>
        <ns0:keepLines/>
      </ns0:pPr>
      <ns0:r>
        <ns0:rPr>
          <ns0:b/>
        </ns0:rPr>
        <ns0:t>What it established.</ns0:t>
      </ns0:r>
      <ns0:r>
        <ns0:t xml:space="preserve"> The V2 report quotes a V1 “hold1 XGBoost” baseline with AUC 0.619 and top-5% hit rate 29.0%, giving later development a point of comparison.</ns0:t>
      </ns0:r>
    </ns0:p>
    <ns0:p>
      <ns0:pPr>
        <ns0:pStyle ns0:val="BodyText"/>
        <ns0:spacing ns0:after="90"/>
        <ns0:keepLines/>
      </ns0:pPr>
      <ns0:r>
        <ns0:rPr>
          <ns0:b/>
        </ns0:rPr>
        <ns0:t>What cannot be established.</ns0:t>
      </ns0:r>
      <ns0:r>
        <ns0:t xml:space="preserve"> The corresponding V1 metadata, exact data/label construction, fold boundaries, feature list, and saved predictions were not recovered in the inspected paths. The V1 score is therefore a later report’s quotation, not an independently reproducible result. The description also suggests the next-open hold-1 target may predate V2; Part I does not claim V2 invented that target.</ns0:t>
      </ns0:r>
    </ns0:p>
    <ns0:p>
      <ns0:pPr>
        <ns0:pStyle ns0:val="BodyText"/>
        <ns0:spacing ns0:after="90"/>
        <ns0:keepLines/>
      </ns0:pPr>
      <ns0:r>
        <ns0:rPr>
          <ns0:b/>
        </ns0:rPr>
        <ns0:t>Lesson.</ns0:t>
      </ns0:r>
      <ns0:r>
        <ns0:t xml:space="preserve"> A baseline is only useful for measuring change when its experimental setup is preserved. The V1 number can motivate the story, but cannot on its own establish how much V2 improved.</ns0:t>
      </ns0:r>
    </ns0:p>
    <ns0:p>
      <ns0:pPr>
        <ns0:pStyle ns0:val="Heading3"/>
        <ns0:spacing ns0:before="220" ns0:after="100"/>
        <ns0:keepNext/>
        <ns0:keepLines/>
      </ns0:pPr>
      <ns0:r>
        <ns0:t>V1 → V2: broader model comparison, but a score that needed an input audit</ns0:t>
      </ns0:r>
    </ns0:p>
    <ns0:p>
      <ns0:pPr>
        <ns0:pStyle ns0:val="BodyText"/>
        <ns0:spacing ns0:after="90"/>
        <ns0:keepLines/>
      </ns0:pPr>
      <ns0:r>
        <ns0:rPr>
          <ns0:b/>
        </ns0:rPr>
        <ns0:t>What changed and why.</ns0:t>
      </ns0:r>
      <ns0:r>
        <ns0:t xml:space="preserve"> V2’s saved report documents a next-open hold-1 outcome and compares CatBoost, Random Forest, LightGBM, XGBoost, and LambdaRank, alongside richer market/regime/volume/liquidity context. This is a broader model comparison than the V1 XGBoost reference. Because the V2 report itself describes V1 as a “hold1 XGBoost” baseline, the exact target transition between versions is not established; the defensible claim is that V2 documented the evaluation and model comparison more fully.</ns0:t>
      </ns0:r>
    </ns0:p>
    <ns0:p>
      <ns0:pPr>
        <ns0:pStyle ns0:val="BodyText"/>
        <ns0:spacing ns0:after="90"/>
        <ns0:keepLines/>
      </ns0:pPr>
      <ns0:r>
        <ns0:rPr>
          <ns0:b/>
        </ns0:rPr>
        <ns0:t>What the saved result says.</ns0:t>
      </ns0:r>
      <ns0:r>
        <ns0:t xml:space="preserve"> The V2 report quotes the V1 baseline at AUC 0.619 and top-5 hit rate 29.0%; it reports V2 CatBoost five-fold AUC 0.67595. This is an apparent increase within the report, not a verified matched experiment.</ns0:t>
      </ns0:r>
    </ns0:p>
    <ns0:p>
      <ns0:pPr>
        <ns0:pStyle ns0:val="BodyText"/>
        <ns0:spacing ns0:after="90"/>
        <ns0:keepLines/>
      </ns0:pPr>
      <ns0:r>
        <ns0:rPr>
          <ns0:b/>
        </ns0:rPr>
        <ns0:t>What improved / what remained unresolved.</ns0:t>
      </ns0:r>
      <ns0:r>
        <ns0:t xml:space="preserve"> The report exposes more model families and fold-level evidence, and includes a negative simulated trading result rather than equating AUC with profitability. The feature filter appears to exclude </ns0:t>
      </ns0:r>
      <ns0:r>
        <ns0:rPr>
          <ns0:rFonts ns0:ascii="Consolas" ns0:hAnsi="Consolas"/>
          <ns0:shd ns0:fill="F1F3F5" ns0:val="clear"/>
          <ns0:sz ns0:val="18"/>
        </ns0:rPr>
        <ns0:t>bench_SPY_hold1</ns0:t>
      </ns0:r>
      <ns0:r>
        <ns0:t xml:space="preserve"> without excluding every forward </ns0:t>
      </ns0:r>
      <ns0:r>
        <ns0:rPr>
          <ns0:rFonts ns0:ascii="Consolas" ns0:hAnsi="Consolas"/>
          <ns0:shd ns0:fill="F1F3F5" ns0:val="clear"/>
          <ns0:sz ns0:val="18"/>
        </ns0:rPr>
        <ns0:t>bench_*_hold1</ns0:t>
      </ns0:r>
      <ns0:r>
        <ns0:t xml:space="preserve"> return created by the dataset builder.</ns0:t>
      </ns0:r>
    </ns0:p>
    <ns0:p>
      <ns0:pPr>
        <ns0:pStyle ns0:val="BodyText"/>
        <ns0:spacing ns0:after="90"/>
        <ns0:keepLines/>
      </ns0:pPr>
      <ns0:r>
        <ns0:rPr>
          <ns0:b/>
        </ns0:rPr>
        <ns0:t>Lesson.</ns0:t>
      </ns0:r>
      <ns0:r>
        <ns0:t xml:space="preserve"> A larger reported score may reflect a better model, but it may also reflect invalid future information or differences in the experiment. Audit the inputs before crediting complexity.</ns0:t>
      </ns0:r>
    </ns0:p>
    <ns0:p>
      <ns0:pPr>
        <ns0:pStyle ns0:val="Heading3"/>
        <ns0:spacing ns0:before="220" ns0:after="100"/>
        <ns0:keepNext/>
        <ns0:keepLines/>
      </ns0:pPr>
      <ns0:r>
        <ns0:t>V2 → V3: a shift in the highlighted target, not a like-for-like gain</ns0:t>
      </ns0:r>
    </ns0:p>
    <ns0:p>
      <ns0:pPr>
        <ns0:pStyle ns0:val="BodyText"/>
        <ns0:spacing ns0:after="90"/>
        <ns0:keepLines/>
      </ns0:pPr>
      <ns0:r>
        <ns0:rPr>
          <ns0:b/>
        </ns0:rPr>
        <ns0:t>What changed and why.</ns0:t>
      </ns0:r>
      <ns0:r>
        <ns0:t xml:space="preserve"> V3 expands the feature/universe ambitions and foregrounds benchmark-relative alpha metrics such as </ns0:t>
      </ns0:r>
      <ns0:r>
        <ns0:rPr>
          <ns0:rFonts ns0:ascii="Consolas" ns0:hAnsi="Consolas"/>
          <ns0:shd ns0:fill="F1F3F5" ns0:val="clear"/>
          <ns0:sz ns0:val="18"/>
        </ns0:rPr>
        <ns0:t>alpha_spy_2pct</ns0:t>
      </ns0:r>
      <ns0:r>
        <ns0:t>. The V2 dataset builder also creates alpha targets, so the available evidence does not show that V3 invented this target or that every V2 model was trained only on absolute returns. What changed clearly in the retained metadata is which target/result is highlighted.</ns0:t>
      </ns0:r>
    </ns0:p>
    <ns0:p>
      <ns0:pPr>
        <ns0:pStyle ns0:val="BodyText"/>
        <ns0:spacing ns0:after="90"/>
        <ns0:keepLines/>
      </ns0:pPr>
      <ns0:r>
        <ns0:rPr>
          <ns0:b/>
        </ns0:rPr>
        <ns0:t>What the saved result says.</ns0:t>
      </ns0:r>
      <ns0:r>
        <ns0:t xml:space="preserve"> V3 metadata reports AUC 0.72811 for </ns0:t>
      </ns0:r>
      <ns0:r>
        <ns0:rPr>
          <ns0:rFonts ns0:ascii="Consolas" ns0:hAnsi="Consolas"/>
          <ns0:shd ns0:fill="F1F3F5" ns0:val="clear"/>
          <ns0:sz ns0:val="18"/>
        </ns0:rPr>
        <ns0:t>alpha_spy_2pct</ns0:t>
      </ns0:r>
      <ns0:r>
        <ns0:t xml:space="preserve"> and 0.67123 for </ns0:t>
      </ns0:r>
      <ns0:r>
        <ns0:rPr>
          <ns0:rFonts ns0:ascii="Consolas" ns0:hAnsi="Consolas"/>
          <ns0:shd ns0:fill="F1F3F5" ns0:val="clear"/>
          <ns0:sz ns0:val="18"/>
        </ns0:rPr>
        <ns0:t>hold1_2pct</ns0:t>
      </ns0:r>
      <ns0:r>
        <ns0:t xml:space="preserve">. The 0.72811 value is not a direct improvement over V2’s reported </ns0:t>
      </ns0:r>
      <ns0:r>
        <ns0:rPr>
          <ns0:rFonts ns0:ascii="Consolas" ns0:hAnsi="Consolas"/>
          <ns0:shd ns0:fill="F1F3F5" ns0:val="clear"/>
          <ns0:sz ns0:val="18"/>
        </ns0:rPr>
        <ns0:t>hold1_2pct</ns0:t>
      </ns0:r>
      <ns0:r>
        <ns0:t xml:space="preserve"> AUC of 0.67595: it answers a benchmark-relative question. On the similarly named </ns0:t>
      </ns0:r>
      <ns0:r>
        <ns0:rPr>
          <ns0:rFonts ns0:ascii="Consolas" ns0:hAnsi="Consolas"/>
          <ns0:shd ns0:fill="F1F3F5" ns0:val="clear"/>
          <ns0:sz ns0:val="18"/>
        </ns0:rPr>
        <ns0:t>hold1_2pct</ns0:t>
      </ns0:r>
      <ns0:r>
        <ns0:t xml:space="preserve"> target, V3’s saved AUC is numerically lower than V2’s, but the folds, rows, feature list, universe, and training process are not established as identical, so this is not a matched decline either. The alpha scores also are not established as matched evaluations.</ns0:t>
      </ns0:r>
    </ns0:p>
    <ns0:p>
      <ns0:pPr>
        <ns0:pStyle ns0:val="BodyText"/>
        <ns0:spacing ns0:after="90"/>
        <ns0:keepLines/>
      </ns0:pPr>
      <ns0:r>
        <ns0:rPr>
          <ns0:b/>
        </ns0:rPr>
        <ns0:t>What improved / what remained unresolved.</ns0:t>
      </ns0:r>
      <ns0:r>
        <ns0:t xml:space="preserve"> Benchmark-relative prediction asks whether the stock outperforms the benchmark by a threshold, not whether it simply rises by that amount. The V2/V3 feature-exclusion patterns also appear to leave some forward benchmark-return fields eligible as predictors.</ns0:t>
      </ns0:r>
    </ns0:p>
    <ns0:p>
      <ns0:pPr>
        <ns0:pStyle ns0:val="BodyText"/>
        <ns0:spacing ns0:after="90"/>
        <ns0:keepLines/>
      </ns0:pPr>
      <ns0:r>
        <ns0:rPr>
          <ns0:b/>
        </ns0:rPr>
        <ns0:t>Lesson.</ns0:t>
      </ns0:r>
      <ns0:r>
        <ns0:t xml:space="preserve"> Changing the selected target can change prevalence, difficulty, and AUC without making the model objectively better at the earlier task. Compare like with like, and state which question each score answers.</ns0:t>
      </ns0:r>
    </ns0:p>
    <ns0:p>
      <ns0:pPr>
        <ns0:pStyle ns0:val="Heading3"/>
        <ns0:spacing ns0:before="220" ns0:after="100"/>
        <ns0:keepNext/>
        <ns0:keepLines/>
      </ns0:pPr>
      <ns0:r>
        <ns0:t>V3 → V4: more sophisticated ensembles, more ways to reuse outcomes</ns0:t>
      </ns0:r>
    </ns0:p>
    <ns0:p>
      <ns0:pPr>
        <ns0:pStyle ns0:val="BodyText"/>
        <ns0:spacing ns0:after="90"/>
        <ns0:keepLines/>
      </ns0:pPr>
      <ns0:r>
        <ns0:rPr>
          <ns0:b/>
        </ns0:rPr>
        <ns0:t>What changed and why.</ns0:t>
      </ns0:r>
      <ns0:r>
        <ns0:t xml:space="preserve"> V4 adds a CatBoost/XGBoost/LightGBM ensemble, interactions, recency weighting, and ticker/month target encodings.</ns0:t>
      </ns0:r>
    </ns0:p>
    <ns0:p>
      <ns0:pPr>
        <ns0:pStyle ns0:val="BodyText"/>
        <ns0:spacing ns0:after="90"/>
        <ns0:keepLines/>
      </ns0:pPr>
      <ns0:r>
        <ns0:rPr>
          <ns0:b/>
        </ns0:rPr>
        <ns0:t>What the saved result says.</ns0:t>
      </ns0:r>
      <ns0:r>
        <ns0:t xml:space="preserve"> V4 metadata reports </ns0:t>
      </ns0:r>
      <ns0:r>
        <ns0:rPr>
          <ns0:rFonts ns0:ascii="Consolas" ns0:hAnsi="Consolas"/>
          <ns0:shd ns0:fill="F1F3F5" ns0:val="clear"/>
          <ns0:sz ns0:val="18"/>
        </ns0:rPr>
        <ns0:t>alpha_spy_2pct</ns0:t>
      </ns0:r>
      <ns0:r>
        <ns0:t xml:space="preserve"> OOF AUC 0.74464 and temporal-test AUC 0.72799, versus V3 metadata’s 0.72811. V4’s OOF number is numerically higher, while its temporal-test number is slightly lower. The versions are not demonstrated to share an identical universe, folds, features, or tuning process, so neither difference is a clean estimate of an ensemble gain.</ns0:t>
      </ns0:r>
    </ns0:p>
    <ns0:p>
      <ns0:pPr>
        <ns0:pStyle ns0:val="BodyText"/>
        <ns0:spacing ns0:after="90"/>
        <ns0:keepLines/>
      </ns0:pPr>
      <ns0:r>
        <ns0:rPr>
          <ns0:b/>
        </ns0:rPr>
        <ns0:t>What improved / what remained unresolved.</ns0:t>
      </ns0:r>
      <ns0:r>
        <ns0:t xml:space="preserve"> The ensemble is a richer predictive system. The audit finds full-sample outcome-derived month/sector encodings and possible reuse of validation outcomes for ensemble selection; forward benchmark-feature risks also remain.</ns0:t>
      </ns0:r>
    </ns0:p>
    <ns0:p>
      <ns0:pPr>
        <ns0:pStyle ns0:val="BodyText"/>
        <ns0:spacing ns0:after="90"/>
        <ns0:keepLines/>
      </ns0:pPr>
      <ns0:r>
        <ns0:rPr>
          <ns0:b/>
        </ns0:rPr>
        <ns0:t>Lesson.</ns0:t>
      </ns0:r>
      <ns0:r>
        <ns0:t xml:space="preserve"> Complexity can increase both the model’s capacity and the researcher’s degrees of freedom. Nested or frozen selection and fold-local encodings are needed to tell a genuine gain from research-process overfitting.</ns0:t>
      </ns0:r>
    </ns0:p>
    <ns0:p>
      <ns0:pPr>
        <ns0:pStyle ns0:val="Heading3"/>
        <ns0:spacing ns0:before="220" ns0:after="100"/>
        <ns0:keepNext/>
        <ns0:keepLines/>
      </ns0:pPr>
      <ns0:r>
        <ns0:t>V4 → V5: the highest retrospective score, on a different and unaudited task</ns0:t>
      </ns0:r>
    </ns0:p>
    <ns0:p>
      <ns0:pPr>
        <ns0:pStyle ns0:val="BodyText"/>
        <ns0:spacing ns0:after="90"/>
        <ns0:keepLines/>
      </ns0:pPr>
      <ns0:r>
        <ns0:rPr>
          <ns0:b/>
        </ns0:rPr>
        <ns0:t>What changed and why.</ns0:t>
      </ns0:r>
      <ns0:r>
        <ns0:t xml:space="preserve"> V5 expands sector/VIX context, gap and zone-geometry features, interactions, magnitude targets, and ensemble components.</ns0:t>
      </ns0:r>
    </ns0:p>
    <ns0:p>
      <ns0:pPr>
        <ns0:pStyle ns0:val="BodyText"/>
        <ns0:spacing ns0:after="90"/>
        <ns0:keepLines/>
      </ns0:pPr>
      <ns0:r>
        <ns0:rPr>
          <ns0:b/>
        </ns0:rPr>
        <ns0:t>What the saved result says.</ns0:t>
      </ns0:r>
      <ns0:r>
        <ns0:t xml:space="preserve"> The selected </ns0:t>
      </ns0:r>
      <ns0:r>
        <ns0:rPr>
          <ns0:rFonts ns0:ascii="Consolas" ns0:hAnsi="Consolas"/>
          <ns0:shd ns0:fill="F1F3F5" ns0:val="clear"/>
          <ns0:sz ns0:val="18"/>
        </ns0:rPr>
        <ns0:t>alpha_spy_3pct</ns0:t>
      </ns0:r>
      <ns0:r>
        <ns0:t xml:space="preserve"> target has reported OOF AUC 0.78408 and temporal-test AUC 0.75295, with base rate 11.85%. This target is different from V4’s </ns0:t>
      </ns0:r>
      <ns0:r>
        <ns0:rPr>
          <ns0:rFonts ns0:ascii="Consolas" ns0:hAnsi="Consolas"/>
          <ns0:shd ns0:fill="F1F3F5" ns0:val="clear"/>
          <ns0:sz ns0:val="18"/>
        </ns0:rPr>
        <ns0:t>alpha_spy_2pct</ns0:t>
      </ns0:r>
      <ns0:r>
        <ns0:t>; the scores are not a before/after comparison of a fixed prediction task.</ns0:t>
      </ns0:r>
    </ns0:p>
    <ns0:p>
      <ns0:pPr>
        <ns0:pStyle ns0:val="BodyText"/>
        <ns0:spacing ns0:after="90"/>
        <ns0:keepLines/>
      </ns0:pPr>
      <ns0:r>
        <ns0:rPr>
          <ns0:b/>
        </ns0:rPr>
        <ns0:t>What improved / what remained unresolved.</ns0:t>
      </ns0:r>
      <ns0:r>
        <ns0:t xml:space="preserve"> Feature coverage and engineering ambition increased. The audit identifies V4–V5 target-encoding concerns, forward benchmark outcomes, and validation reuse. The rarer target and larger feature search also raise interpretive and multiplicity concerns, not evidence by themselves that the model became more useful.</ns0:t>
      </ns0:r>
    </ns0:p>
    <ns0:p>
      <ns0:pPr>
        <ns0:pStyle ns0:val="BodyText"/>
        <ns0:spacing ns0:after="90"/>
        <ns0:keepLines/>
      </ns0:pPr>
      <ns0:r>
        <ns0:rPr>
          <ns0:b/>
        </ns0:rPr>
        <ns0:t>Lesson.</ns0:t>
      </ns0:r>
      <ns0:r>
        <ns0:t xml:space="preserve"> The most impressive number is not necessarily the strongest evidence. Preserve the exact target and pipeline, and account for the search over versions before drawing conclusions.</ns0:t>
      </ns0:r>
    </ns0:p>
    <ns0:p>
      <ns0:pPr>
        <ns0:pStyle ns0:val="Heading3"/>
        <ns0:spacing ns0:before="220" ns0:after="100"/>
        <ns0:keepNext/>
        <ns0:keepLines/>
      </ns0:pPr>
      <ns0:r>
        <ns0:t>V5 → V6: task expansion, not a continuation of the same scorecard</ns0:t>
      </ns0:r>
    </ns0:p>
    <ns0:p>
      <ns0:pPr>
        <ns0:pStyle ns0:val="BodyText"/>
        <ns0:spacing ns0:after="90"/>
        <ns0:keepLines/>
      </ns0:pPr>
      <ns0:r>
        <ns0:rPr>
          <ns0:b/>
        </ns0:rPr>
        <ns0:t>What changed and why.</ns0:t>
      </ns0:r>
      <ns0:r>
        <ns0:t xml:space="preserve"> V6 explores magnitude and same-day absolute-move targets using V5-derived data, shifting from directional or benchmark-relative outcomes to movement size.</ns0:t>
      </ns0:r>
    </ns0:p>
    <ns0:p>
      <ns0:pPr>
        <ns0:pStyle ns0:val="BodyText"/>
        <ns0:spacing ns0:after="90"/>
        <ns0:keepLines/>
      </ns0:pPr>
      <ns0:r>
        <ns0:rPr>
          <ns0:b/>
        </ns0:rPr>
        <ns0:t>What the saved result says.</ns0:t>
      </ns0:r>
      <ns0:r>
        <ns0:t xml:space="preserve"> Metadata reports magnitude AUC 0.72583 and same-day absolute-move AUC 0.76056. Their base rates and outcomes differ from the earlier directional hold-1 task, so these values should not be ranked against V5’s </ns0:t>
      </ns0:r>
      <ns0:r>
        <ns0:rPr>
          <ns0:rFonts ns0:ascii="Consolas" ns0:hAnsi="Consolas"/>
          <ns0:shd ns0:fill="F1F3F5" ns0:val="clear"/>
          <ns0:sz ns0:val="18"/>
        </ns0:rPr>
        <ns0:t>alpha_spy_3pct</ns0:t>
      </ns0:r>
      <ns0:r>
        <ns0:t xml:space="preserve"> AUC.</ns0:t>
      </ns0:r>
    </ns0:p>
    <ns0:p>
      <ns0:pPr>
        <ns0:pStyle ns0:val="BodyText"/>
        <ns0:spacing ns0:after="90"/>
        <ns0:keepLines/>
      </ns0:pPr>
      <ns0:r>
        <ns0:rPr>
          <ns0:b/>
        </ns0:rPr>
        <ns0:t>What improved / what remained unresolved.</ns0:t>
      </ns0:r>
      <ns0:r>
        <ns0:t xml:space="preserve"> The project examined more event definitions. Because V6 builds on V5 data, upstream feature/encoding concerns carry forward; a new target does not repair them.</ns0:t>
      </ns0:r>
    </ns0:p>
    <ns0:p>
      <ns0:pPr>
        <ns0:pStyle ns0:val="BodyText"/>
        <ns0:spacing ns0:after="90"/>
        <ns0:keepLines/>
      </ns0:pPr>
      <ns0:r>
        <ns0:rPr>
          <ns0:b/>
        </ns0:rPr>
        <ns0:t>Lesson.</ns0:t>
      </ns0:r>
      <ns0:r>
        <ns0:t xml:space="preserve"> Broadening the target menu can be useful exploration, but each target creates a separate hypothesis and a larger multiple-testing burden.</ns0:t>
      </ns0:r>
    </ns0:p>
    <ns0:p>
      <ns0:pPr>
        <ns0:pStyle ns0:val="Heading3"/>
        <ns0:spacing ns0:before="220" ns0:after="100"/>
        <ns0:keepNext/>
        <ns0:keepLines/>
      </ns0:pPr>
      <ns0:r>
        <ns0:t>V6 → V7: a return toward executable targets and stricter exclusions</ns0:t>
      </ns0:r>
    </ns0:p>
    <ns0:p>
      <ns0:pPr>
        <ns0:pStyle ns0:val="BodyText"/>
        <ns0:spacing ns0:after="90"/>
        <ns0:keepLines/>
      </ns0:pPr>
      <ns0:r>
        <ns0:rPr>
          <ns0:b/>
        </ns0:rPr>
        <ns0:t>What changed and why.</ns0:t>
      </ns0:r>
      <ns0:r>
        <ns0:t xml:space="preserve"> V7 returns to named hold-1 and benchmark-relative targets, excludes a broader set of future-outcome columns, removes cross-sectional ranks, and uses an equal-weight ensemble. This is more aligned with the target family proposed for the controlled study.</ns0:t>
      </ns0:r>
    </ns0:p>
    <ns0:p>
      <ns0:pPr>
        <ns0:pStyle ns0:val="BodyText"/>
        <ns0:spacing ns0:after="90"/>
        <ns0:keepLines/>
      </ns0:pPr>
      <ns0:r>
        <ns0:rPr>
          <ns0:b/>
        </ns0:rPr>
        <ns0:t>What the saved result says.</ns0:t>
      </ns0:r>
      <ns0:r>
        <ns0:t xml:space="preserve"> Metadata reports OOF AUC 0.7084 for </ns0:t>
      </ns0:r>
      <ns0:r>
        <ns0:rPr>
          <ns0:rFonts ns0:ascii="Consolas" ns0:hAnsi="Consolas"/>
          <ns0:shd ns0:fill="F1F3F5" ns0:val="clear"/>
          <ns0:sz ns0:val="18"/>
        </ns0:rPr>
        <ns0:t>hold1_2pct</ns0:t>
      </ns0:r>
      <ns0:r>
        <ns0:t xml:space="preserve">, 0.7049 for </ns0:t>
      </ns0:r>
      <ns0:r>
        <ns0:rPr>
          <ns0:rFonts ns0:ascii="Consolas" ns0:hAnsi="Consolas"/>
          <ns0:shd ns0:fill="F1F3F5" ns0:val="clear"/>
          <ns0:sz ns0:val="18"/>
        </ns0:rPr>
        <ns0:t>alpha_spy_2pct</ns0:t>
      </ns0:r>
      <ns0:r>
        <ns0:t xml:space="preserve">, and 0.6989 for </ns0:t>
      </ns0:r>
      <ns0:r>
        <ns0:rPr>
          <ns0:rFonts ns0:ascii="Consolas" ns0:hAnsi="Consolas"/>
          <ns0:shd ns0:fill="F1F3F5" ns0:val="clear"/>
          <ns0:sz ns0:val="18"/>
        </ns0:rPr>
        <ns0:t>mag_spy_2pct</ns0:t>
      </ns0:r>
      <ns0:r>
        <ns0:t xml:space="preserve">. V7’s </ns0:t>
      </ns0:r>
      <ns0:r>
        <ns0:rPr>
          <ns0:rFonts ns0:ascii="Consolas" ns0:hAnsi="Consolas"/>
          <ns0:shd ns0:fill="F1F3F5" ns0:val="clear"/>
          <ns0:sz ns0:val="18"/>
        </ns0:rPr>
        <ns0:t>hold1_2pct</ns0:t>
      </ns0:r>
      <ns0:r>
        <ns0:t xml:space="preserve"> value is not directly comparable with V5’s 0.78408 </ns0:t>
      </ns0:r>
      <ns0:r>
        <ns0:rPr>
          <ns0:rFonts ns0:ascii="Consolas" ns0:hAnsi="Consolas"/>
          <ns0:shd ns0:fill="F1F3F5" ns0:val="clear"/>
          <ns0:sz ns0:val="18"/>
        </ns0:rPr>
        <ns0:t>alpha_spy_3pct</ns0:t>
      </ns0:r>
      <ns0:r>
        <ns0:t>; the latter is a different target. Nor do metadata labels alone prove leakage-free evaluation.</ns0:t>
      </ns0:r>
    </ns0:p>
    <ns0:p>
      <ns0:pPr>
        <ns0:pStyle ns0:val="BodyText"/>
        <ns0:spacing ns0:after="90"/>
        <ns0:keepLines/>
      </ns0:pPr>
      <ns0:r>
        <ns0:rPr>
          <ns0:b/>
        </ns0:rPr>
        <ns0:t>What improved / what remained unresolved.</ns0:t>
      </ns0:r>
      <ns0:r>
        <ns0:t xml:space="preserve"> The explicit exclusions and removal of ranks are positive audit steps. The trainer’s selected 120-feature set uses full-dataset feature variances, including future-period feature distributions; feature construction and folds still require an independent audit.</ns0:t>
      </ns0:r>
    </ns0:p>
    <ns0:p>
      <ns0:pPr>
        <ns0:pStyle ns0:val="BodyText"/>
        <ns0:spacing ns0:after="90"/>
        <ns0:keepLines/>
      </ns0:pPr>
      <ns0:r>
        <ns0:rPr>
          <ns0:b/>
        </ns0:rPr>
        <ns0:t>Lesson.</ns0:t>
      </ns0:r>
      <ns0:r>
        <ns0:t xml:space="preserve"> Returning to a clearer, executable target and removing known risky fields can be more scientifically valuable than maximizing a retrospective AUC—but only a frozen matched rerun and prospective evaluation can establish what signal remains.</ns0:t>
      </ns0:r>
    </ns0:p>
    <ns0:p>
      <ns0:pPr>
        <ns0:pStyle ns0:val="BodyText"/>
        <ns0:spacing ns0:after="90"/>
        <ns0:keepLines/>
      </ns0:pPr>
      <ns0:r>
        <ns0:rPr>
          <ns0:b/>
        </ns0:rPr>
        <ns0:t>The V5 → V7 headline contrast.</ns0:t>
      </ns0:r>
      <ns0:r>
        <ns0:t xml:space="preserve"> V5’s selected </ns0:t>
      </ns0:r>
      <ns0:r>
        <ns0:rPr>
          <ns0:rFonts ns0:ascii="Consolas" ns0:hAnsi="Consolas"/>
          <ns0:shd ns0:fill="F1F3F5" ns0:val="clear"/>
          <ns0:sz ns0:val="18"/>
        </ns0:rPr>
        <ns0:t>alpha_spy_3pct</ns0:t>
      </ns0:r>
      <ns0:r>
        <ns0:t xml:space="preserve"> AUC of 0.78408 is numerically above V7’s </ns0:t>
      </ns0:r>
      <ns0:r>
        <ns0:rPr>
          <ns0:rFonts ns0:ascii="Consolas" ns0:hAnsi="Consolas"/>
          <ns0:shd ns0:fill="F1F3F5" ns0:val="clear"/>
          <ns0:sz ns0:val="18"/>
        </ns0:rPr>
        <ns0:t>hold1_2pct</ns0:t>
      </ns0:r>
      <ns0:r>
        <ns0:t xml:space="preserve"> AUC of 0.7084, but these are different targets, so the difference does not show that performance declined. V7’s move toward a specified hold-1 target and broader exclusions is directionally more auditable; its saved score is still not clean evidence, and the full-data variance-based feature selection remains a concern. A smaller number becomes more scientifically valuable only if a matched, leakage-aware comparison verifies that it measures the intended task—not simply because the number is lower.</ns0:t>
      </ns0:r>
    </ns0:p>
    <ns0:p>
      <ns0:pPr>
        <ns0:pStyle ns0:val="BodyText"/>
        <ns0:spacing ns0:after="90"/>
        <ns0:keepLines/>
      </ns0:pPr>
      <ns0:r>
        <ns0:rPr>
          <ns0:b/>
        </ns0:rPr>
        <ns0:t>Synthesis.</ns0:t>
      </ns0:r>
      <ns0:r>
        <ns0:t xml:space="preserve"> Across V1–V7, reported AUCs do not form a controlled performance curve. The strongest documented change is in the research process: target definitions became more explicit, the model/feature search broadened, and concerns about leakage became more visible. The central learning is not that all apparent performance was false; it is that no historical score should be credited to AI skill until target, feature timing, validation, and experiment selection have been checked.</ns0:t>
      </ns0:r>
    </ns0:p>
    <ns0:p>
      <ns0:pPr>
        <ns0:pStyle ns0:val="Heading1"/>
        <ns0:spacing ns0:before="300" ns0:after="100"/>
        <ns0:keepNext/>
        <ns0:keepLines/>
      </ns0:pPr>
      <ns0:r>
        <ns0:t>5. Methodology</ns0:t>
      </ns0:r>
    </ns0:p>
    <ns0:p>
      <ns0:pPr>
        <ns0:pStyle ns0:val="Heading2"/>
        <ns0:spacing ns0:before="220" ns0:after="100"/>
        <ns0:keepNext/>
        <ns0:keepLines/>
      </ns0:pPr>
      <ns0:r>
        <ns0:t>5.1 Demand-zone observation generation</ns0:t>
      </ns0:r>
    </ns0:p>
    <ns0:p>
      <ns0:pPr>
        <ns0:pStyle ns0:val="BodyText"/>
        <ns0:spacing ns0:after="90"/>
        <ns0:keepLines/>
      </ns0:pPr>
      <ns0:r>
        <ns0:t>The prototype identifies candidate zones from historical swing lows and looks for later price interactions (retests). Technical, volume, volatility, and zone-geometry features are associated with each signal observation. In the original simulation family, the system examines subsequent daily highs and lows for target/stop events over a finite holding period. That construction can generate labels, but future outcomes must never be included among the predictors for the same observation.</ns0:t>
      </ns0:r>
    </ns0:p>
    <ns0:p>
      <ns0:pPr>
        <ns0:pStyle ns0:val="BodyText"/>
        <ns0:spacing ns0:after="90"/>
        <ns0:keepLines/>
      </ns0:pPr>
      <ns0:r>
        <ns0:t xml:space="preserve">The later hold-1-day target family changes the simulated trade: features are evaluated through the close of signal day </ns0:t>
      </ns0:r>
      <ns0:r>
        <ns0:rPr>
          <ns0:i/>
        </ns0:rPr>
        <ns0:t>t</ns0:t>
      </ns0:r>
      <ns0:r>
        <ns0:t xml:space="preserve">, entry is at open </ns0:t>
      </ns0:r>
      <ns0:r>
        <ns0:rPr>
          <ns0:i/>
        </ns0:rPr>
        <ns0:t>t+1</ns0:t>
      </ns0:r>
      <ns0:r>
        <ns0:t xml:space="preserve">, and exit is at open </ns0:t>
      </ns0:r>
      <ns0:r>
        <ns0:rPr>
          <ns0:i/>
        </ns0:rPr>
        <ns0:t>t+2</ns0:t>
      </ns0:r>
      <ns0:r>
        <ns0:t>. The target is consequently tied to an explicitly timed transaction rather than whether a future wick touched a barrier at any point over 20 days.</ns0:t>
      </ns0:r>
    </ns0:p>
    <ns0:p>
      <ns0:pPr>
        <ns0:pStyle ns0:val="Heading2"/>
        <ns0:spacing ns0:before="220" ns0:after="100"/>
        <ns0:keepNext/>
        <ns0:keepLines/>
      </ns0:pPr>
      <ns0:r>
        <ns0:t>5.2 Baselines and model families</ns0:t>
      </ns0:r>
    </ns0:p>
    <ns0:p>
      <ns0:pPr>
        <ns0:pStyle ns0:val="BodyText"/>
        <ns0:spacing ns0:after="90"/>
        <ns0:keepLines/>
      </ns0:pPr>
      <ns0:r>
        <ns0:t>The project scripts and artifacts include logistic/simple baseline references, Random Forest, XGBoost, LightGBM, CatBoost, and ensembles. The immutable v1.0.1 archive retains eight Logistic Regression/LightGBM combinations across feature arms A–D. The Plan B closeout verified archive identity and recalculated point metrics from its saved OOF predictions, but did not regenerate historical features, refit models, or reproduce the exact source. Its point results remain retrospective archive evidence; interval bounds remain archive-reported only. The v1.0.2 JSON is the frozen protocol authority, not a run report, and there are no prospective outcomes.</ns0:t>
      </ns0:r>
    </ns0:p>
    <ns0:p>
      <ns0:pPr>
        <ns0:pStyle ns0:val="Heading2"/>
        <ns0:spacing ns0:before="220" ns0:after="100"/>
        <ns0:keepNext/>
        <ns0:keepLines/>
      </ns0:pPr>
      <ns0:r>
        <ns0:t>5.3 Chronological validation</ns0:t>
      </ns0:r>
    </ns0:p>
    <ns0:p>
      <ns0:pPr>
        <ns0:pStyle ns0:val="BodyText"/>
        <ns0:spacing ns0:after="90"/>
        <ns0:keepLines/>
      </ns0:pPr>
      <ns0:r>
        <ns0:t>The training code uses date-ordered expanding folds for V2–V5, and fixed year-boundary folds for V7. The general design is:</ns0:t>
      </ns0:r>
    </ns0:p>
    <ns0:p>
      <ns0:pPr>
        <ns0:pStyle ns0:val="CodeBlock"/>
        <ns0:ind ns0:left="140"/>
        <ns0:spacing ns0:after="0"/>
        <ns0:keepLines/>
        <ns0:shd ns0:fill="F4F6F8" ns0:val="clear"/>
      </ns0:pPr>
      <ns0:r>
        <ns0:rPr>
          <ns0:rFonts ns0:ascii="Consolas" ns0:hAnsi="Consolas"/>
          <ns0:shd ns0:fill="F1F3F5" ns0:val="clear"/>
          <ns0:sz ns0:val="17"/>
        </ns0:rPr>
        <ns0:t xml:space="preserve">Fold 1: earlier dates train  ─────────► next date block validate</ns0:t>
      </ns0:r>
    </ns0:p>
    <ns0:p>
      <ns0:pPr>
        <ns0:pStyle ns0:val="CodeBlock"/>
        <ns0:ind ns0:left="140"/>
        <ns0:spacing ns0:after="0"/>
        <ns0:keepLines/>
        <ns0:shd ns0:fill="F4F6F8" ns0:val="clear"/>
      </ns0:pPr>
      <ns0:r>
        <ns0:rPr>
          <ns0:rFonts ns0:ascii="Consolas" ns0:hAnsi="Consolas"/>
          <ns0:shd ns0:fill="F1F3F5" ns0:val="clear"/>
          <ns0:sz ns0:val="17"/>
        </ns0:rPr>
        <ns0:t xml:space="preserve">Fold 2: earlier + fold 1     ─────────► later date block validate</ns0:t>
      </ns0:r>
    </ns0:p>
    <ns0:p>
      <ns0:pPr>
        <ns0:pStyle ns0:val="CodeBlock"/>
        <ns0:ind ns0:left="140"/>
        <ns0:spacing ns0:after="100"/>
        <ns0:keepLines/>
        <ns0:shd ns0:fill="F4F6F8" ns0:val="clear"/>
      </ns0:pPr>
      <ns0:r>
        <ns0:rPr>
          <ns0:rFonts ns0:ascii="Consolas" ns0:hAnsi="Consolas"/>
          <ns0:shd ns0:fill="F1F3F5" ns0:val="clear"/>
          <ns0:sz ns0:val="17"/>
        </ns0:rPr>
        <ns0:t>Fold 3: earlier + prior folds─────────► later date block validate</ns0:t>
      </ns0:r>
    </ns0:p>
    <ns0:p>
      <ns0:pPr>
        <ns0:pStyle ns0:val="BodyText"/>
        <ns0:spacing ns0:after="90"/>
        <ns0:keepLines/>
      </ns0:pPr>
      <ns0:r>
        <ns0:t>A valid fold must fit all learned preprocessing and any target-derived statistic using only its training portion. A final temporal test should be held back from feature/target experimentation and used once after choices are frozen. The available code/report artifacts do not establish that every model-selection decision observed such a final untouched period.</ns0:t>
      </ns0:r>
    </ns0:p>
    <ns0:p>
      <ns0:pPr>
        <ns0:pStyle ns0:val="Heading2"/>
        <ns0:spacing ns0:before="220" ns0:after="100"/>
        <ns0:keepNext/>
        <ns0:keepLines/>
      </ns0:pPr>
      <ns0:r>
        <ns0:t>5.4 Metrics</ns0:t>
      </ns0:r>
    </ns0:p>
    <ns0:p>
      <ns0:pPr>
        <ns0:pStyle ns0:val="BodyText"/>
        <ns0:spacing ns0:after="90"/>
        <ns0:keepLines/>
      </ns0:pPr>
      <ns0:r>
        <ns0:t>The saved reports primarily use ROC-AUC, along with top-ranked hit rates, base rates, and—in V2—calibration metrics and an executable-style backtest. AUC measures ranking discrimination, not profit or probability calibration. Top-5 hit rate must be reported beside the target’s base rate and with a clear definition of what “top 5%” means. Brier score and calibration error are appropriate probability-quality summaries only when calibration is fit and evaluated on properly separated chronological samples. Trading performance further requires costs, slippage, position limits, and precise execution assumptions.</ns0:t>
      </ns0:r>
    </ns0:p>
    <ns0:p>
      <ns0:pPr>
        <ns0:pStyle ns0:val="Heading1"/>
        <ns0:spacing ns0:before="300" ns0:after="100"/>
        <ns0:keepNext/>
        <ns0:keepLines/>
      </ns0:pPr>
      <ns0:r>
        <ns0:t>6. Leakage investigation and implementation audit</ns0:t>
      </ns0:r>
    </ns0:p>
    <ns0:p>
      <ns0:pPr>
        <ns0:pStyle ns0:val="BodyText"/>
        <ns0:spacing ns0:after="90"/>
        <ns0:keepLines/>
      </ns0:pPr>
      <ns0:r>
        <ns0:t xml:space="preserve">Leakage is central to this project’s research history, but claims about a specific NKE incident should be documented from the original experiment before being presented as independently established. In the inspected repository, I found a V7 note that cross-sectional ranks were removed due to leakage, and code comments describing concerns about same-day or future-derived columns. I did </ns0:t>
      </ns0:r>
      <ns0:r>
        <ns0:rPr>
          <ns0:b/>
        </ns0:rPr>
        <ns0:t>not</ns0:t>
      </ns0:r>
      <ns0:r>
        <ns0:t xml:space="preserve"> find an NKE-specific incident report, before/after prediction file, or a complete version-control history sufficient to reconstruct that case. The project author should add the exact NKE ticker/date, the leaking feature or join, how the future information entered, and the corrected result if that episode is included as a factual case study.</ns0:t>
      </ns0:r>
    </ns0:p>
    <ns0:p>
      <ns0:pPr>
        <ns0:pStyle ns0:val="BodyText"/>
        <ns0:spacing ns0:after="90"/>
        <ns0:keepLines/>
      </ns0:pPr>
      <ns0:r>
        <ns0:t>The current source audit found the following concrete concerns:</ns0:t>
      </ns0:r>
    </ns0:p>
    <ns0:p>
      <ns0:pPr>
        <ns0:pStyle ns0:val="ListText"/>
        <ns0:ind ns0:left="360"/>
        <ns0:spacing ns0:after="50"/>
        <ns0:keepLines/>
      </ns0:pPr>
      <ns0:r>
        <ns0:rPr>
          <ns0:color ns0:val="2C7A7B"/>
        </ns0:rPr>
        <ns0:t xml:space="preserve">1. </ns0:t>
      </ns0:r>
      <ns0:r>
        <ns0:rPr>
          <ns0:b/>
        </ns0:rPr>
        <ns0:t>Forward benchmark returns in V2–V5 feature selection.</ns0:t>
      </ns0:r>
      <ns0:r>
        <ns0:t xml:space="preserve"> The V2 dataset builder creates future benchmark return columns such as </ns0:t>
      </ns0:r>
      <ns0:r>
        <ns0:rPr>
          <ns0:rFonts ns0:ascii="Consolas" ns0:hAnsi="Consolas"/>
          <ns0:shd ns0:fill="F1F3F5" ns0:val="clear"/>
          <ns0:sz ns0:val="18"/>
        </ns0:rPr>
        <ns0:t>bench_XLK_hold1</ns0:t>
      </ns0:r>
      <ns0:r>
        <ns0:t xml:space="preserve"> and analogous sector/market columns. V2, V3, V4, and V5 training exclusion lists visibly exclude </ns0:t>
      </ns0:r>
      <ns0:r>
        <ns0:rPr>
          <ns0:rFonts ns0:ascii="Consolas" ns0:hAnsi="Consolas"/>
          <ns0:shd ns0:fill="F1F3F5" ns0:val="clear"/>
          <ns0:sz ns0:val="18"/>
        </ns0:rPr>
        <ns0:t>bench_SPY_hold1</ns0:t>
      </ns0:r>
      <ns0:r>
        <ns0:t xml:space="preserve"> but do not appear to exclude every </ns0:t>
      </ns0:r>
      <ns0:r>
        <ns0:rPr>
          <ns0:rFonts ns0:ascii="Consolas" ns0:hAnsi="Consolas"/>
          <ns0:shd ns0:fill="F1F3F5" ns0:val="clear"/>
          <ns0:sz ns0:val="18"/>
        </ns0:rPr>
        <ns0:t>bench_*_hold1</ns0:t>
      </ns0:r>
      <ns0:r>
        <ns0:t xml:space="preserve"> column. If those columns are present in the training matrix—as the builder indicates—some predictors contain future returns from the label horizon. This is a direct leakage risk, and the affected reported metrics must be recomputed after excluding all future benchmark outcomes.</ns0:t>
      </ns0:r>
    </ns0:p>
    <ns0:p>
      <ns0:pPr>
        <ns0:pStyle ns0:val="ListText"/>
        <ns0:ind ns0:left="360"/>
        <ns0:spacing ns0:after="50"/>
        <ns0:keepLines/>
      </ns0:pPr>
      <ns0:r>
        <ns0:rPr>
          <ns0:color ns0:val="2C7A7B"/>
        </ns0:rPr>
        <ns0:t xml:space="preserve">2. </ns0:t>
      </ns0:r>
      <ns0:r>
        <ns0:rPr>
          <ns0:b/>
        </ns0:rPr>
        <ns0:t>Full-sample target encodings in V4–V5.</ns0:t>
      </ns0:r>
      <ns0:r>
        <ns0:t xml:space="preserve"> The V4/V5 code builds a monthly hit-rate encoding by grouping all rows for a month and uses sector hit-rate aggregates computed over the full target vector. A row can therefore inherit information from other outcomes in its month or sector, including dates later than that row. The fallback global target rate in V5 is also computed from the entire target series. These features need expanding, fold-local, strictly prior-data encodings—or removal.</ns0:t>
      </ns0:r>
    </ns0:p>
    <ns0:p>
      <ns0:pPr>
        <ns0:pStyle ns0:val="ListText"/>
        <ns0:ind ns0:left="360"/>
        <ns0:spacing ns0:after="50"/>
        <ns0:keepLines/>
      </ns0:pPr>
      <ns0:r>
        <ns0:rPr>
          <ns0:color ns0:val="2C7A7B"/>
        </ns0:rPr>
        <ns0:t xml:space="preserve">3. </ns0:t>
      </ns0:r>
      <ns0:r>
        <ns0:rPr>
          <ns0:b/>
        </ns0:rPr>
        <ns0:t>Ensemble selection and validation reuse.</ns0:t>
      </ns0:r>
      <ns0:r>
        <ns0:t xml:space="preserve"> Some V4/V5 scripts derive ensemble weights from model AUCs measured on the same validation folds later used to report ensemble OOF performance. Weights should be fixed in advance or learned inside nested training/validation folds, not selected using the reported evaluation outcomes.</ns0:t>
      </ns0:r>
    </ns0:p>
    <ns0:p>
      <ns0:pPr>
        <ns0:pStyle ns0:val="ListText"/>
        <ns0:ind ns0:left="360"/>
        <ns0:spacing ns0:after="50"/>
        <ns0:keepLines/>
      </ns0:pPr>
      <ns0:r>
        <ns0:rPr>
          <ns0:color ns0:val="2C7A7B"/>
        </ns0:rPr>
        <ns0:t xml:space="preserve">4. </ns0:t>
      </ns0:r>
      <ns0:r>
        <ns0:rPr>
          <ns0:b/>
        </ns0:rPr>
        <ns0:t>Calibration split.</ns0:t>
      </ns0:r>
      <ns0:r>
        <ns0:t xml:space="preserve"> The V2 trainer fits </ns0:t>
      </ns0:r>
      <ns0:r>
        <ns0:rPr>
          <ns0:rFonts ns0:ascii="Consolas" ns0:hAnsi="Consolas"/>
          <ns0:shd ns0:fill="F1F3F5" ns0:val="clear"/>
          <ns0:sz ns0:val="18"/>
        </ns0:rPr>
        <ns0:t>CalibratedClassifierCV</ns0:t>
      </ns0:r>
      <ns0:r>
        <ns0:t xml:space="preserve"> using an integer-fold cross-validation setting on the full OOF subset, then reports predictions from that fitted calibrator on the same rows. Those internal folds are not a second chronological holdout; they may train on dates later than the calibrated row and reuse outcomes used for fitting. Therefore the saved Brier/ECE changes are not verified chronological out-of-sample calibration results.</ns0:t>
      </ns0:r>
    </ns0:p>
    <ns0:p>
      <ns0:pPr>
        <ns0:pStyle ns0:val="ListText"/>
        <ns0:ind ns0:left="360"/>
        <ns0:spacing ns0:after="50"/>
        <ns0:keepLines/>
      </ns0:pPr>
      <ns0:r>
        <ns0:rPr>
          <ns0:color ns0:val="2C7A7B"/>
        </ns0:rPr>
        <ns0:t xml:space="preserve">5. </ns0:t>
      </ns0:r>
      <ns0:r>
        <ns0:rPr>
          <ns0:b/>
        </ns0:rPr>
        <ns0:t>V7 global feature-variance selection.</ns0:t>
      </ns0:r>
      <ns0:r>
        <ns0:t xml:space="preserve"> V7 excludes a broad set of future-label columns, which is a stronger starting point, but its final 120-feature selection is computed from the full dataset’s feature variances before the final saved model fit. This uses the distribution of future-period predictors for feature selection. Variance-only selection is not target leakage, but a strict point-in-time evaluation should select features within each training fold and report the procedure.</ns0:t>
      </ns0:r>
    </ns0:p>
    <ns0:p>
      <ns0:pPr>
        <ns0:pStyle ns0:val="ListText"/>
        <ns0:ind ns0:left="360"/>
        <ns0:spacing ns0:after="50"/>
        <ns0:keepLines/>
      </ns0:pPr>
      <ns0:r>
        <ns0:rPr>
          <ns0:color ns0:val="2C7A7B"/>
        </ns0:rPr>
        <ns0:t xml:space="preserve">6. </ns0:t>
      </ns0:r>
      <ns0:r>
        <ns0:rPr>
          <ns0:b/>
        </ns0:rPr>
        <ns0:t>V13 proxy outcomes.</ns0:t>
      </ns0:r>
      <ns0:r>
        <ns0:t xml:space="preserve"> </ns0:t>
      </ns0:r>
      <ns0:r>
        <ns0:rPr>
          <ns0:rFonts ns0:ascii="Consolas" ns0:hAnsi="Consolas"/>
          <ns0:shd ns0:fill="F1F3F5" ns0:val="clear"/>
          <ns0:sz ns0:val="18"/>
        </ns0:rPr>
        <ns0:t>augment_v12_to_v13.py</ns0:t>
      </ns0:r>
      <ns0:r>
        <ns0:t xml:space="preserve"> constructs several named threshold labels using heuristic conditions involving features and the older </ns0:t>
      </ns0:r>
      <ns0:r>
        <ns0:rPr>
          <ns0:rFonts ns0:ascii="Consolas" ns0:hAnsi="Consolas"/>
          <ns0:shd ns0:fill="F1F3F5" ns0:val="clear"/>
          <ns0:sz ns0:val="18"/>
        </ns0:rPr>
        <ns0:t>hit_target</ns0:t>
      </ns0:r>
      <ns0:r>
        <ns0:t>, rather than directly measuring whether a realized return crossed each threshold. They are proxies, not observed +5%, +10%, or +20% outcomes. Any experiment that treats these as realized outcomes would answer a different—and partly rule-defined—question.</ns0:t>
      </ns0:r>
    </ns0:p>
    <ns0:p>
      <ns0:pPr>
        <ns0:pStyle ns0:val="ListText"/>
        <ns0:ind ns0:left="360"/>
        <ns0:spacing ns0:after="50"/>
        <ns0:keepLines/>
      </ns0:pPr>
      <ns0:r>
        <ns0:rPr>
          <ns0:color ns0:val="2C7A7B"/>
        </ns0:rPr>
        <ns0:t xml:space="preserve">7. </ns0:t>
      </ns0:r>
      <ns0:r>
        <ns0:rPr>
          <ns0:b/>
        </ns0:rPr>
        <ns0:t>Backtest implementation audit.</ns0:t>
      </ns0:r>
      <ns0:r>
        <ns0:t xml:space="preserve"> The V2 report labels its simulation honest and reports 1,228 trades, but the current </ns0:t>
      </ns0:r>
      <ns0:r>
        <ns0:rPr>
          <ns0:rFonts ns0:ascii="Consolas" ns0:hAnsi="Consolas"/>
          <ns0:shd ns0:fill="F1F3F5" ns0:val="clear"/>
          <ns0:sz ns0:val="18"/>
        </ns0:rPr>
        <ns0:t>run_backtest</ns0:t>
      </ns0:r>
      <ns0:r>
        <ns0:t xml:space="preserve"> source contains implementation details that need independent review (including how simultaneous positions are stored and how the </ns0:t>
      </ns0:r>
      <ns0:r>
        <ns0:rPr>
          <ns0:rFonts ns0:ascii="Consolas" ns0:hAnsi="Consolas"/>
          <ns0:shd ns0:fill="F1F3F5" ns0:val="clear"/>
          <ns0:sz ns0:val="18"/>
        </ns0:rPr>
        <ns0:t>top_k</ns0:t>
      </ns0:r>
      <ns0:r>
        <ns0:t xml:space="preserve"> parameter is applied). The reported trading metrics should be reproduced from a corrected, unit-tested ledger before being used as a result.</ns0:t>
      </ns0:r>
    </ns0:p>
    <ns0:p>
      <ns0:pPr>
        <ns0:pStyle ns0:val="ListText"/>
        <ns0:ind ns0:left="360"/>
        <ns0:spacing ns0:after="50"/>
        <ns0:keepLines/>
      </ns0:pPr>
      <ns0:r>
        <ns0:rPr>
          <ns0:color ns0:val="2C7A7B"/>
        </ns0:rPr>
        <ns0:t xml:space="preserve">8. </ns0:t>
      </ns0:r>
      <ns0:r>
        <ns0:rPr>
          <ns0:b/>
        </ns0:rPr>
        <ns0:t>NKE case documentation.</ns0:t>
      </ns0:r>
      <ns0:r>
        <ns0:t xml:space="preserve"> The author has described an NKE leakage discovery as part of the project’s learning process, but the inspected source and artifacts did not establish its exact mechanism or quantify a corrected before/after result. In this draft it is identified as a reported author recollection awaiting supporting evidence, not as a verified experiment.</ns0:t>
      </ns0:r>
    </ns0:p>
    <ns0:p>
      <ns0:pPr>
        <ns0:pStyle ns0:val="ListText"/>
        <ns0:ind ns0:left="360"/>
        <ns0:spacing ns0:after="50"/>
        <ns0:keepLines/>
      </ns0:pPr>
      <ns0:r>
        <ns0:rPr>
          <ns0:color ns0:val="2C7A7B"/>
        </ns0:rPr>
        <ns0:t xml:space="preserve">9. </ns0:t>
      </ns0:r>
      <ns0:r>
        <ns0:rPr>
          <ns0:b/>
        </ns0:rPr>
        <ns0:t>Unavailable outcomes encoded as negatives.</ns0:t>
      </ns0:r>
      <ns0:r>
        <ns0:t xml:space="preserve"> In </ns0:t>
      </ns0:r>
      <ns0:r>
        <ns0:rPr>
          <ns0:rFonts ns0:ascii="Consolas" ns0:hAnsi="Consolas"/>
          <ns0:shd ns0:fill="F1F3F5" ns0:val="clear"/>
          <ns0:sz ns0:val="18"/>
        </ns0:rPr>
        <ns0:t>backend/build_hold1_targets.py</ns0:t>
      </ns0:r>
      <ns0:r>
        <ns0:t>, forward returns are initialized as missing when the future bars are unavailable, then threshold comparisons are cast directly to integer labels. Since a missing comparison is false, some unavailable outcomes can become apparent class-0 examples unless they are filtered later. The label-generation and downstream filtering steps need an explicit finite-return mask and a unit test; existing binary labels should not be presumed valid without checking.</ns0:t>
      </ns0:r>
    </ns0:p>
    <ns0:p>
      <ns0:pPr>
        <ns0:pStyle ns0:val="BodyText"/>
        <ns0:spacing ns0:after="90"/>
        <ns0:keepLines/>
      </ns0:pPr>
      <ns0:r>
        <ns0:t>This audit is not proof that every V2–V5 row was affected in the same way, nor does it establish that a corrected model will have no signal. It establishes that the saved scores cannot be interpreted as clean evidence until these specific risks are addressed and the experiment is rerun.</ns0:t>
      </ns0:r>
    </ns0:p>
    <ns0:p>
      <ns0:pPr>
        <ns0:pStyle ns0:val="Heading1"/>
        <ns0:spacing ns0:before="300" ns0:after="100"/>
        <ns0:keepNext/>
        <ns0:keepLines/>
      </ns0:pPr>
      <ns0:r>
        <ns0:t>7. Results</ns0:t>
      </ns0:r>
    </ns0:p>
    <ns0:p>
      <ns0:pPr>
        <ns0:pStyle ns0:val="Heading2"/>
        <ns0:spacing ns0:before="220" ns0:after="100"/>
        <ns0:keepNext/>
        <ns0:keepLines/>
      </ns0:pPr>
      <ns0:r>
        <ns0:t>7.1 Historically reported V1–V7 model results (not independently reproduced)</ns0:t>
      </ns0:r>
    </ns0:p>
    <ns0:p>
      <ns0:pPr>
        <ns0:pStyle ns0:val="BodyText"/>
        <ns0:spacing ns0:after="90"/>
        <ns0:keepLines/>
      </ns0:pPr>
      <ns0:r>
        <ns0:t>The table below preserves historical project-reported V1–V7 metrics from saved reports or metadata. They were not independently reproduced in this audit, and unlike targets must not be compared as a performance ranking. The separate v1.0.1 archive and its saved-score point-metric checks are summarized in Section 7.2.</ns0:t>
      </ns0:r>
    </ns0:p>
    <ns0:tbl>
      <ns0:tblPr>
        <ns0:tblW ns0:w="10240" ns0:type="dxa"/>
        <ns0:tblLayout ns0:type="fixed"/>
        <ns0:tblBorders>
          <ns0:top ns0:val="single" ns0:sz="4" ns0:space="0" ns0:color="B8C5D3"/>
          <ns0:left ns0:val="single" ns0:sz="4" ns0:space="0" ns0:color="B8C5D3"/>
          <ns0:bottom ns0:val="single" ns0:sz="4" ns0:space="0" ns0:color="B8C5D3"/>
          <ns0:right ns0:val="single" ns0:sz="4" ns0:space="0" ns0:color="B8C5D3"/>
          <ns0:insideH ns0:val="single" ns0:sz="4" ns0:space="0" ns0:color="B8C5D3"/>
          <ns0:insideV ns0:val="single" ns0:sz="4" ns0:space="0" ns0:color="B8C5D3"/>
        </ns0:tblBorders>
        <ns0:tblCellMar>
          <ns0:top ns0:w="70" ns0:type="dxa"/>
          <ns0:start ns0:w="75" ns0:type="dxa"/>
          <ns0:bottom ns0:w="70" ns0:type="dxa"/>
          <ns0:end ns0:w="75" ns0:type="dxa"/>
        </ns0:tblCellMar>
      </ns0:tblPr>
      <ns0:tblGrid>
        <ns0:gridCol ns0:w="1606"/>
        <ns0:gridCol ns0:w="2216"/>
        <ns0:gridCol ns0:w="1872"/>
        <ns0:gridCol ns0:w="2014"/>
        <ns0:gridCol ns0:w="2532"/>
      </ns0:tblGrid>
      <ns0:tr>
        <ns0:trPr>
          <ns0:tblHeader ns0:val="true"/>
        </ns0:trPr>
        <ns0:tc>
          <ns0:tcPr>
            <ns0:tcW ns0:w="1606" ns0:type="dxa"/>
            <ns0:vAlign ns0:val="center"/>
            <ns0:shd ns0:fill="1F4E5F" ns0:val="clear"/>
          </ns0:tcPr>
          <ns0:p>
            <ns0:pPr>
              <ns0:spacing ns0:before="0" ns0:after="0" ns0:line="220" ns0:lineRule="auto"/>
            </ns0:pPr>
            <ns0:r>
              <ns0:rPr>
                <ns0:b/>
                <ns0:color ns0:val="FFFFFF"/>
                <ns0:sz ns0:val="16"/>
              </ns0:rPr>
              <ns0:t>Version / target</ns0:t>
            </ns0:r>
          </ns0:p>
        </ns0:tc>
        <ns0:tc>
          <ns0:tcPr>
            <ns0:tcW ns0:w="2216" ns0:type="dxa"/>
            <ns0:vAlign ns0:val="center"/>
            <ns0:shd ns0:fill="1F4E5F" ns0:val="clear"/>
          </ns0:tcPr>
          <ns0:p>
            <ns0:pPr>
              <ns0:spacing ns0:before="0" ns0:after="0" ns0:line="220" ns0:lineRule="auto"/>
            </ns0:pPr>
            <ns0:r>
              <ns0:rPr>
                <ns0:b/>
                <ns0:color ns0:val="FFFFFF"/>
                <ns0:sz ns0:val="16"/>
              </ns0:rPr>
              <ns0:t>Historically reported validation</ns0:t>
            </ns0:r>
          </ns0:p>
        </ns0:tc>
        <ns0:tc>
          <ns0:tcPr>
            <ns0:tcW ns0:w="1872" ns0:type="dxa"/>
            <ns0:vAlign ns0:val="center"/>
            <ns0:shd ns0:fill="1F4E5F" ns0:val="clear"/>
          </ns0:tcPr>
          <ns0:p>
            <ns0:pPr>
              <ns0:spacing ns0:before="0" ns0:after="0" ns0:line="220" ns0:lineRule="auto"/>
            </ns0:pPr>
            <ns0:r>
              <ns0:rPr>
                <ns0:b/>
                <ns0:color ns0:val="FFFFFF"/>
                <ns0:sz ns0:val="16"/>
              </ns0:rPr>
              <ns0:t>Base rate</ns0:t>
            </ns0:r>
          </ns0:p>
        </ns0:tc>
        <ns0:tc>
          <ns0:tcPr>
            <ns0:tcW ns0:w="2014" ns0:type="dxa"/>
            <ns0:vAlign ns0:val="center"/>
            <ns0:shd ns0:fill="1F4E5F" ns0:val="clear"/>
          </ns0:tcPr>
          <ns0:p>
            <ns0:pPr>
              <ns0:spacing ns0:before="0" ns0:after="0" ns0:line="220" ns0:lineRule="auto"/>
            </ns0:pPr>
            <ns0:r>
              <ns0:rPr>
                <ns0:b/>
                <ns0:color ns0:val="FFFFFF"/>
                <ns0:sz ns0:val="16"/>
              </ns0:rPr>
              <ns0:t>Top-ranked hit rate</ns0:t>
            </ns0:r>
          </ns0:p>
        </ns0:tc>
        <ns0:tc>
          <ns0:tcPr>
            <ns0:tcW ns0:w="2532" ns0:type="dxa"/>
            <ns0:vAlign ns0:val="center"/>
            <ns0:shd ns0:fill="1F4E5F" ns0:val="clear"/>
          </ns0:tcPr>
          <ns0:p>
            <ns0:pPr>
              <ns0:spacing ns0:before="0" ns0:after="0" ns0:line="220" ns0:lineRule="auto"/>
            </ns0:pPr>
            <ns0:r>
              <ns0:rPr>
                <ns0:b/>
                <ns0:color ns0:val="FFFFFF"/>
                <ns0:sz ns0:val="16"/>
              </ns0:rPr>
              <ns0:t>Evidence status</ns0:t>
            </ns0:r>
          </ns0:p>
        </ns0:tc>
      </ns0:tr>
      <ns0:tr>
        <ns0:tc>
          <ns0:tcPr>
            <ns0:tcW ns0:w="1606" ns0:type="dxa"/>
            <ns0:vAlign ns0:val="center"/>
          </ns0:tcPr>
          <ns0:p>
            <ns0:pPr>
              <ns0:spacing ns0:before="0" ns0:after="0" ns0:line="220" ns0:lineRule="auto"/>
            </ns0:pPr>
            <ns0:r>
              <ns0:rPr>
                <ns0:sz ns0:val="16"/>
              </ns0:rPr>
              <ns0:t xml:space="preserve">V1 reference, </ns0:t>
            </ns0:r>
            <ns0:r>
              <ns0:rPr>
                <ns0:rFonts ns0:ascii="Consolas" ns0:hAnsi="Consolas"/>
                <ns0:shd ns0:fill="F1F3F5" ns0:val="clear"/>
                <ns0:sz ns0:val="16"/>
              </ns0:rPr>
              <ns0:t>hold1_2pct</ns0:t>
            </ns0:r>
          </ns0:p>
        </ns0:tc>
        <ns0:tc>
          <ns0:tcPr>
            <ns0:tcW ns0:w="2216" ns0:type="dxa"/>
            <ns0:vAlign ns0:val="center"/>
          </ns0:tcPr>
          <ns0:p>
            <ns0:pPr>
              <ns0:spacing ns0:before="0" ns0:after="0" ns0:line="220" ns0:lineRule="auto"/>
            </ns0:pPr>
            <ns0:r>
              <ns0:rPr>
                <ns0:sz ns0:val="16"/>
              </ns0:rPr>
              <ns0:t>AUC 0.619</ns0:t>
            </ns0:r>
          </ns0:p>
        </ns0:tc>
        <ns0:tc>
          <ns0:tcPr>
            <ns0:tcW ns0:w="1872" ns0:type="dxa"/>
            <ns0:vAlign ns0:val="center"/>
          </ns0:tcPr>
          <ns0:p>
            <ns0:pPr>
              <ns0:spacing ns0:before="0" ns0:after="0" ns0:line="220" ns0:lineRule="auto"/>
            </ns0:pPr>
            <ns0:r>
              <ns0:rPr>
                <ns0:sz ns0:val="16"/>
              </ns0:rPr>
              <ns0:t>Not available in source artifact</ns0:t>
            </ns0:r>
          </ns0:p>
        </ns0:tc>
        <ns0:tc>
          <ns0:tcPr>
            <ns0:tcW ns0:w="2014" ns0:type="dxa"/>
            <ns0:vAlign ns0:val="center"/>
          </ns0:tcPr>
          <ns0:p>
            <ns0:pPr>
              <ns0:spacing ns0:before="0" ns0:after="0" ns0:line="220" ns0:lineRule="auto"/>
            </ns0:pPr>
            <ns0:r>
              <ns0:rPr>
                <ns0:sz ns0:val="16"/>
              </ns0:rPr>
              <ns0:t>29.0% quoted</ns0:t>
            </ns0:r>
          </ns0:p>
        </ns0:tc>
        <ns0:tc>
          <ns0:tcPr>
            <ns0:tcW ns0:w="2532" ns0:type="dxa"/>
            <ns0:vAlign ns0:val="center"/>
          </ns0:tcPr>
          <ns0:p>
            <ns0:pPr>
              <ns0:spacing ns0:before="0" ns0:after="0" ns0:line="220" ns0:lineRule="auto"/>
            </ns0:pPr>
            <ns0:r>
              <ns0:rPr>
                <ns0:sz ns0:val="16"/>
              </ns0:rPr>
              <ns0:t>Historically quoted by V2 report; not independently reproduced; original V1 artifact not recovered.</ns0:t>
            </ns0:r>
          </ns0:p>
        </ns0:tc>
      </ns0:tr>
      <ns0:tr>
        <ns0:tc>
          <ns0:tcPr>
            <ns0:tcW ns0:w="1606" ns0:type="dxa"/>
            <ns0:vAlign ns0:val="center"/>
            <ns0:shd ns0:fill="F4F7F9" ns0:val="clear"/>
          </ns0:tcPr>
          <ns0:p>
            <ns0:pPr>
              <ns0:spacing ns0:before="0" ns0:after="0" ns0:line="220" ns0:lineRule="auto"/>
            </ns0:pPr>
            <ns0:r>
              <ns0:rPr>
                <ns0:sz ns0:val="16"/>
              </ns0:rPr>
              <ns0:t xml:space="preserve">V2 CatBoost, </ns0:t>
            </ns0:r>
            <ns0:r>
              <ns0:rPr>
                <ns0:rFonts ns0:ascii="Consolas" ns0:hAnsi="Consolas"/>
                <ns0:shd ns0:fill="F1F3F5" ns0:val="clear"/>
                <ns0:sz ns0:val="16"/>
              </ns0:rPr>
              <ns0:t>hold1_2pct</ns0:t>
            </ns0:r>
          </ns0:p>
        </ns0:tc>
        <ns0:tc>
          <ns0:tcPr>
            <ns0:tcW ns0:w="2216" ns0:type="dxa"/>
            <ns0:vAlign ns0:val="center"/>
            <ns0:shd ns0:fill="F4F7F9" ns0:val="clear"/>
          </ns0:tcPr>
          <ns0:p>
            <ns0:pPr>
              <ns0:spacing ns0:before="0" ns0:after="0" ns0:line="220" ns0:lineRule="auto"/>
            </ns0:pPr>
            <ns0:r>
              <ns0:rPr>
                <ns0:sz ns0:val="16"/>
              </ns0:rPr>
              <ns0:t>5-fold mean AUC 0.67595 (SD 0.02284)</ns0:t>
            </ns0:r>
          </ns0:p>
        </ns0:tc>
        <ns0:tc>
          <ns0:tcPr>
            <ns0:tcW ns0:w="1872" ns0:type="dxa"/>
            <ns0:vAlign ns0:val="center"/>
            <ns0:shd ns0:fill="F4F7F9" ns0:val="clear"/>
          </ns0:tcPr>
          <ns0:p>
            <ns0:pPr>
              <ns0:spacing ns0:before="0" ns0:after="0" ns0:line="220" ns0:lineRule="auto"/>
            </ns0:pPr>
            <ns0:r>
              <ns0:rPr>
                <ns0:sz ns0:val="16"/>
              </ns0:rPr>
              <ns0:t>16.4% (report)</ns0:t>
            </ns0:r>
          </ns0:p>
        </ns0:tc>
        <ns0:tc>
          <ns0:tcPr>
            <ns0:tcW ns0:w="2014" ns0:type="dxa"/>
            <ns0:vAlign ns0:val="center"/>
            <ns0:shd ns0:fill="F4F7F9" ns0:val="clear"/>
          </ns0:tcPr>
          <ns0:p>
            <ns0:pPr>
              <ns0:spacing ns0:before="0" ns0:after="0" ns0:line="220" ns0:lineRule="auto"/>
            </ns0:pPr>
            <ns0:r>
              <ns0:rPr>
                <ns0:sz ns0:val="16"/>
              </ns0:rPr>
              <ns0:t>31.93% precision@5% in benchmark CSV</ns0:t>
            </ns0:r>
          </ns0:p>
        </ns0:tc>
        <ns0:tc>
          <ns0:tcPr>
            <ns0:tcW ns0:w="2532" ns0:type="dxa"/>
            <ns0:vAlign ns0:val="center"/>
            <ns0:shd ns0:fill="F4F7F9" ns0:val="clear"/>
          </ns0:tcPr>
          <ns0:p>
            <ns0:pPr>
              <ns0:spacing ns0:before="0" ns0:after="0" ns0:line="220" ns0:lineRule="auto"/>
            </ns0:pPr>
            <ns0:r>
              <ns0:rPr>
                <ns0:sz ns0:val="16"/>
              </ns0:rPr>
              <ns0:t>Historically reported; not independently reproduced; likely forward benchmark-feature leakage requires audit.</ns0:t>
            </ns0:r>
          </ns0:p>
        </ns0:tc>
      </ns0:tr>
      <ns0:tr>
        <ns0:tc>
          <ns0:tcPr>
            <ns0:tcW ns0:w="1606" ns0:type="dxa"/>
            <ns0:vAlign ns0:val="center"/>
          </ns0:tcPr>
          <ns0:p>
            <ns0:pPr>
              <ns0:spacing ns0:before="0" ns0:after="0" ns0:line="220" ns0:lineRule="auto"/>
            </ns0:pPr>
            <ns0:r>
              <ns0:rPr>
                <ns0:sz ns0:val="16"/>
              </ns0:rPr>
              <ns0:t xml:space="preserve">V3 CatBoost, </ns0:t>
            </ns0:r>
            <ns0:r>
              <ns0:rPr>
                <ns0:rFonts ns0:ascii="Consolas" ns0:hAnsi="Consolas"/>
                <ns0:shd ns0:fill="F1F3F5" ns0:val="clear"/>
                <ns0:sz ns0:val="16"/>
              </ns0:rPr>
              <ns0:t>alpha_spy_2pct</ns0:t>
            </ns0:r>
          </ns0:p>
        </ns0:tc>
        <ns0:tc>
          <ns0:tcPr>
            <ns0:tcW ns0:w="2216" ns0:type="dxa"/>
            <ns0:vAlign ns0:val="center"/>
          </ns0:tcPr>
          <ns0:p>
            <ns0:pPr>
              <ns0:spacing ns0:before="0" ns0:after="0" ns0:line="220" ns0:lineRule="auto"/>
            </ns0:pPr>
            <ns0:r>
              <ns0:rPr>
                <ns0:sz ns0:val="16"/>
              </ns0:rPr>
              <ns0:t>5-fold mean AUC 0.72811 (SD 0.03806)</ns0:t>
            </ns0:r>
          </ns0:p>
        </ns0:tc>
        <ns0:tc>
          <ns0:tcPr>
            <ns0:tcW ns0:w="1872" ns0:type="dxa"/>
            <ns0:vAlign ns0:val="center"/>
          </ns0:tcPr>
          <ns0:p>
            <ns0:pPr>
              <ns0:spacing ns0:before="0" ns0:after="0" ns0:line="220" ns0:lineRule="auto"/>
            </ns0:pPr>
            <ns0:r>
              <ns0:rPr>
                <ns0:sz ns0:val="16"/>
              </ns0:rPr>
              <ns0:t>19.89%</ns0:t>
            </ns0:r>
          </ns0:p>
        </ns0:tc>
        <ns0:tc>
          <ns0:tcPr>
            <ns0:tcW ns0:w="2014" ns0:type="dxa"/>
            <ns0:vAlign ns0:val="center"/>
          </ns0:tcPr>
          <ns0:p>
            <ns0:pPr>
              <ns0:spacing ns0:before="0" ns0:after="0" ns0:line="220" ns0:lineRule="auto"/>
            </ns0:pPr>
            <ns0:r>
              <ns0:rPr>
                <ns0:sz ns0:val="16"/>
              </ns0:rPr>
              <ns0:t>Not recorded in metadata</ns0:t>
            </ns0:r>
          </ns0:p>
        </ns0:tc>
        <ns0:tc>
          <ns0:tcPr>
            <ns0:tcW ns0:w="2532" ns0:type="dxa"/>
            <ns0:vAlign ns0:val="center"/>
          </ns0:tcPr>
          <ns0:p>
            <ns0:pPr>
              <ns0:spacing ns0:before="0" ns0:after="0" ns0:line="220" ns0:lineRule="auto"/>
            </ns0:pPr>
            <ns0:r>
              <ns0:rPr>
                <ns0:sz ns0:val="16"/>
              </ns0:rPr>
              <ns0:t>Historically reported; not independently reproduced; feature-exclusion leakage risk requires audit.</ns0:t>
            </ns0:r>
          </ns0:p>
        </ns0:tc>
      </ns0:tr>
      <ns0:tr>
        <ns0:tc>
          <ns0:tcPr>
            <ns0:tcW ns0:w="1606" ns0:type="dxa"/>
            <ns0:vAlign ns0:val="center"/>
            <ns0:shd ns0:fill="F4F7F9" ns0:val="clear"/>
          </ns0:tcPr>
          <ns0:p>
            <ns0:pPr>
              <ns0:spacing ns0:before="0" ns0:after="0" ns0:line="220" ns0:lineRule="auto"/>
            </ns0:pPr>
            <ns0:r>
              <ns0:rPr>
                <ns0:sz ns0:val="16"/>
              </ns0:rPr>
              <ns0:t xml:space="preserve">V4 ensemble, </ns0:t>
            </ns0:r>
            <ns0:r>
              <ns0:rPr>
                <ns0:rFonts ns0:ascii="Consolas" ns0:hAnsi="Consolas"/>
                <ns0:shd ns0:fill="F1F3F5" ns0:val="clear"/>
                <ns0:sz ns0:val="16"/>
              </ns0:rPr>
              <ns0:t>alpha_spy_2pct</ns0:t>
            </ns0:r>
          </ns0:p>
        </ns0:tc>
        <ns0:tc>
          <ns0:tcPr>
            <ns0:tcW ns0:w="2216" ns0:type="dxa"/>
            <ns0:vAlign ns0:val="center"/>
            <ns0:shd ns0:fill="F4F7F9" ns0:val="clear"/>
          </ns0:tcPr>
          <ns0:p>
            <ns0:pPr>
              <ns0:spacing ns0:before="0" ns0:after="0" ns0:line="220" ns0:lineRule="auto"/>
            </ns0:pPr>
            <ns0:r>
              <ns0:rPr>
                <ns0:sz ns0:val="16"/>
              </ns0:rPr>
              <ns0:t>OOF AUC 0.74464; temporal test AUC 0.72799</ns0:t>
            </ns0:r>
          </ns0:p>
        </ns0:tc>
        <ns0:tc>
          <ns0:tcPr>
            <ns0:tcW ns0:w="1872" ns0:type="dxa"/>
            <ns0:vAlign ns0:val="center"/>
            <ns0:shd ns0:fill="F4F7F9" ns0:val="clear"/>
          </ns0:tcPr>
          <ns0:p>
            <ns0:pPr>
              <ns0:spacing ns0:before="0" ns0:after="0" ns0:line="220" ns0:lineRule="auto"/>
            </ns0:pPr>
            <ns0:r>
              <ns0:rPr>
                <ns0:sz ns0:val="16"/>
              </ns0:rPr>
              <ns0:t>19.57%</ns0:t>
            </ns0:r>
          </ns0:p>
        </ns0:tc>
        <ns0:tc>
          <ns0:tcPr>
            <ns0:tcW ns0:w="2014" ns0:type="dxa"/>
            <ns0:vAlign ns0:val="center"/>
            <ns0:shd ns0:fill="F4F7F9" ns0:val="clear"/>
          </ns0:tcPr>
          <ns0:p>
            <ns0:pPr>
              <ns0:spacing ns0:before="0" ns0:after="0" ns0:line="220" ns0:lineRule="auto"/>
            </ns0:pPr>
            <ns0:r>
              <ns0:rPr>
                <ns0:sz ns0:val="16"/>
              </ns0:rPr>
              <ns0:t>53.49%</ns0:t>
            </ns0:r>
          </ns0:p>
        </ns0:tc>
        <ns0:tc>
          <ns0:tcPr>
            <ns0:tcW ns0:w="2532" ns0:type="dxa"/>
            <ns0:vAlign ns0:val="center"/>
            <ns0:shd ns0:fill="F4F7F9" ns0:val="clear"/>
          </ns0:tcPr>
          <ns0:p>
            <ns0:pPr>
              <ns0:spacing ns0:before="0" ns0:after="0" ns0:line="220" ns0:lineRule="auto"/>
            </ns0:pPr>
            <ns0:r>
              <ns0:rPr>
                <ns0:sz ns0:val="16"/>
              </ns0:rPr>
              <ns0:t>Historically reported; not independently reproduced; target-encoding and feature leakage risk.</ns0:t>
            </ns0:r>
          </ns0:p>
        </ns0:tc>
      </ns0:tr>
      <ns0:tr>
        <ns0:tc>
          <ns0:tcPr>
            <ns0:tcW ns0:w="1606" ns0:type="dxa"/>
            <ns0:vAlign ns0:val="center"/>
          </ns0:tcPr>
          <ns0:p>
            <ns0:pPr>
              <ns0:spacing ns0:before="0" ns0:after="0" ns0:line="220" ns0:lineRule="auto"/>
            </ns0:pPr>
            <ns0:r>
              <ns0:rPr>
                <ns0:sz ns0:val="16"/>
              </ns0:rPr>
              <ns0:t xml:space="preserve">V5 ensemble, </ns0:t>
            </ns0:r>
            <ns0:r>
              <ns0:rPr>
                <ns0:rFonts ns0:ascii="Consolas" ns0:hAnsi="Consolas"/>
                <ns0:shd ns0:fill="F1F3F5" ns0:val="clear"/>
                <ns0:sz ns0:val="16"/>
              </ns0:rPr>
              <ns0:t>alpha_spy_3pct</ns0:t>
            </ns0:r>
          </ns0:p>
        </ns0:tc>
        <ns0:tc>
          <ns0:tcPr>
            <ns0:tcW ns0:w="2216" ns0:type="dxa"/>
            <ns0:vAlign ns0:val="center"/>
          </ns0:tcPr>
          <ns0:p>
            <ns0:pPr>
              <ns0:spacing ns0:before="0" ns0:after="0" ns0:line="220" ns0:lineRule="auto"/>
            </ns0:pPr>
            <ns0:r>
              <ns0:rPr>
                <ns0:sz ns0:val="16"/>
              </ns0:rPr>
              <ns0:t>OOF AUC 0.78408; temporal test AUC 0.75295</ns0:t>
            </ns0:r>
          </ns0:p>
        </ns0:tc>
        <ns0:tc>
          <ns0:tcPr>
            <ns0:tcW ns0:w="1872" ns0:type="dxa"/>
            <ns0:vAlign ns0:val="center"/>
          </ns0:tcPr>
          <ns0:p>
            <ns0:pPr>
              <ns0:spacing ns0:before="0" ns0:after="0" ns0:line="220" ns0:lineRule="auto"/>
            </ns0:pPr>
            <ns0:r>
              <ns0:rPr>
                <ns0:sz ns0:val="16"/>
              </ns0:rPr>
              <ns0:t>11.85%</ns0:t>
            </ns0:r>
          </ns0:p>
        </ns0:tc>
        <ns0:tc>
          <ns0:tcPr>
            <ns0:tcW ns0:w="2014" ns0:type="dxa"/>
            <ns0:vAlign ns0:val="center"/>
          </ns0:tcPr>
          <ns0:p>
            <ns0:pPr>
              <ns0:spacing ns0:before="0" ns0:after="0" ns0:line="220" ns0:lineRule="auto"/>
            </ns0:pPr>
            <ns0:r>
              <ns0:rPr>
                <ns0:sz ns0:val="16"/>
              </ns0:rPr>
              <ns0:t>43.13%</ns0:t>
            </ns0:r>
          </ns0:p>
        </ns0:tc>
        <ns0:tc>
          <ns0:tcPr>
            <ns0:tcW ns0:w="2532" ns0:type="dxa"/>
            <ns0:vAlign ns0:val="center"/>
          </ns0:tcPr>
          <ns0:p>
            <ns0:pPr>
              <ns0:spacing ns0:before="0" ns0:after="0" ns0:line="220" ns0:lineRule="auto"/>
            </ns0:pPr>
            <ns0:r>
              <ns0:rPr>
                <ns0:sz ns0:val="16"/>
              </ns0:rPr>
              <ns0:t>Historically reported; not independently reproduced; target-encoding and feature leakage risk; different target.</ns0:t>
            </ns0:r>
          </ns0:p>
        </ns0:tc>
      </ns0:tr>
      <ns0:tr>
        <ns0:tc>
          <ns0:tcPr>
            <ns0:tcW ns0:w="1606" ns0:type="dxa"/>
            <ns0:vAlign ns0:val="center"/>
            <ns0:shd ns0:fill="F4F7F9" ns0:val="clear"/>
          </ns0:tcPr>
          <ns0:p>
            <ns0:pPr>
              <ns0:spacing ns0:before="0" ns0:after="0" ns0:line="220" ns0:lineRule="auto"/>
            </ns0:pPr>
            <ns0:r>
              <ns0:rPr>
                <ns0:sz ns0:val="16"/>
              </ns0:rPr>
              <ns0:t xml:space="preserve">V6 magnitude, </ns0:t>
            </ns0:r>
            <ns0:r>
              <ns0:rPr>
                <ns0:rFonts ns0:ascii="Consolas" ns0:hAnsi="Consolas"/>
                <ns0:shd ns0:fill="F1F3F5" ns0:val="clear"/>
                <ns0:sz ns0:val="16"/>
              </ns0:rPr>
              <ns0:t>mag_spy_2pct</ns0:t>
            </ns0:r>
          </ns0:p>
        </ns0:tc>
        <ns0:tc>
          <ns0:tcPr>
            <ns0:tcW ns0:w="2216" ns0:type="dxa"/>
            <ns0:vAlign ns0:val="center"/>
            <ns0:shd ns0:fill="F4F7F9" ns0:val="clear"/>
          </ns0:tcPr>
          <ns0:p>
            <ns0:pPr>
              <ns0:spacing ns0:before="0" ns0:after="0" ns0:line="220" ns0:lineRule="auto"/>
            </ns0:pPr>
            <ns0:r>
              <ns0:rPr>
                <ns0:sz ns0:val="16"/>
              </ns0:rPr>
              <ns0:t>AUC 0.72583</ns0:t>
            </ns0:r>
          </ns0:p>
        </ns0:tc>
        <ns0:tc>
          <ns0:tcPr>
            <ns0:tcW ns0:w="1872" ns0:type="dxa"/>
            <ns0:vAlign ns0:val="center"/>
            <ns0:shd ns0:fill="F4F7F9" ns0:val="clear"/>
          </ns0:tcPr>
          <ns0:p>
            <ns0:pPr>
              <ns0:spacing ns0:before="0" ns0:after="0" ns0:line="220" ns0:lineRule="auto"/>
            </ns0:pPr>
            <ns0:r>
              <ns0:rPr>
                <ns0:sz ns0:val="16"/>
              </ns0:rPr>
              <ns0:t>38.04%</ns0:t>
            </ns0:r>
          </ns0:p>
        </ns0:tc>
        <ns0:tc>
          <ns0:tcPr>
            <ns0:tcW ns0:w="2014" ns0:type="dxa"/>
            <ns0:vAlign ns0:val="center"/>
            <ns0:shd ns0:fill="F4F7F9" ns0:val="clear"/>
          </ns0:tcPr>
          <ns0:p>
            <ns0:pPr>
              <ns0:spacing ns0:before="0" ns0:after="0" ns0:line="220" ns0:lineRule="auto"/>
            </ns0:pPr>
            <ns0:r>
              <ns0:rPr>
                <ns0:sz ns0:val="16"/>
              </ns0:rPr>
              <ns0:t>72.24%</ns0:t>
            </ns0:r>
          </ns0:p>
        </ns0:tc>
        <ns0:tc>
          <ns0:tcPr>
            <ns0:tcW ns0:w="2532" ns0:type="dxa"/>
            <ns0:vAlign ns0:val="center"/>
            <ns0:shd ns0:fill="F4F7F9" ns0:val="clear"/>
          </ns0:tcPr>
          <ns0:p>
            <ns0:pPr>
              <ns0:spacing ns0:before="0" ns0:after="0" ns0:line="220" ns0:lineRule="auto"/>
            </ns0:pPr>
            <ns0:r>
              <ns0:rPr>
                <ns0:sz ns0:val="16"/>
              </ns0:rPr>
              <ns0:t>Historically reported; not independently reproduced; uses V5 data and requires upstream audit.</ns0:t>
            </ns0:r>
          </ns0:p>
        </ns0:tc>
      </ns0:tr>
      <ns0:tr>
        <ns0:tc>
          <ns0:tcPr>
            <ns0:tcW ns0:w="1606" ns0:type="dxa"/>
            <ns0:vAlign ns0:val="center"/>
          </ns0:tcPr>
          <ns0:p>
            <ns0:pPr>
              <ns0:spacing ns0:before="0" ns0:after="0" ns0:line="220" ns0:lineRule="auto"/>
            </ns0:pPr>
            <ns0:r>
              <ns0:rPr>
                <ns0:sz ns0:val="16"/>
              </ns0:rPr>
              <ns0:t xml:space="preserve">V7 ensemble, </ns0:t>
            </ns0:r>
            <ns0:r>
              <ns0:rPr>
                <ns0:rFonts ns0:ascii="Consolas" ns0:hAnsi="Consolas"/>
                <ns0:shd ns0:fill="F1F3F5" ns0:val="clear"/>
                <ns0:sz ns0:val="16"/>
              </ns0:rPr>
              <ns0:t>hold1_2pct</ns0:t>
            </ns0:r>
          </ns0:p>
        </ns0:tc>
        <ns0:tc>
          <ns0:tcPr>
            <ns0:tcW ns0:w="2216" ns0:type="dxa"/>
            <ns0:vAlign ns0:val="center"/>
          </ns0:tcPr>
          <ns0:p>
            <ns0:pPr>
              <ns0:spacing ns0:before="0" ns0:after="0" ns0:line="220" ns0:lineRule="auto"/>
            </ns0:pPr>
            <ns0:r>
              <ns0:rPr>
                <ns0:sz ns0:val="16"/>
              </ns0:rPr>
              <ns0:t>OOF AUC 0.7084 across 3 folds</ns0:t>
            </ns0:r>
          </ns0:p>
        </ns0:tc>
        <ns0:tc>
          <ns0:tcPr>
            <ns0:tcW ns0:w="1872" ns0:type="dxa"/>
            <ns0:vAlign ns0:val="center"/>
          </ns0:tcPr>
          <ns0:p>
            <ns0:pPr>
              <ns0:spacing ns0:before="0" ns0:after="0" ns0:line="220" ns0:lineRule="auto"/>
            </ns0:pPr>
            <ns0:r>
              <ns0:rPr>
                <ns0:sz ns0:val="16"/>
              </ns0:rPr>
              <ns0:t>16.42%</ns0:t>
            </ns0:r>
          </ns0:p>
        </ns0:tc>
        <ns0:tc>
          <ns0:tcPr>
            <ns0:tcW ns0:w="2014" ns0:type="dxa"/>
            <ns0:vAlign ns0:val="center"/>
          </ns0:tcPr>
          <ns0:p>
            <ns0:pPr>
              <ns0:spacing ns0:before="0" ns0:after="0" ns0:line="220" ns0:lineRule="auto"/>
            </ns0:pPr>
            <ns0:r>
              <ns0:rPr>
                <ns0:sz ns0:val="16"/>
              </ns0:rPr>
              <ns0:t>47.95%</ns0:t>
            </ns0:r>
          </ns0:p>
        </ns0:tc>
        <ns0:tc>
          <ns0:tcPr>
            <ns0:tcW ns0:w="2532" ns0:type="dxa"/>
            <ns0:vAlign ns0:val="center"/>
          </ns0:tcPr>
          <ns0:p>
            <ns0:pPr>
              <ns0:spacing ns0:before="0" ns0:after="0" ns0:line="220" ns0:lineRule="auto"/>
            </ns0:pPr>
            <ns0:r>
              <ns0:rPr>
                <ns0:sz ns0:val="16"/>
              </ns0:rPr>
              <ns0:t>Historically reported; not independently reproduced; most promising candidate for fresh independent audit, not prospective evidence.</ns0:t>
            </ns0:r>
          </ns0:p>
        </ns0:tc>
      </ns0:tr>
    </ns0:tbl>
    <ns0:p>
      <ns0:pPr>
        <ns0:pStyle ns0:val="Heading2"/>
        <ns0:spacing ns0:before="220" ns0:after="100"/>
        <ns0:keepNext/>
        <ns0:keepLines/>
      </ns0:pPr>
      <ns0:r>
        <ns0:t>7.2 Immutable v1.0.1 archive results: saved-score calculations; source/model generation not reproduced</ns0:t>
      </ns0:r>
    </ns0:p>
    <ns0:p>
      <ns0:pPr>
        <ns0:pStyle ns0:val="BodyText"/>
        <ns0:spacing ns0:after="90"/>
        <ns0:keepLines/>
      </ns0:pPr>
      <ns0:r>
        <ns0:t>The separate immutable v1.0.1 development archive is historical project output, not a v1.0.2 execution or prospective test. Its report/manifest record 61,045 candidate events with valid labels across 149 tickers, signal dates 2021-08-03 through 2025-12-31, and 41,221 unique OOF predictions; 19,824 labeled events were not in the OOF score sets. The archived positive rate is 17.58% over all labeled events and 16.48% in OOF rows. Each model/arm has the same 41,221 OOF rows; the per-date summaries use 728 two-class dates and mean same-date prevalence is 16.12%. The audit recalculated the displayed pooled and fold point metrics from retained scores and matched the manifest/report to their stated precision. This independently verifies score arithmetic on saved predictions, not historical feature generation, model fitting, or score generation.</ns0:t>
      </ns0:r>
    </ns0:p>
    <ns0:tbl>
      <ns0:tblPr>
        <ns0:tblW ns0:w="10240" ns0:type="dxa"/>
        <ns0:tblLayout ns0:type="fixed"/>
        <ns0:tblBorders>
          <ns0:top ns0:val="single" ns0:sz="4" ns0:space="0" ns0:color="B8C5D3"/>
          <ns0:left ns0:val="single" ns0:sz="4" ns0:space="0" ns0:color="B8C5D3"/>
          <ns0:bottom ns0:val="single" ns0:sz="4" ns0:space="0" ns0:color="B8C5D3"/>
          <ns0:right ns0:val="single" ns0:sz="4" ns0:space="0" ns0:color="B8C5D3"/>
          <ns0:insideH ns0:val="single" ns0:sz="4" ns0:space="0" ns0:color="B8C5D3"/>
          <ns0:insideV ns0:val="single" ns0:sz="4" ns0:space="0" ns0:color="B8C5D3"/>
        </ns0:tblBorders>
        <ns0:tblCellMar>
          <ns0:top ns0:w="70" ns0:type="dxa"/>
          <ns0:start ns0:w="75" ns0:type="dxa"/>
          <ns0:bottom ns0:w="70" ns0:type="dxa"/>
          <ns0:end ns0:w="75" ns0:type="dxa"/>
        </ns0:tblCellMar>
      </ns0:tblPr>
      <ns0:tblGrid>
        <ns0:gridCol ns0:w="1606"/>
        <ns0:gridCol ns0:w="2216"/>
        <ns0:gridCol ns0:w="1872"/>
        <ns0:gridCol ns0:w="2014"/>
        <ns0:gridCol ns0:w="2532"/>
      </ns0:tblGrid>
      <ns0:tr>
        <ns0:trPr>
          <ns0:tblHeader ns0:val="true"/>
        </ns0:trPr>
        <ns0:tc>
          <ns0:tcPr>
            <ns0:tcW ns0:w="1606" ns0:type="dxa"/>
            <ns0:vAlign ns0:val="center"/>
            <ns0:shd ns0:fill="1F4E5F" ns0:val="clear"/>
          </ns0:tcPr>
          <ns0:p>
            <ns0:pPr>
              <ns0:spacing ns0:before="0" ns0:after="0" ns0:line="220" ns0:lineRule="auto"/>
            </ns0:pPr>
            <ns0:r>
              <ns0:rPr>
                <ns0:b/>
                <ns0:color ns0:val="FFFFFF"/>
                <ns0:sz ns0:val="16"/>
              </ns0:rPr>
              <ns0:t>Model / arm</ns0:t>
            </ns0:r>
          </ns0:p>
        </ns0:tc>
        <ns0:tc>
          <ns0:tcPr>
            <ns0:tcW ns0:w="2216" ns0:type="dxa"/>
            <ns0:vAlign ns0:val="center"/>
            <ns0:shd ns0:fill="1F4E5F" ns0:val="clear"/>
          </ns0:tcPr>
          <ns0:p>
            <ns0:pPr>
              <ns0:spacing ns0:before="0" ns0:after="0" ns0:line="220" ns0:lineRule="auto"/>
            </ns0:pPr>
            <ns0:r>
              <ns0:rPr>
                <ns0:b/>
                <ns0:color ns0:val="FFFFFF"/>
                <ns0:sz ns0:val="16"/>
              </ns0:rPr>
              <ns0:t>Pooled ROC-AUC</ns0:t>
            </ns0:r>
          </ns0:p>
        </ns0:tc>
        <ns0:tc>
          <ns0:tcPr>
            <ns0:tcW ns0:w="1872" ns0:type="dxa"/>
            <ns0:vAlign ns0:val="center"/>
            <ns0:shd ns0:fill="1F4E5F" ns0:val="clear"/>
          </ns0:tcPr>
          <ns0:p>
            <ns0:pPr>
              <ns0:spacing ns0:before="0" ns0:after="0" ns0:line="220" ns0:lineRule="auto"/>
            </ns0:pPr>
            <ns0:r>
              <ns0:rPr>
                <ns0:b/>
                <ns0:color ns0:val="FFFFFF"/>
                <ns0:sz ns0:val="16"/>
              </ns0:rPr>
              <ns0:t>Average precision</ns0:t>
            </ns0:r>
          </ns0:p>
        </ns0:tc>
        <ns0:tc>
          <ns0:tcPr>
            <ns0:tcW ns0:w="2014" ns0:type="dxa"/>
            <ns0:vAlign ns0:val="center"/>
            <ns0:shd ns0:fill="1F4E5F" ns0:val="clear"/>
          </ns0:tcPr>
          <ns0:p>
            <ns0:pPr>
              <ns0:spacing ns0:before="0" ns0:after="0" ns0:line="220" ns0:lineRule="auto"/>
            </ns0:pPr>
            <ns0:r>
              <ns0:rPr>
                <ns0:b/>
                <ns0:color ns0:val="FFFFFF"/>
                <ns0:sz ns0:val="16"/>
              </ns0:rPr>
              <ns0:t>Mean daily AUC (728 dates)</ns0:t>
            </ns0:r>
          </ns0:p>
        </ns0:tc>
        <ns0:tc>
          <ns0:tcPr>
            <ns0:tcW ns0:w="2532" ns0:type="dxa"/>
            <ns0:vAlign ns0:val="center"/>
            <ns0:shd ns0:fill="1F4E5F" ns0:val="clear"/>
          </ns0:tcPr>
          <ns0:p>
            <ns0:pPr>
              <ns0:spacing ns0:before="0" ns0:after="0" ns0:line="220" ns0:lineRule="auto"/>
            </ns0:pPr>
            <ns0:r>
              <ns0:rPr>
                <ns0:b/>
                <ns0:color ns0:val="FFFFFF"/>
                <ns0:sz ns0:val="16"/>
              </ns0:rPr>
              <ns0:t>Mean top-5% precision / date</ns0:t>
            </ns0:r>
          </ns0:p>
        </ns0:tc>
      </ns0:tr>
      <ns0:tr>
        <ns0:tc>
          <ns0:tcPr>
            <ns0:tcW ns0:w="1606" ns0:type="dxa"/>
            <ns0:vAlign ns0:val="center"/>
          </ns0:tcPr>
          <ns0:p>
            <ns0:pPr>
              <ns0:spacing ns0:before="0" ns0:after="0" ns0:line="220" ns0:lineRule="auto"/>
            </ns0:pPr>
            <ns0:r>
              <ns0:rPr>
                <ns0:sz ns0:val="16"/>
              </ns0:rPr>
              <ns0:t>Logistic Regression — A</ns0:t>
            </ns0:r>
          </ns0:p>
        </ns0:tc>
        <ns0:tc>
          <ns0:tcPr>
            <ns0:tcW ns0:w="2216" ns0:type="dxa"/>
            <ns0:vAlign ns0:val="center"/>
          </ns0:tcPr>
          <ns0:p>
            <ns0:pPr>
              <ns0:spacing ns0:before="0" ns0:after="0" ns0:line="220" ns0:lineRule="auto"/>
            </ns0:pPr>
            <ns0:r>
              <ns0:rPr>
                <ns0:sz ns0:val="16"/>
              </ns0:rPr>
              <ns0:t>0.5901</ns0:t>
            </ns0:r>
          </ns0:p>
        </ns0:tc>
        <ns0:tc>
          <ns0:tcPr>
            <ns0:tcW ns0:w="1872" ns0:type="dxa"/>
            <ns0:vAlign ns0:val="center"/>
          </ns0:tcPr>
          <ns0:p>
            <ns0:pPr>
              <ns0:spacing ns0:before="0" ns0:after="0" ns0:line="220" ns0:lineRule="auto"/>
            </ns0:pPr>
            <ns0:r>
              <ns0:rPr>
                <ns0:sz ns0:val="16"/>
              </ns0:rPr>
              <ns0:t>0.2324</ns0:t>
            </ns0:r>
          </ns0:p>
        </ns0:tc>
        <ns0:tc>
          <ns0:tcPr>
            <ns0:tcW ns0:w="2014" ns0:type="dxa"/>
            <ns0:vAlign ns0:val="center"/>
          </ns0:tcPr>
          <ns0:p>
            <ns0:pPr>
              <ns0:spacing ns0:before="0" ns0:after="0" ns0:line="220" ns0:lineRule="auto"/>
            </ns0:pPr>
            <ns0:r>
              <ns0:rPr>
                <ns0:sz ns0:val="16"/>
              </ns0:rPr>
              <ns0:t>0.5883</ns0:t>
            </ns0:r>
          </ns0:p>
        </ns0:tc>
        <ns0:tc>
          <ns0:tcPr>
            <ns0:tcW ns0:w="2532" ns0:type="dxa"/>
            <ns0:vAlign ns0:val="center"/>
          </ns0:tcPr>
          <ns0:p>
            <ns0:pPr>
              <ns0:spacing ns0:before="0" ns0:after="0" ns0:line="220" ns0:lineRule="auto"/>
            </ns0:pPr>
            <ns0:r>
              <ns0:rPr>
                <ns0:sz ns0:val="16"/>
              </ns0:rPr>
              <ns0:t>0.2835</ns0:t>
            </ns0:r>
          </ns0:p>
        </ns0:tc>
      </ns0:tr>
      <ns0:tr>
        <ns0:tc>
          <ns0:tcPr>
            <ns0:tcW ns0:w="1606" ns0:type="dxa"/>
            <ns0:vAlign ns0:val="center"/>
          </ns0:tcPr>
          <ns0:p>
            <ns0:pPr>
              <ns0:spacing ns0:before="0" ns0:after="0" ns0:line="220" ns0:lineRule="auto"/>
            </ns0:pPr>
            <ns0:r>
              <ns0:rPr>
                <ns0:sz ns0:val="16"/>
              </ns0:rPr>
              <ns0:t>Logistic Regression — B</ns0:t>
            </ns0:r>
          </ns0:p>
        </ns0:tc>
        <ns0:tc>
          <ns0:tcPr>
            <ns0:tcW ns0:w="2216" ns0:type="dxa"/>
            <ns0:vAlign ns0:val="center"/>
          </ns0:tcPr>
          <ns0:p>
            <ns0:pPr>
              <ns0:spacing ns0:before="0" ns0:after="0" ns0:line="220" ns0:lineRule="auto"/>
            </ns0:pPr>
            <ns0:r>
              <ns0:rPr>
                <ns0:sz ns0:val="16"/>
              </ns0:rPr>
              <ns0:t>0.6608</ns0:t>
            </ns0:r>
          </ns0:p>
        </ns0:tc>
        <ns0:tc>
          <ns0:tcPr>
            <ns0:tcW ns0:w="1872" ns0:type="dxa"/>
            <ns0:vAlign ns0:val="center"/>
          </ns0:tcPr>
          <ns0:p>
            <ns0:pPr>
              <ns0:spacing ns0:before="0" ns0:after="0" ns0:line="220" ns0:lineRule="auto"/>
            </ns0:pPr>
            <ns0:r>
              <ns0:rPr>
                <ns0:sz ns0:val="16"/>
              </ns0:rPr>
              <ns0:t>0.2688</ns0:t>
            </ns0:r>
          </ns0:p>
        </ns0:tc>
        <ns0:tc>
          <ns0:tcPr>
            <ns0:tcW ns0:w="2014" ns0:type="dxa"/>
            <ns0:vAlign ns0:val="center"/>
          </ns0:tcPr>
          <ns0:p>
            <ns0:pPr>
              <ns0:spacing ns0:before="0" ns0:after="0" ns0:line="220" ns0:lineRule="auto"/>
            </ns0:pPr>
            <ns0:r>
              <ns0:rPr>
                <ns0:sz ns0:val="16"/>
              </ns0:rPr>
              <ns0:t>0.6815</ns0:t>
            </ns0:r>
          </ns0:p>
        </ns0:tc>
        <ns0:tc>
          <ns0:tcPr>
            <ns0:tcW ns0:w="2532" ns0:type="dxa"/>
            <ns0:vAlign ns0:val="center"/>
          </ns0:tcPr>
          <ns0:p>
            <ns0:pPr>
              <ns0:spacing ns0:before="0" ns0:after="0" ns0:line="220" ns0:lineRule="auto"/>
            </ns0:pPr>
            <ns0:r>
              <ns0:rPr>
                <ns0:sz ns0:val="16"/>
              </ns0:rPr>
              <ns0:t>0.3257</ns0:t>
            </ns0:r>
          </ns0:p>
        </ns0:tc>
      </ns0:tr>
      <ns0:tr>
        <ns0:tc>
          <ns0:tcPr>
            <ns0:tcW ns0:w="1606" ns0:type="dxa"/>
            <ns0:vAlign ns0:val="center"/>
          </ns0:tcPr>
          <ns0:p>
            <ns0:pPr>
              <ns0:spacing ns0:before="0" ns0:after="0" ns0:line="220" ns0:lineRule="auto"/>
            </ns0:pPr>
            <ns0:r>
              <ns0:rPr>
                <ns0:sz ns0:val="16"/>
              </ns0:rPr>
              <ns0:t>Logistic Regression — C</ns0:t>
            </ns0:r>
          </ns0:p>
        </ns0:tc>
        <ns0:tc>
          <ns0:tcPr>
            <ns0:tcW ns0:w="2216" ns0:type="dxa"/>
            <ns0:vAlign ns0:val="center"/>
          </ns0:tcPr>
          <ns0:p>
            <ns0:pPr>
              <ns0:spacing ns0:before="0" ns0:after="0" ns0:line="220" ns0:lineRule="auto"/>
            </ns0:pPr>
            <ns0:r>
              <ns0:rPr>
                <ns0:sz ns0:val="16"/>
              </ns0:rPr>
              <ns0:t>0.6603</ns0:t>
            </ns0:r>
          </ns0:p>
        </ns0:tc>
        <ns0:tc>
          <ns0:tcPr>
            <ns0:tcW ns0:w="1872" ns0:type="dxa"/>
            <ns0:vAlign ns0:val="center"/>
          </ns0:tcPr>
          <ns0:p>
            <ns0:pPr>
              <ns0:spacing ns0:before="0" ns0:after="0" ns0:line="220" ns0:lineRule="auto"/>
            </ns0:pPr>
            <ns0:r>
              <ns0:rPr>
                <ns0:sz ns0:val="16"/>
              </ns0:rPr>
              <ns0:t>0.2663</ns0:t>
            </ns0:r>
          </ns0:p>
        </ns0:tc>
        <ns0:tc>
          <ns0:tcPr>
            <ns0:tcW ns0:w="2014" ns0:type="dxa"/>
            <ns0:vAlign ns0:val="center"/>
          </ns0:tcPr>
          <ns0:p>
            <ns0:pPr>
              <ns0:spacing ns0:before="0" ns0:after="0" ns0:line="220" ns0:lineRule="auto"/>
            </ns0:pPr>
            <ns0:r>
              <ns0:rPr>
                <ns0:sz ns0:val="16"/>
              </ns0:rPr>
              <ns0:t>0.6752</ns0:t>
            </ns0:r>
          </ns0:p>
        </ns0:tc>
        <ns0:tc>
          <ns0:tcPr>
            <ns0:tcW ns0:w="2532" ns0:type="dxa"/>
            <ns0:vAlign ns0:val="center"/>
          </ns0:tcPr>
          <ns0:p>
            <ns0:pPr>
              <ns0:spacing ns0:before="0" ns0:after="0" ns0:line="220" ns0:lineRule="auto"/>
            </ns0:pPr>
            <ns0:r>
              <ns0:rPr>
                <ns0:sz ns0:val="16"/>
              </ns0:rPr>
              <ns0:t>0.3252</ns0:t>
            </ns0:r>
          </ns0:p>
        </ns0:tc>
      </ns0:tr>
      <ns0:tr>
        <ns0:tc>
          <ns0:tcPr>
            <ns0:tcW ns0:w="1606" ns0:type="dxa"/>
            <ns0:vAlign ns0:val="center"/>
          </ns0:tcPr>
          <ns0:p>
            <ns0:pPr>
              <ns0:spacing ns0:before="0" ns0:after="0" ns0:line="220" ns0:lineRule="auto"/>
            </ns0:pPr>
            <ns0:r>
              <ns0:rPr>
                <ns0:sz ns0:val="16"/>
              </ns0:rPr>
              <ns0:t>Logistic Regression — D</ns0:t>
            </ns0:r>
          </ns0:p>
        </ns0:tc>
        <ns0:tc>
          <ns0:tcPr>
            <ns0:tcW ns0:w="2216" ns0:type="dxa"/>
            <ns0:vAlign ns0:val="center"/>
          </ns0:tcPr>
          <ns0:p>
            <ns0:pPr>
              <ns0:spacing ns0:before="0" ns0:after="0" ns0:line="220" ns0:lineRule="auto"/>
            </ns0:pPr>
            <ns0:r>
              <ns0:rPr>
                <ns0:sz ns0:val="16"/>
              </ns0:rPr>
              <ns0:t>0.6596</ns0:t>
            </ns0:r>
          </ns0:p>
        </ns0:tc>
        <ns0:tc>
          <ns0:tcPr>
            <ns0:tcW ns0:w="1872" ns0:type="dxa"/>
            <ns0:vAlign ns0:val="center"/>
          </ns0:tcPr>
          <ns0:p>
            <ns0:pPr>
              <ns0:spacing ns0:before="0" ns0:after="0" ns0:line="220" ns0:lineRule="auto"/>
            </ns0:pPr>
            <ns0:r>
              <ns0:rPr>
                <ns0:sz ns0:val="16"/>
              </ns0:rPr>
              <ns0:t>0.2655</ns0:t>
            </ns0:r>
          </ns0:p>
        </ns0:tc>
        <ns0:tc>
          <ns0:tcPr>
            <ns0:tcW ns0:w="2014" ns0:type="dxa"/>
            <ns0:vAlign ns0:val="center"/>
          </ns0:tcPr>
          <ns0:p>
            <ns0:pPr>
              <ns0:spacing ns0:before="0" ns0:after="0" ns0:line="220" ns0:lineRule="auto"/>
            </ns0:pPr>
            <ns0:r>
              <ns0:rPr>
                <ns0:sz ns0:val="16"/>
              </ns0:rPr>
              <ns0:t>0.6732</ns0:t>
            </ns0:r>
          </ns0:p>
        </ns0:tc>
        <ns0:tc>
          <ns0:tcPr>
            <ns0:tcW ns0:w="2532" ns0:type="dxa"/>
            <ns0:vAlign ns0:val="center"/>
          </ns0:tcPr>
          <ns0:p>
            <ns0:pPr>
              <ns0:spacing ns0:before="0" ns0:after="0" ns0:line="220" ns0:lineRule="auto"/>
            </ns0:pPr>
            <ns0:r>
              <ns0:rPr>
                <ns0:sz ns0:val="16"/>
              </ns0:rPr>
              <ns0:t>0.3168</ns0:t>
            </ns0:r>
          </ns0:p>
        </ns0:tc>
      </ns0:tr>
      <ns0:tr>
        <ns0:tc>
          <ns0:tcPr>
            <ns0:tcW ns0:w="1606" ns0:type="dxa"/>
            <ns0:vAlign ns0:val="center"/>
          </ns0:tcPr>
          <ns0:p>
            <ns0:pPr>
              <ns0:spacing ns0:before="0" ns0:after="0" ns0:line="220" ns0:lineRule="auto"/>
            </ns0:pPr>
            <ns0:r>
              <ns0:rPr>
                <ns0:sz ns0:val="16"/>
              </ns0:rPr>
              <ns0:t>LightGBM — A</ns0:t>
            </ns0:r>
          </ns0:p>
        </ns0:tc>
        <ns0:tc>
          <ns0:tcPr>
            <ns0:tcW ns0:w="2216" ns0:type="dxa"/>
            <ns0:vAlign ns0:val="center"/>
          </ns0:tcPr>
          <ns0:p>
            <ns0:pPr>
              <ns0:spacing ns0:before="0" ns0:after="0" ns0:line="220" ns0:lineRule="auto"/>
            </ns0:pPr>
            <ns0:r>
              <ns0:rPr>
                <ns0:sz ns0:val="16"/>
              </ns0:rPr>
              <ns0:t>0.6718</ns0:t>
            </ns0:r>
          </ns0:p>
        </ns0:tc>
        <ns0:tc>
          <ns0:tcPr>
            <ns0:tcW ns0:w="1872" ns0:type="dxa"/>
            <ns0:vAlign ns0:val="center"/>
          </ns0:tcPr>
          <ns0:p>
            <ns0:pPr>
              <ns0:spacing ns0:before="0" ns0:after="0" ns0:line="220" ns0:lineRule="auto"/>
            </ns0:pPr>
            <ns0:r>
              <ns0:rPr>
                <ns0:sz ns0:val="16"/>
              </ns0:rPr>
              <ns0:t>0.2610</ns0:t>
            </ns0:r>
          </ns0:p>
        </ns0:tc>
        <ns0:tc>
          <ns0:tcPr>
            <ns0:tcW ns0:w="2014" ns0:type="dxa"/>
            <ns0:vAlign ns0:val="center"/>
          </ns0:tcPr>
          <ns0:p>
            <ns0:pPr>
              <ns0:spacing ns0:before="0" ns0:after="0" ns0:line="220" ns0:lineRule="auto"/>
            </ns0:pPr>
            <ns0:r>
              <ns0:rPr>
                <ns0:sz ns0:val="16"/>
              </ns0:rPr>
              <ns0:t>0.6692</ns0:t>
            </ns0:r>
          </ns0:p>
        </ns0:tc>
        <ns0:tc>
          <ns0:tcPr>
            <ns0:tcW ns0:w="2532" ns0:type="dxa"/>
            <ns0:vAlign ns0:val="center"/>
          </ns0:tcPr>
          <ns0:p>
            <ns0:pPr>
              <ns0:spacing ns0:before="0" ns0:after="0" ns0:line="220" ns0:lineRule="auto"/>
            </ns0:pPr>
            <ns0:r>
              <ns0:rPr>
                <ns0:sz ns0:val="16"/>
              </ns0:rPr>
              <ns0:t>0.3010</ns0:t>
            </ns0:r>
          </ns0:p>
        </ns0:tc>
      </ns0:tr>
      <ns0:tr>
        <ns0:tc>
          <ns0:tcPr>
            <ns0:tcW ns0:w="1606" ns0:type="dxa"/>
            <ns0:vAlign ns0:val="center"/>
          </ns0:tcPr>
          <ns0:p>
            <ns0:pPr>
              <ns0:spacing ns0:before="0" ns0:after="0" ns0:line="220" ns0:lineRule="auto"/>
            </ns0:pPr>
            <ns0:r>
              <ns0:rPr>
                <ns0:sz ns0:val="16"/>
              </ns0:rPr>
              <ns0:t>LightGBM — B</ns0:t>
            </ns0:r>
          </ns0:p>
        </ns0:tc>
        <ns0:tc>
          <ns0:tcPr>
            <ns0:tcW ns0:w="2216" ns0:type="dxa"/>
            <ns0:vAlign ns0:val="center"/>
          </ns0:tcPr>
          <ns0:p>
            <ns0:pPr>
              <ns0:spacing ns0:before="0" ns0:after="0" ns0:line="220" ns0:lineRule="auto"/>
            </ns0:pPr>
            <ns0:r>
              <ns0:rPr>
                <ns0:sz ns0:val="16"/>
              </ns0:rPr>
              <ns0:t>0.6778</ns0:t>
            </ns0:r>
          </ns0:p>
        </ns0:tc>
        <ns0:tc>
          <ns0:tcPr>
            <ns0:tcW ns0:w="1872" ns0:type="dxa"/>
            <ns0:vAlign ns0:val="center"/>
          </ns0:tcPr>
          <ns0:p>
            <ns0:pPr>
              <ns0:spacing ns0:before="0" ns0:after="0" ns0:line="220" ns0:lineRule="auto"/>
            </ns0:pPr>
            <ns0:r>
              <ns0:rPr>
                <ns0:sz ns0:val="16"/>
              </ns0:rPr>
              <ns0:t>0.2739</ns0:t>
            </ns0:r>
          </ns0:p>
        </ns0:tc>
        <ns0:tc>
          <ns0:tcPr>
            <ns0:tcW ns0:w="2014" ns0:type="dxa"/>
            <ns0:vAlign ns0:val="center"/>
          </ns0:tcPr>
          <ns0:p>
            <ns0:pPr>
              <ns0:spacing ns0:before="0" ns0:after="0" ns0:line="220" ns0:lineRule="auto"/>
            </ns0:pPr>
            <ns0:r>
              <ns0:rPr>
                <ns0:sz ns0:val="16"/>
              </ns0:rPr>
              <ns0:t>0.6931</ns0:t>
            </ns0:r>
          </ns0:p>
        </ns0:tc>
        <ns0:tc>
          <ns0:tcPr>
            <ns0:tcW ns0:w="2532" ns0:type="dxa"/>
            <ns0:vAlign ns0:val="center"/>
          </ns0:tcPr>
          <ns0:p>
            <ns0:pPr>
              <ns0:spacing ns0:before="0" ns0:after="0" ns0:line="220" ns0:lineRule="auto"/>
            </ns0:pPr>
            <ns0:r>
              <ns0:rPr>
                <ns0:sz ns0:val="16"/>
              </ns0:rPr>
              <ns0:t>0.3070</ns0:t>
            </ns0:r>
          </ns0:p>
        </ns0:tc>
      </ns0:tr>
      <ns0:tr>
        <ns0:tc>
          <ns0:tcPr>
            <ns0:tcW ns0:w="1606" ns0:type="dxa"/>
            <ns0:vAlign ns0:val="center"/>
          </ns0:tcPr>
          <ns0:p>
            <ns0:pPr>
              <ns0:spacing ns0:before="0" ns0:after="0" ns0:line="220" ns0:lineRule="auto"/>
            </ns0:pPr>
            <ns0:r>
              <ns0:rPr>
                <ns0:sz ns0:val="16"/>
              </ns0:rPr>
              <ns0:t>LightGBM — C</ns0:t>
            </ns0:r>
          </ns0:p>
        </ns0:tc>
        <ns0:tc>
          <ns0:tcPr>
            <ns0:tcW ns0:w="2216" ns0:type="dxa"/>
            <ns0:vAlign ns0:val="center"/>
          </ns0:tcPr>
          <ns0:p>
            <ns0:pPr>
              <ns0:spacing ns0:before="0" ns0:after="0" ns0:line="220" ns0:lineRule="auto"/>
            </ns0:pPr>
            <ns0:r>
              <ns0:rPr>
                <ns0:sz ns0:val="16"/>
              </ns0:rPr>
              <ns0:t>0.6835</ns0:t>
            </ns0:r>
          </ns0:p>
        </ns0:tc>
        <ns0:tc>
          <ns0:tcPr>
            <ns0:tcW ns0:w="1872" ns0:type="dxa"/>
            <ns0:vAlign ns0:val="center"/>
          </ns0:tcPr>
          <ns0:p>
            <ns0:pPr>
              <ns0:spacing ns0:before="0" ns0:after="0" ns0:line="220" ns0:lineRule="auto"/>
            </ns0:pPr>
            <ns0:r>
              <ns0:rPr>
                <ns0:sz ns0:val="16"/>
              </ns0:rPr>
              <ns0:t>0.2768</ns0:t>
            </ns0:r>
          </ns0:p>
        </ns0:tc>
        <ns0:tc>
          <ns0:tcPr>
            <ns0:tcW ns0:w="2014" ns0:type="dxa"/>
            <ns0:vAlign ns0:val="center"/>
          </ns0:tcPr>
          <ns0:p>
            <ns0:pPr>
              <ns0:spacing ns0:before="0" ns0:after="0" ns0:line="220" ns0:lineRule="auto"/>
            </ns0:pPr>
            <ns0:r>
              <ns0:rPr>
                <ns0:sz ns0:val="16"/>
              </ns0:rPr>
              <ns0:t>0.6940</ns0:t>
            </ns0:r>
          </ns0:p>
        </ns0:tc>
        <ns0:tc>
          <ns0:tcPr>
            <ns0:tcW ns0:w="2532" ns0:type="dxa"/>
            <ns0:vAlign ns0:val="center"/>
          </ns0:tcPr>
          <ns0:p>
            <ns0:pPr>
              <ns0:spacing ns0:before="0" ns0:after="0" ns0:line="220" ns0:lineRule="auto"/>
            </ns0:pPr>
            <ns0:r>
              <ns0:rPr>
                <ns0:sz ns0:val="16"/>
              </ns0:rPr>
              <ns0:t>0.3095</ns0:t>
            </ns0:r>
          </ns0:p>
        </ns0:tc>
      </ns0:tr>
      <ns0:tr>
        <ns0:tc>
          <ns0:tcPr>
            <ns0:tcW ns0:w="1606" ns0:type="dxa"/>
            <ns0:vAlign ns0:val="center"/>
          </ns0:tcPr>
          <ns0:p>
            <ns0:pPr>
              <ns0:spacing ns0:before="0" ns0:after="0" ns0:line="220" ns0:lineRule="auto"/>
            </ns0:pPr>
            <ns0:r>
              <ns0:rPr>
                <ns0:sz ns0:val="16"/>
              </ns0:rPr>
              <ns0:t>LightGBM — D</ns0:t>
            </ns0:r>
          </ns0:p>
        </ns0:tc>
        <ns0:tc>
          <ns0:tcPr>
            <ns0:tcW ns0:w="2216" ns0:type="dxa"/>
            <ns0:vAlign ns0:val="center"/>
          </ns0:tcPr>
          <ns0:p>
            <ns0:pPr>
              <ns0:spacing ns0:before="0" ns0:after="0" ns0:line="220" ns0:lineRule="auto"/>
            </ns0:pPr>
            <ns0:r>
              <ns0:rPr>
                <ns0:sz ns0:val="16"/>
              </ns0:rPr>
              <ns0:t>0.6848</ns0:t>
            </ns0:r>
          </ns0:p>
        </ns0:tc>
        <ns0:tc>
          <ns0:tcPr>
            <ns0:tcW ns0:w="1872" ns0:type="dxa"/>
            <ns0:vAlign ns0:val="center"/>
          </ns0:tcPr>
          <ns0:p>
            <ns0:pPr>
              <ns0:spacing ns0:before="0" ns0:after="0" ns0:line="220" ns0:lineRule="auto"/>
            </ns0:pPr>
            <ns0:r>
              <ns0:rPr>
                <ns0:sz ns0:val="16"/>
              </ns0:rPr>
              <ns0:t>0.2748</ns0:t>
            </ns0:r>
          </ns0:p>
        </ns0:tc>
        <ns0:tc>
          <ns0:tcPr>
            <ns0:tcW ns0:w="2014" ns0:type="dxa"/>
            <ns0:vAlign ns0:val="center"/>
          </ns0:tcPr>
          <ns0:p>
            <ns0:pPr>
              <ns0:spacing ns0:before="0" ns0:after="0" ns0:line="220" ns0:lineRule="auto"/>
            </ns0:pPr>
            <ns0:r>
              <ns0:rPr>
                <ns0:sz ns0:val="16"/>
              </ns0:rPr>
              <ns0:t>0.6944</ns0:t>
            </ns0:r>
          </ns0:p>
        </ns0:tc>
        <ns0:tc>
          <ns0:tcPr>
            <ns0:tcW ns0:w="2532" ns0:type="dxa"/>
            <ns0:vAlign ns0:val="center"/>
          </ns0:tcPr>
          <ns0:p>
            <ns0:pPr>
              <ns0:spacing ns0:before="0" ns0:after="0" ns0:line="220" ns0:lineRule="auto"/>
            </ns0:pPr>
            <ns0:r>
              <ns0:rPr>
                <ns0:sz ns0:val="16"/>
              </ns0:rPr>
              <ns0:t>0.3090</ns0:t>
            </ns0:r>
          </ns0:p>
        </ns0:tc>
      </ns0:tr>
    </ns0:tbl>
    <ns0:p>
      <ns0:pPr>
        <ns0:pStyle ns0:val="BodyText"/>
        <ns0:spacing ns0:after="90"/>
        <ns0:keepLines/>
      </ns0:pPr>
      <ns0:r>
        <ns0:t>Fold-level point AUCs below are the archived validation summaries and were recalculated from the corresponding saved OOF scores. Fold validation counts match the read-only audit; the training counts are those reported in the archived run report. They do not demonstrate that the original source/features were reproduced.</ns0:t>
      </ns0:r>
    </ns0:p>
    <ns0:tbl>
      <ns0:tblPr>
        <ns0:tblW ns0:w="10240" ns0:type="dxa"/>
        <ns0:tblLayout ns0:type="fixed"/>
        <ns0:tblBorders>
          <ns0:top ns0:val="single" ns0:sz="4" ns0:space="0" ns0:color="B8C5D3"/>
          <ns0:left ns0:val="single" ns0:sz="4" ns0:space="0" ns0:color="B8C5D3"/>
          <ns0:bottom ns0:val="single" ns0:sz="4" ns0:space="0" ns0:color="B8C5D3"/>
          <ns0:right ns0:val="single" ns0:sz="4" ns0:space="0" ns0:color="B8C5D3"/>
          <ns0:insideH ns0:val="single" ns0:sz="4" ns0:space="0" ns0:color="B8C5D3"/>
          <ns0:insideV ns0:val="single" ns0:sz="4" ns0:space="0" ns0:color="B8C5D3"/>
        </ns0:tblBorders>
        <ns0:tblCellMar>
          <ns0:top ns0:w="70" ns0:type="dxa"/>
          <ns0:start ns0:w="75" ns0:type="dxa"/>
          <ns0:bottom ns0:w="70" ns0:type="dxa"/>
          <ns0:end ns0:w="75" ns0:type="dxa"/>
        </ns0:tblCellMar>
      </ns0:tblPr>
      <ns0:tblGrid>
        <ns0:gridCol ns0:w="1606"/>
        <ns0:gridCol ns0:w="2216"/>
        <ns0:gridCol ns0:w="1872"/>
        <ns0:gridCol ns0:w="2014"/>
        <ns0:gridCol ns0:w="2532"/>
      </ns0:tblGrid>
      <ns0:tr>
        <ns0:trPr>
          <ns0:tblHeader ns0:val="true"/>
        </ns0:trPr>
        <ns0:tc>
          <ns0:tcPr>
            <ns0:tcW ns0:w="1606" ns0:type="dxa"/>
            <ns0:vAlign ns0:val="center"/>
            <ns0:shd ns0:fill="1F4E5F" ns0:val="clear"/>
          </ns0:tcPr>
          <ns0:p>
            <ns0:pPr>
              <ns0:spacing ns0:before="0" ns0:after="0" ns0:line="220" ns0:lineRule="auto"/>
            </ns0:pPr>
            <ns0:r>
              <ns0:rPr>
                <ns0:b/>
                <ns0:color ns0:val="FFFFFF"/>
                <ns0:sz ns0:val="16"/>
              </ns0:rPr>
              <ns0:t>Validation fold</ns0:t>
            </ns0:r>
          </ns0:p>
        </ns0:tc>
        <ns0:tc>
          <ns0:tcPr>
            <ns0:tcW ns0:w="2216" ns0:type="dxa"/>
            <ns0:vAlign ns0:val="center"/>
            <ns0:shd ns0:fill="1F4E5F" ns0:val="clear"/>
          </ns0:tcPr>
          <ns0:p>
            <ns0:pPr>
              <ns0:spacing ns0:before="0" ns0:after="0" ns0:line="220" ns0:lineRule="auto"/>
            </ns0:pPr>
            <ns0:r>
              <ns0:rPr>
                <ns0:b/>
                <ns0:color ns0:val="FFFFFF"/>
                <ns0:sz ns0:val="16"/>
              </ns0:rPr>
              <ns0:t>Train n (archive report)</ns0:t>
            </ns0:r>
          </ns0:p>
        </ns0:tc>
        <ns0:tc>
          <ns0:tcPr>
            <ns0:tcW ns0:w="1872" ns0:type="dxa"/>
            <ns0:vAlign ns0:val="center"/>
            <ns0:shd ns0:fill="1F4E5F" ns0:val="clear"/>
          </ns0:tcPr>
          <ns0:p>
            <ns0:pPr>
              <ns0:spacing ns0:before="0" ns0:after="0" ns0:line="220" ns0:lineRule="auto"/>
            </ns0:pPr>
            <ns0:r>
              <ns0:rPr>
                <ns0:b/>
                <ns0:color ns0:val="FFFFFF"/>
                <ns0:sz ns0:val="16"/>
              </ns0:rPr>
              <ns0:t>OOF n (audit-checked)</ns0:t>
            </ns0:r>
          </ns0:p>
        </ns0:tc>
        <ns0:tc>
          <ns0:tcPr>
            <ns0:tcW ns0:w="2014" ns0:type="dxa"/>
            <ns0:vAlign ns0:val="center"/>
            <ns0:shd ns0:fill="1F4E5F" ns0:val="clear"/>
          </ns0:tcPr>
          <ns0:p>
            <ns0:pPr>
              <ns0:spacing ns0:before="0" ns0:after="0" ns0:line="220" ns0:lineRule="auto"/>
            </ns0:pPr>
            <ns0:r>
              <ns0:rPr>
                <ns0:b/>
                <ns0:color ns0:val="FFFFFF"/>
                <ns0:sz ns0:val="16"/>
              </ns0:rPr>
              <ns0:t>Logistic Regression A/B/C/D AUC</ns0:t>
            </ns0:r>
          </ns0:p>
        </ns0:tc>
        <ns0:tc>
          <ns0:tcPr>
            <ns0:tcW ns0:w="2532" ns0:type="dxa"/>
            <ns0:vAlign ns0:val="center"/>
            <ns0:shd ns0:fill="1F4E5F" ns0:val="clear"/>
          </ns0:tcPr>
          <ns0:p>
            <ns0:pPr>
              <ns0:spacing ns0:before="0" ns0:after="0" ns0:line="220" ns0:lineRule="auto"/>
            </ns0:pPr>
            <ns0:r>
              <ns0:rPr>
                <ns0:b/>
                <ns0:color ns0:val="FFFFFF"/>
                <ns0:sz ns0:val="16"/>
              </ns0:rPr>
              <ns0:t>LightGBM A/B/C/D AUC</ns0:t>
            </ns0:r>
          </ns0:p>
        </ns0:tc>
      </ns0:tr>
      <ns0:tr>
        <ns0:tc>
          <ns0:tcPr>
            <ns0:tcW ns0:w="1606" ns0:type="dxa"/>
            <ns0:vAlign ns0:val="center"/>
          </ns0:tcPr>
          <ns0:p>
            <ns0:pPr>
              <ns0:spacing ns0:before="0" ns0:after="0" ns0:line="220" ns0:lineRule="auto"/>
            </ns0:pPr>
            <ns0:r>
              <ns0:rPr>
                <ns0:sz ns0:val="16"/>
              </ns0:rPr>
              <ns0:t>2023</ns0:t>
            </ns0:r>
          </ns0:p>
        </ns0:tc>
        <ns0:tc>
          <ns0:tcPr>
            <ns0:tcW ns0:w="2216" ns0:type="dxa"/>
            <ns0:vAlign ns0:val="center"/>
          </ns0:tcPr>
          <ns0:p>
            <ns0:pPr>
              <ns0:spacing ns0:before="0" ns0:after="0" ns0:line="220" ns0:lineRule="auto"/>
            </ns0:pPr>
            <ns0:r>
              <ns0:rPr>
                <ns0:sz ns0:val="16"/>
              </ns0:rPr>
              <ns0:t>19,765</ns0:t>
            </ns0:r>
          </ns0:p>
        </ns0:tc>
        <ns0:tc>
          <ns0:tcPr>
            <ns0:tcW ns0:w="1872" ns0:type="dxa"/>
            <ns0:vAlign ns0:val="center"/>
          </ns0:tcPr>
          <ns0:p>
            <ns0:pPr>
              <ns0:spacing ns0:before="0" ns0:after="0" ns0:line="220" ns0:lineRule="auto"/>
            </ns0:pPr>
            <ns0:r>
              <ns0:rPr>
                <ns0:sz ns0:val="16"/>
              </ns0:rPr>
              <ns0:t>13,924</ns0:t>
            </ns0:r>
          </ns0:p>
        </ns0:tc>
        <ns0:tc>
          <ns0:tcPr>
            <ns0:tcW ns0:w="2014" ns0:type="dxa"/>
            <ns0:vAlign ns0:val="center"/>
          </ns0:tcPr>
          <ns0:p>
            <ns0:pPr>
              <ns0:spacing ns0:before="0" ns0:after="0" ns0:line="220" ns0:lineRule="auto"/>
            </ns0:pPr>
            <ns0:r>
              <ns0:rPr>
                <ns0:sz ns0:val="16"/>
              </ns0:rPr>
              <ns0:t>0.6093 / 0.6655 / 0.6755 / 0.6707</ns0:t>
            </ns0:r>
          </ns0:p>
        </ns0:tc>
        <ns0:tc>
          <ns0:tcPr>
            <ns0:tcW ns0:w="2532" ns0:type="dxa"/>
            <ns0:vAlign ns0:val="center"/>
          </ns0:tcPr>
          <ns0:p>
            <ns0:pPr>
              <ns0:spacing ns0:before="0" ns0:after="0" ns0:line="220" ns0:lineRule="auto"/>
            </ns0:pPr>
            <ns0:r>
              <ns0:rPr>
                <ns0:sz ns0:val="16"/>
              </ns0:rPr>
              <ns0:t>0.6696 / 0.6881 / 0.6907 / 0.6920</ns0:t>
            </ns0:r>
          </ns0:p>
        </ns0:tc>
      </ns0:tr>
      <ns0:tr>
        <ns0:tc>
          <ns0:tcPr>
            <ns0:tcW ns0:w="1606" ns0:type="dxa"/>
            <ns0:vAlign ns0:val="center"/>
          </ns0:tcPr>
          <ns0:p>
            <ns0:pPr>
              <ns0:spacing ns0:before="0" ns0:after="0" ns0:line="220" ns0:lineRule="auto"/>
            </ns0:pPr>
            <ns0:r>
              <ns0:rPr>
                <ns0:sz ns0:val="16"/>
              </ns0:rPr>
              <ns0:t>2024</ns0:t>
            </ns0:r>
          </ns0:p>
        </ns0:tc>
        <ns0:tc>
          <ns0:tcPr>
            <ns0:tcW ns0:w="2216" ns0:type="dxa"/>
            <ns0:vAlign ns0:val="center"/>
          </ns0:tcPr>
          <ns0:p>
            <ns0:pPr>
              <ns0:spacing ns0:before="0" ns0:after="0" ns0:line="220" ns0:lineRule="auto"/>
            </ns0:pPr>
            <ns0:r>
              <ns0:rPr>
                <ns0:sz ns0:val="16"/>
              </ns0:rPr>
              <ns0:t>33,680</ns0:t>
            </ns0:r>
          </ns0:p>
        </ns0:tc>
        <ns0:tc>
          <ns0:tcPr>
            <ns0:tcW ns0:w="1872" ns0:type="dxa"/>
            <ns0:vAlign ns0:val="center"/>
          </ns0:tcPr>
          <ns0:p>
            <ns0:pPr>
              <ns0:spacing ns0:before="0" ns0:after="0" ns0:line="220" ns0:lineRule="auto"/>
            </ns0:pPr>
            <ns0:r>
              <ns0:rPr>
                <ns0:sz ns0:val="16"/>
              </ns0:rPr>
              <ns0:t>13,180</ns0:t>
            </ns0:r>
          </ns0:p>
        </ns0:tc>
        <ns0:tc>
          <ns0:tcPr>
            <ns0:tcW ns0:w="2014" ns0:type="dxa"/>
            <ns0:vAlign ns0:val="center"/>
          </ns0:tcPr>
          <ns0:p>
            <ns0:pPr>
              <ns0:spacing ns0:before="0" ns0:after="0" ns0:line="220" ns0:lineRule="auto"/>
            </ns0:pPr>
            <ns0:r>
              <ns0:rPr>
                <ns0:sz ns0:val="16"/>
              </ns0:rPr>
              <ns0:t>0.5840 / 0.6750 / 0.6759 / 0.6769</ns0:t>
            </ns0:r>
          </ns0:p>
        </ns0:tc>
        <ns0:tc>
          <ns0:tcPr>
            <ns0:tcW ns0:w="2532" ns0:type="dxa"/>
            <ns0:vAlign ns0:val="center"/>
          </ns0:tcPr>
          <ns0:p>
            <ns0:pPr>
              <ns0:spacing ns0:before="0" ns0:after="0" ns0:line="220" ns0:lineRule="auto"/>
            </ns0:pPr>
            <ns0:r>
              <ns0:rPr>
                <ns0:sz ns0:val="16"/>
              </ns0:rPr>
              <ns0:t>0.6798 / 0.6685 / 0.6801 / 0.6806</ns0:t>
            </ns0:r>
          </ns0:p>
        </ns0:tc>
      </ns0:tr>
      <ns0:tr>
        <ns0:tc>
          <ns0:tcPr>
            <ns0:tcW ns0:w="1606" ns0:type="dxa"/>
            <ns0:vAlign ns0:val="center"/>
          </ns0:tcPr>
          <ns0:p>
            <ns0:pPr>
              <ns0:spacing ns0:before="0" ns0:after="0" ns0:line="220" ns0:lineRule="auto"/>
            </ns0:pPr>
            <ns0:r>
              <ns0:rPr>
                <ns0:sz ns0:val="16"/>
              </ns0:rPr>
              <ns0:t>2025</ns0:t>
            </ns0:r>
          </ns0:p>
        </ns0:tc>
        <ns0:tc>
          <ns0:tcPr>
            <ns0:tcW ns0:w="2216" ns0:type="dxa"/>
            <ns0:vAlign ns0:val="center"/>
          </ns0:tcPr>
          <ns0:p>
            <ns0:pPr>
              <ns0:spacing ns0:before="0" ns0:after="0" ns0:line="220" ns0:lineRule="auto"/>
            </ns0:pPr>
            <ns0:r>
              <ns0:rPr>
                <ns0:sz ns0:val="16"/>
              </ns0:rPr>
              <ns0:t>46,827</ns0:t>
            </ns0:r>
          </ns0:p>
        </ns0:tc>
        <ns0:tc>
          <ns0:tcPr>
            <ns0:tcW ns0:w="1872" ns0:type="dxa"/>
            <ns0:vAlign ns0:val="center"/>
          </ns0:tcPr>
          <ns0:p>
            <ns0:pPr>
              <ns0:spacing ns0:before="0" ns0:after="0" ns0:line="220" ns0:lineRule="auto"/>
            </ns0:pPr>
            <ns0:r>
              <ns0:rPr>
                <ns0:sz ns0:val="16"/>
              </ns0:rPr>
              <ns0:t>14,117</ns0:t>
            </ns0:r>
          </ns0:p>
        </ns0:tc>
        <ns0:tc>
          <ns0:tcPr>
            <ns0:tcW ns0:w="2014" ns0:type="dxa"/>
            <ns0:vAlign ns0:val="center"/>
          </ns0:tcPr>
          <ns0:p>
            <ns0:pPr>
              <ns0:spacing ns0:before="0" ns0:after="0" ns0:line="220" ns0:lineRule="auto"/>
            </ns0:pPr>
            <ns0:r>
              <ns0:rPr>
                <ns0:sz ns0:val="16"/>
              </ns0:rPr>
              <ns0:t>0.5742 / 0.6803 / 0.6708 / 0.6726</ns0:t>
            </ns0:r>
          </ns0:p>
        </ns0:tc>
        <ns0:tc>
          <ns0:tcPr>
            <ns0:tcW ns0:w="2532" ns0:type="dxa"/>
            <ns0:vAlign ns0:val="center"/>
          </ns0:tcPr>
          <ns0:p>
            <ns0:pPr>
              <ns0:spacing ns0:before="0" ns0:after="0" ns0:line="220" ns0:lineRule="auto"/>
            </ns0:pPr>
            <ns0:r>
              <ns0:rPr>
                <ns0:sz ns0:val="16"/>
              </ns0:rPr>
              <ns0:t>0.6670 / 0.6876 / 0.6898 / 0.6904</ns0:t>
            </ns0:r>
          </ns0:p>
        </ns0:tc>
      </ns0:tr>
    </ns0:tbl>
    <ns0:p>
      <ns0:pPr>
        <ns0:pStyle ns0:val="Heading2"/>
        <ns0:spacing ns0:before="220" ns0:after="100"/>
        <ns0:keepNext/>
        <ns0:keepLines/>
      </ns0:pPr>
      <ns0:r>
        <ns0:t>7.3 Historically reported V2 backtest result and its interpretation</ns0:t>
      </ns0:r>
    </ns0:p>
    <ns0:p>
      <ns0:pPr>
        <ns0:pStyle ns0:val="BodyText"/>
        <ns0:spacing ns0:after="90"/>
        <ns0:keepLines/>
      </ns0:pPr>
      <ns0:r>
        <ns0:t>The V2 evaluation report historically reports 1,228 simulated trades, a 47.6% win rate, average return per trade of −0.044%, profit factor 0.97, Sharpe ratio −0.16, and total PnL of −$9.77 under the report’s stated fixed-capital and cost assumptions. This negative result is an archived project report, not an independently reproduced or validated trading estimate. It appropriately cautions against equating ranking AUC with profitability. The backtest implementation and model inputs still require audit; do not present these values as verified strategy performance.</ns0:t>
      </ns0:r>
    </ns0:p>
    <ns0:p>
      <ns0:pPr>
        <ns0:pStyle ns0:val="Heading2"/>
        <ns0:spacing ns0:before="220" ns0:after="100"/>
        <ns0:keepNext/>
        <ns0:keepLines/>
      </ns0:pPr>
      <ns0:r>
        <ns0:t>7.4 What can and cannot be concluded</ns0:t>
      </ns0:r>
    </ns0:p>
    <ns0:p>
      <ns0:pPr>
        <ns0:pStyle ns0:val="BodyText"/>
        <ns0:spacing ns0:after="90"/>
        <ns0:keepLines/>
      </ns0:pPr>
      <ns0:r>
        <ns0:t>The immutable v1.0.1 archive contains 61,045 labeled events from 149 tickers over signal dates 2021-08-03 through 2025-12-31, with 41,221 unique OOF predictions and 19,824 eligible event rows outside those OOF score sets. The read-only Plan B audit verified 153/153 source CSV hashes, both primary result-table hashes, all 8/8 model hashes, OOF/event ID and label/outcome alignment, and the exclusive 2026-01-01 signal-date cutoff; recalculated pooled and fold point metrics match the manifest/report. On the retained OOF scores, the primary point AUC contrasts recalculate to LightGBM A − Logistic Regression A = +0.081757 and LightGBM C − LightGBM B = +0.005688. This is independent arithmetic on retained predictions, not a source, feature-generation, or model-training reproduction. The exact source is unavailable and the scoped AAL feature comparison differed on all 480 aligned rows for rsi14, atr_pct, and zone_width_pct. The intervals [0.0657508832, 0.0990268148] and [0.0021785160, 0.0091912802] are archived report/manifest bounds only: a prior full run of the current reconstructed helper did not reproduce any of the seven archived intervals, and the reason is unknown. Secondary archived contrasts and bounds are also report-only: LightGBM B−A +0.0060 [−0.0086, 0.0217]; Logistic Regression B−A +0.0707 [0.0503, 0.0947]; Logistic Regression C−B −0.0004 [−0.0044, 0.0035]; Logistic Regression D−C −0.0007 [−0.0034, 0.0019]; and LightGBM D−C +0.0013 [−0.0019, 0.0051]. These seven archived intervals were not independently reproduced; in particular, the D−C interval spans zero and does not establish an order-block improvement. The archive is retrospective v1.0.1, not v1.0.2. There is no prospective lock, prediction, or outcome; no reliable future performance, demand-zone lift, calibration, or profitability is established.</ns0:t>
      </ns0:r>
    </ns0:p>
    <ns0:p>
      <ns0:pPr>
        <ns0:pStyle ns0:val="Heading1"/>
        <ns0:spacing ns0:before="300" ns0:after="100"/>
        <ns0:keepNext/>
        <ns0:keepLines/>
      </ns0:pPr>
      <ns0:r>
        <ns0:t>8. Error analysis and limitations of short-horizon financial ML</ns0:t>
      </ns0:r>
    </ns0:p>
    <ns0:p>
      <ns0:pPr>
        <ns0:pStyle ns0:val="BodyText"/>
        <ns0:spacing ns0:after="90"/>
        <ns0:keepLines/>
      </ns0:pPr>
      <ns0:r>
        <ns0:t>No complete, saved error-analysis report was located that groups false positives and false negatives by market regime, sector, earnings window, liquidity, or volatility. Such analysis remains necessary. The project’s existing market-regime and sector features make these useful future slices, but results must use frozen OOF predictions and predeclared group definitions to avoid selectively highlighting favorable subsets.</ns0:t>
      </ns0:r>
    </ns0:p>
    <ns0:p>
      <ns0:pPr>
        <ns0:pStyle ns0:val="BodyText"/>
        <ns0:spacing ns0:after="90"/>
        <ns0:keepLines/>
      </ns0:pPr>
      <ns0:r>
        <ns0:t>This is a project-specific account of limitations in short-horizon financial ML, not a claim that each issue has been quantified here. Some are directly visible in source code; others are unresolved domain constraints or limits on the available evidence.</ns0:t>
      </ns0:r>
    </ns0:p>
    <ns0:p>
      <ns0:pPr>
        <ns0:pStyle ns0:val="ListText"/>
        <ns0:ind ns0:left="360"/>
        <ns0:spacing ns0:after="50"/>
        <ns0:keepLines/>
      </ns0:pPr>
      <ns0:r>
        <ns0:rPr>
          <ns0:b/>
          <ns0:color ns0:val="2C7A7B"/>
        </ns0:rPr>
        <ns0:t xml:space="preserve">• </ns0:t>
      </ns0:r>
      <ns0:r>
        <ns0:rPr>
          <ns0:b/>
        </ns0:rPr>
        <ns0:t>Temporal and target leakage (code-level risks identified):</ns0:t>
      </ns0:r>
      <ns0:r>
        <ns0:t xml:space="preserve"> future benchmark-return columns appear to survive some feature filters; V4–V5 use full-sample outcome-derived encodings; the hold-1 target builder may convert unavailable forward outcomes to negative labels unless they are filtered downstream. The exact metric impact is not known without matched reproduction.</ns0:t>
      </ns0:r>
    </ns0:p>
    <ns0:p>
      <ns0:pPr>
        <ns0:pStyle ns0:val="ListText"/>
        <ns0:ind ns0:left="360"/>
        <ns0:spacing ns0:after="50"/>
        <ns0:keepLines/>
      </ns0:pPr>
      <ns0:r>
        <ns0:rPr>
          <ns0:b/>
          <ns0:color ns0:val="2C7A7B"/>
        </ns0:rPr>
        <ns0:t xml:space="preserve">• </ns0:t>
      </ns0:r>
      <ns0:r>
        <ns0:rPr>
          <ns0:b/>
        </ns0:rPr>
        <ns0:t>Validation reuse and research-process overfitting (code-level risks identified):</ns0:t>
      </ns0:r>
      <ns0:r>
        <ns0:t xml:space="preserve"> model weights or choices may reuse validation outcomes, and many targets, features, versions, and metrics were explored. Chronological folds alone do not eliminate selection bias from repeated experimentation.</ns0:t>
      </ns0:r>
    </ns0:p>
    <ns0:p>
      <ns0:pPr>
        <ns0:pStyle ns0:val="ListText"/>
        <ns0:ind ns0:left="360"/>
        <ns0:spacing ns0:after="50"/>
        <ns0:keepLines/>
      </ns0:pPr>
      <ns0:r>
        <ns0:rPr>
          <ns0:b/>
          <ns0:color ns0:val="2C7A7B"/>
        </ns0:rPr>
        <ns0:t xml:space="preserve">• </ns0:t>
      </ns0:r>
      <ns0:r>
        <ns0:rPr>
          <ns0:b/>
        </ns0:rPr>
        <ns0:t>Nonstationarity (not fully evaluated):</ns0:t>
      </ns0:r>
      <ns0:r>
        <ns0:t xml:space="preserve"> financial relationships can change across market regimes. Reported fold variation is not a complete regime analysis, and there is no frozen prospective record showing how stable a model remains through later periods.</ns0:t>
      </ns0:r>
    </ns0:p>
    <ns0:p>
      <ns0:pPr>
        <ns0:pStyle ns0:val="ListText"/>
        <ns0:ind ns0:left="360"/>
        <ns0:spacing ns0:after="50"/>
        <ns0:keepLines/>
      </ns0:pPr>
      <ns0:r>
        <ns0:rPr>
          <ns0:b/>
          <ns0:color ns0:val="2C7A7B"/>
        </ns0:rPr>
        <ns0:t xml:space="preserve">• </ns0:t>
      </ns0:r>
      <ns0:r>
        <ns0:rPr>
          <ns0:b/>
        </ns0:rPr>
        <ns0:t>Universe and survivorship (unresolved):</ns0:t>
      </ns0:r>
      <ns0:r>
        <ns0:t xml:space="preserve"> the historical ticker roster, constituent membership, delisted securities, and selection rules are not sufficiently documented to generalize from the sample to all equities.</ns0:t>
      </ns0:r>
    </ns0:p>
    <ns0:p>
      <ns0:pPr>
        <ns0:pStyle ns0:val="ListText"/>
        <ns0:ind ns0:left="360"/>
        <ns0:spacing ns0:after="50"/>
        <ns0:keepLines/>
      </ns0:pPr>
      <ns0:r>
        <ns0:rPr>
          <ns0:b/>
          <ns0:color ns0:val="2C7A7B"/>
        </ns0:rPr>
        <ns0:t xml:space="preserve">• </ns0:t>
      </ns0:r>
      <ns0:r>
        <ns0:rPr>
          <ns0:b/>
        </ns0:rPr>
        <ns0:t>Data/vendor and corporate-action uncertainty (unresolved):</ns0:t>
      </ns0:r>
      <ns0:r>
        <ns0:t xml:space="preserve"> provider snapshots, price-adjustment conventions, corrections, missing bars, and point-in-time data availability are not frozen in a reproducibility manifest.</ns0:t>
      </ns0:r>
    </ns0:p>
    <ns0:p>
      <ns0:pPr>
        <ns0:pStyle ns0:val="ListText"/>
        <ns0:ind ns0:left="360"/>
        <ns0:spacing ns0:after="50"/>
        <ns0:keepLines/>
      </ns0:pPr>
      <ns0:r>
        <ns0:rPr>
          <ns0:b/>
          <ns0:color ns0:val="2C7A7B"/>
        </ns0:rPr>
        <ns0:t xml:space="preserve">• </ns0:t>
      </ns0:r>
      <ns0:r>
        <ns0:rPr>
          <ns0:b/>
        </ns0:rPr>
        <ns0:t>Target and proxy-label mismatch (partly code-identified):</ns0:t>
      </ns0:r>
      <ns0:r>
        <ns0:t xml:space="preserve"> barrier-touch, absolute-return, benchmark-relative, magnitude, same-day, and hold-1 labels answer different questions. Some V11–V13 targets are heuristic proxies, not measured returns at the advertised thresholds.</ns0:t>
      </ns0:r>
    </ns0:p>
    <ns0:p>
      <ns0:pPr>
        <ns0:pStyle ns0:val="ListText"/>
        <ns0:ind ns0:left="360"/>
        <ns0:spacing ns0:after="50"/>
        <ns0:keepLines/>
      </ns0:pPr>
      <ns0:r>
        <ns0:rPr>
          <ns0:b/>
          <ns0:color ns0:val="2C7A7B"/>
        </ns0:rPr>
        <ns0:t xml:space="preserve">• </ns0:t>
      </ns0:r>
      <ns0:r>
        <ns0:rPr>
          <ns0:b/>
        </ns0:rPr>
        <ns0:t>Metric and calibration limits:</ns0:t>
      </ns0:r>
      <ns0:r>
        <ns0:t xml:space="preserve"> AUC measures ranking, not expected return; top-k precision is not a portfolio return; a model score is not a calibrated probability. Calibration needs a separate chronological fit/evaluation design, which the inspected historical calibration does not establish.</ns0:t>
      </ns0:r>
    </ns0:p>
    <ns0:p>
      <ns0:pPr>
        <ns0:pStyle ns0:val="ListText"/>
        <ns0:ind ns0:left="360"/>
        <ns0:spacing ns0:after="50"/>
        <ns0:keepLines/>
      </ns0:pPr>
      <ns0:r>
        <ns0:rPr>
          <ns0:b/>
          <ns0:color ns0:val="2C7A7B"/>
        </ns0:rPr>
        <ns0:t xml:space="preserve">• </ns0:t>
      </ns0:r>
      <ns0:r>
        <ns0:rPr>
          <ns0:b/>
        </ns0:rPr>
        <ns0:t>Execution and trading realism (not established):</ns0:t>
      </ns0:r>
      <ns0:r>
        <ns0:t xml:space="preserve"> costs, slippage, fills, overlapping positions, position sizing, and top-k implementation need verification. A predictive rank metric does not imply executable profit.</ns0:t>
      </ns0:r>
    </ns0:p>
    <ns0:p>
      <ns0:pPr>
        <ns0:pStyle ns0:val="ListText"/>
        <ns0:ind ns0:left="360"/>
        <ns0:spacing ns0:after="50"/>
        <ns0:keepLines/>
      </ns0:pPr>
      <ns0:r>
        <ns0:rPr>
          <ns0:b/>
          <ns0:color ns0:val="2C7A7B"/>
        </ns0:rPr>
        <ns0:t xml:space="preserve">• </ns0:t>
      </ns0:r>
      <ns0:r>
        <ns0:rPr>
          <ns0:b/>
        </ns0:rPr>
        <ns0:t>No verified prospective evidence:</ns0:t>
      </ns0:r>
      <ns0:r>
        <ns0:t xml:space="preserve"> a deployed dashboard is not an immutable forecasting trial. Predictions must be timestamped and locked before outcomes, with failures and revisions retained.</ns0:t>
      </ns0:r>
    </ns0:p>
    <ns0:p>
      <ns0:pPr>
        <ns0:pStyle ns0:val="ListText"/>
        <ns0:ind ns0:left="360"/>
        <ns0:spacing ns0:after="50"/>
        <ns0:keepLines/>
      </ns0:pPr>
      <ns0:r>
        <ns0:rPr>
          <ns0:b/>
          <ns0:color ns0:val="2C7A7B"/>
        </ns0:rPr>
        <ns0:t xml:space="preserve">• </ns0:t>
      </ns0:r>
      <ns0:r>
        <ns0:rPr>
          <ns0:b/>
        </ns0:rPr>
        <ns0:t>Incomplete historical reconstruction:</ns0:t>
      </ns0:r>
      <ns0:r>
        <ns0:t xml:space="preserve"> not every dataset, original split, exact ticker roster, or per-version run artifact is present. The V1–V7 timeline is therefore a qualified reconstruction, not a complete laboratory notebook.</ns0:t>
      </ns0:r>
    </ns0:p>
    <ns0:p>
      <ns0:pPr>
        <ns0:pStyle ns0:val="Heading1"/>
        <ns0:spacing ns0:before="300" ns0:after="100"/>
        <ns0:keepNext/>
        <ns0:keepLines/>
      </ns0:pPr>
      <ns0:r>
        <ns0:t>9. Discussion</ns0:t>
      </ns0:r>
    </ns0:p>
    <ns0:p>
      <ns0:pPr>
        <ns0:pStyle ns0:val="BodyText"/>
        <ns0:spacing ns0:after="90"/>
        <ns0:keepLines/>
      </ns0:pPr>
      <ns0:r>
        <ns0:t>The project’s trajectory illustrates a central limitation of applied machine learning in noisy, adaptive markets: apparent predictive success depends not only on the model, but also on how the target, features, folds, and experiment search are constructed. Adding features and model complexity can produce more impressive retrospective numbers while expanding the opportunities for information leakage and selection bias. The move from a 20-day barrier simulation toward a buy-open/sell-next-open target improved question clarity by making entry, exit, and timing explicit. Likewise, broader future-column exclusions and chronological folds are worthwhile process changes—but neither is a guarantee until verified at the feature and evaluation levels.</ns0:t>
      </ns0:r>
    </ns0:p>
    <ns0:p>
      <ns0:pPr>
        <ns0:pStyle ns0:val="BodyText"/>
        <ns0:spacing ns0:after="90"/>
        <ns0:keepLines/>
      </ns0:pPr>
      <ns0:r>
        <ns0:t>The source audit demonstrates why methodological labels such as “honest,” “walk-forward,” or “leakage-free” should be treated as hypotheses to verify, not guarantees. A chronological splitter cannot fix a feature column that already contains a future return. An expanding ticker hit rate can be point-in-time while a monthly or sector aggregate remains full-sample. A nominal test period can cease to be untouched after its results influence later target or feature choices. Each issue needs its own audit trail. These findings do not establish that all reported predictive skill was artificial; they establish that the saved metrics are insufficient to distinguish genuine information from pipeline artifacts.</ns0:t>
      </ns0:r>
    </ns0:p>
    <ns0:p>
      <ns0:pPr>
        <ns0:pStyle ns0:val="BodyText"/>
        <ns0:spacing ns0:after="90"/>
        <ns0:keepLines/>
      </ns0:pPr>
      <ns0:r>
        <ns0:t>The machine-readable v1.0.2 JSON is the frozen protocol authority; it is distinct from the immutable v1.0.1 results archive. The finite Plan B audit verified retained hashes and recalculated saved-OOF point metrics, but the exact v1.0.1 Python source is unavailable, feature parity failed, and current code does not reproduce the archived bootstrap bounds. Therefore the historical +0.0057 LightGBM C−B point delta cannot be confidently credited to the intended demand-zone features. No prospective predictions or outcomes exist. Any new v1.0.2 implementation/run or prospective trial is separate future work requiring review and explicit authorization. No canonical development rerun, new study, or prospective artifact was made for this closeout.</ns0:t>
      </ns0:r>
    </ns0:p>
    <ns0:p>
      <ns0:pPr>
        <ns0:pStyle ns0:val="BodyText"/>
        <ns0:spacing ns0:after="90"/>
        <ns0:keepLines/>
      </ns0:pPr>
      <ns0:r>
        <ns0:t>A future, separately authorized prospective study would require a reviewed implementation, hash-locked protocol/code/data/models, and append-only prediction logging before outcomes. The frozen v1.0.2 protocol requires no backfill, stops predictions at 2,000 events or 18 months, and permits a final analysis only after both 12 months and 2,000 eligible outcomes mature. None of that prospective process has started: the current closeout created no lock, ledger, predictions, or outcomes.</ns0:t>
      </ns0:r>
    </ns0:p>
    <ns0:p>
      <ns0:pPr>
        <ns0:pStyle ns0:val="Heading1"/>
        <ns0:spacing ns0:before="300" ns0:after="100"/>
        <ns0:keepNext/>
        <ns0:keepLines/>
      </ns0:pPr>
      <ns0:r>
        <ns0:t>10. Conclusion — Plan B archive-only closeout</ns0:t>
      </ns0:r>
    </ns0:p>
    <ns0:p>
      <ns0:pPr>
        <ns0:pStyle ns0:val="BodyText"/>
        <ns0:spacing ns0:after="90"/>
        <ns0:keepLines/>
      </ns0:pPr>
      <ns0:r>
        <ns0:t>Demand Zone AI's historical development record documents substantial experimentation and methodological risks; those risks cannot be collapsed into a numeric leakage attribution. A finite read-only audit of the separate v1.0.1 archive verified all 153 source CSV hashes, both primary result tables, all eight models, saved OOF/event identities, and pooled/fold point metrics recalculated from retained predictions. Thus the archive is internally consistent at the retained-output and saved-score level. It is not reproduced from historical source or feature generation: the exact source is unavailable and feature-level comparison failed. The earlier bytecode replay is unreviewed, and the old cache was overwritten; its recorded hash is not a recovery. The v1.0.2 machine-readable protocol is frozen but does not describe the code/protocol that generated v1.0.1 outputs.</ns0:t>
      </ns0:r>
    </ns0:p>
    <ns0:p>
      <ns0:pPr>
        <ns0:pStyle ns0:val="BodyText"/>
        <ns0:spacing ns0:after="90"/>
        <ns0:keepLines/>
      </ns0:pPr>
      <ns0:r>
        <ns0:t>The saved v1.0.1 OOF scores yield a LightGBM C−B AUC delta of +0.005688 (about +0.0057); this is a small historical point estimate, not proof that intended demand-zone features add value. The archive's interval bounds remain reported values: the current helper failed to reproduce all seven in an earlier full check, and the reason is unknown. No interval was replaced. There is no prospective lock, prediction, or outcome; the archive cannot establish future predictive information, market-structure value, or profitability. Plan B is complete: do not continue source/bytecode hunting, rerun canonical development, create a new study, or initiate prospective logging under this closeout. Any distinct v1.0.2 study or prospective trial requires separate review and explicit authorization.</ns0:t>
      </ns0:r>
    </ns0:p>
    <ns0:p>
      <ns0:pPr>
        <ns0:pStyle ns0:val="Heading1"/>
        <ns0:spacing ns0:before="300" ns0:after="100"/>
        <ns0:keepNext/>
        <ns0:keepLines/>
      </ns0:pPr>
      <ns0:r>
        <ns0:t>References</ns0:t>
      </ns0:r>
    </ns0:p>
    <ns0:p>
      <ns0:pPr>
        <ns0:pStyle ns0:val="BodyText"/>
        <ns0:spacing ns0:after="90"/>
        <ns0:keepLines/>
      </ns0:pPr>
      <ns0:r>
        <ns0:t xml:space="preserve">[1] Gu, S., Kelly, B., &amp; Xiu, D. (2020). Empirical Asset Pricing via Machine Learning. </ns0:t>
      </ns0:r>
      <ns0:r>
        <ns0:rPr>
          <ns0:i/>
        </ns0:rPr>
        <ns0:t>The Review of Financial Studies, 33</ns0:t>
      </ns0:r>
      <ns0:r>
        <ns0:t>(5), 2223–2273. https://doi.org/10.1093/rfs/hhaa009</ns0:t>
      </ns0:r>
    </ns0:p>
    <ns0:p>
      <ns0:pPr>
        <ns0:pStyle ns0:val="BodyText"/>
        <ns0:spacing ns0:after="90"/>
        <ns0:keepLines/>
      </ns0:pPr>
      <ns0:r>
        <ns0:t xml:space="preserve">[2] Sullivan, R., Timmermann, A., &amp; White, H. (1999). Data-Snooping, Technical Trading Rule Performance, and the Bootstrap. </ns0:t>
      </ns0:r>
      <ns0:r>
        <ns0:rPr>
          <ns0:i/>
        </ns0:rPr>
        <ns0:t>The Journal of Finance, 54</ns0:t>
      </ns0:r>
      <ns0:r>
        <ns0:t>(5), 1647–1691. https://doi.org/10.1111/0022-1082.00163</ns0:t>
      </ns0:r>
    </ns0:p>
    <ns0:p>
      <ns0:pPr>
        <ns0:pStyle ns0:val="BodyText"/>
        <ns0:spacing ns0:after="90"/>
        <ns0:keepLines/>
      </ns0:pPr>
      <ns0:r>
        <ns0:t xml:space="preserve">[3] Harvey, C. R., Liu, Y., &amp; Zhu, H. (2016). ...and the Cross-Section of Expected Returns. </ns0:t>
      </ns0:r>
      <ns0:r>
        <ns0:rPr>
          <ns0:i/>
        </ns0:rPr>
        <ns0:t>The Review of Financial Studies, 29</ns0:t>
      </ns0:r>
      <ns0:r>
        <ns0:t>(1), 5–68. https://doi.org/10.1093/rfs/hhv059</ns0:t>
      </ns0:r>
    </ns0:p>
    <ns0:p>
      <ns0:pPr>
        <ns0:pStyle ns0:val="BodyText"/>
        <ns0:spacing ns0:after="90"/>
        <ns0:keepLines/>
      </ns0:pPr>
      <ns0:r>
        <ns0:t xml:space="preserve">[4] Bailey, D. H., Borwein, J. M., López de Prado, M., &amp; Zhu, Q. J. (2017). The Probability of Backtest Overfitting. </ns0:t>
      </ns0:r>
      <ns0:r>
        <ns0:rPr>
          <ns0:i/>
        </ns0:rPr>
        <ns0:t>The Journal of Computational Finance, 20</ns0:t>
      </ns0:r>
      <ns0:r>
        <ns0:t>(4), 39–69. https://doi.org/10.21314/JCF.2016.322</ns0:t>
      </ns0:r>
    </ns0:p>
    <ns0:p>
      <ns0:pPr>
        <ns0:pStyle ns0:val="Heading1"/>
        <ns0:spacing ns0:before="300" ns0:after="100"/>
        <ns0:keepNext/>
        <ns0:keepLines/>
      </ns0:pPr>
      <ns0:r>
        <ns0:t>Appendix A. Plan B archive-only closeout checklist</ns0:t>
      </ns0:r>
    </ns0:p>
    <ns0:p>
      <ns0:pPr>
        <ns0:pStyle ns0:val="ListText"/>
        <ns0:ind ns0:left="360"/>
        <ns0:spacing ns0:after="50"/>
        <ns0:keepLines/>
      </ns0:pPr>
      <ns0:r>
        <ns0:rPr>
          <ns0:b/>
          <ns0:color ns0:val="2C7A7B"/>
        </ns0:rPr>
        <ns0:t xml:space="preserve">• </ns0:t>
      </ns0:r>
      <ns0:r>
        <ns0:t>[x] Preserve the v1.0.1 archive; verify all 153 source CSVs, two primary tables, and eight model hashes.</ns0:t>
      </ns0:r>
    </ns0:p>
    <ns0:p>
      <ns0:pPr>
        <ns0:pStyle ns0:val="ListText"/>
        <ns0:ind ns0:left="360"/>
        <ns0:spacing ns0:after="50"/>
        <ns0:keepLines/>
      </ns0:pPr>
      <ns0:r>
        <ns0:rPr>
          <ns0:b/>
          <ns0:color ns0:val="2C7A7B"/>
        </ns0:rPr>
        <ns0:t xml:space="preserve">• </ns0:t>
      </ns0:r>
      <ns0:r>
        <ns0:t>[x] Audit archived OOF/event identity, labels, dates, and finite scores; recompute pooled and fold point metrics from saved predictions.</ns0:t>
      </ns0:r>
    </ns0:p>
    <ns0:p>
      <ns0:pPr>
        <ns0:pStyle ns0:val="ListText"/>
        <ns0:ind ns0:left="360"/>
        <ns0:spacing ns0:after="50"/>
        <ns0:keepLines/>
      </ns0:pPr>
      <ns0:r>
        <ns0:rPr>
          <ns0:b/>
          <ns0:color ns0:val="2C7A7B"/>
        </ns0:rPr>
        <ns0:t xml:space="preserve">• </ns0:t>
      </ns0:r>
      <ns0:r>
        <ns0:t>[x] Record the original Python source as unavailable and close source/bytecode recovery under finite Plan B.</ns0:t>
      </ns0:r>
    </ns0:p>
    <ns0:p>
      <ns0:pPr>
        <ns0:pStyle ns0:val="ListText"/>
        <ns0:ind ns0:left="360"/>
        <ns0:spacing ns0:after="50"/>
        <ns0:keepLines/>
      </ns0:pPr>
      <ns0:r>
        <ns0:rPr>
          <ns0:b/>
          <ns0:color ns0:val="2C7A7B"/>
        </ns0:rPr>
        <ns0:t xml:space="preserve">• </ns0:t>
      </ns0:r>
      <ns0:r>
        <ns0:t>[x] Disclose the overwritten historical bytecode cache; do not treat its former hash or unreviewed replay as source recovery.</ns0:t>
      </ns0:r>
    </ns0:p>
    <ns0:p>
      <ns0:pPr>
        <ns0:pStyle ns0:val="ListText"/>
        <ns0:ind ns0:left="360"/>
        <ns0:spacing ns0:after="50"/>
        <ns0:keepLines/>
      </ns0:pPr>
      <ns0:r>
        <ns0:rPr>
          <ns0:b/>
          <ns0:color ns0:val="2C7A7B"/>
        </ns0:rPr>
        <ns0:t xml:space="preserve">• </ns0:t>
      </ns0:r>
      <ns0:r>
        <ns0:t>[x] Record that source-prefix count and ordered IDs match but features do not; the scoped AAL check differed on all 480 aligned rows for rsi14, atr_pct, and zone_width_pct.</ns0:t>
      </ns0:r>
    </ns0:p>
    <ns0:p>
      <ns0:pPr>
        <ns0:pStyle ns0:val="ListText"/>
        <ns0:ind ns0:left="360"/>
        <ns0:spacing ns0:after="50"/>
        <ns0:keepLines/>
      </ns0:pPr>
      <ns0:r>
        <ns0:rPr>
          <ns0:b/>
          <ns0:color ns0:val="2C7A7B"/>
        </ns0:rPr>
        <ns0:t xml:space="preserve">• </ns0:t>
      </ns0:r>
      <ns0:r>
        <ns0:t>[x] Keep archived bootstrap intervals as manifest-reported only; do not replace them with bounds from the current helper.</ns0:t>
      </ns0:r>
    </ns0:p>
    <ns0:p>
      <ns0:pPr>
        <ns0:pStyle ns0:val="ListText"/>
        <ns0:ind ns0:left="360"/>
        <ns0:spacing ns0:after="50"/>
        <ns0:keepLines/>
      </ns0:pPr>
      <ns0:r>
        <ns0:rPr>
          <ns0:b/>
          <ns0:color ns0:val="2C7A7B"/>
        </ns0:rPr>
        <ns0:t xml:space="preserve">• </ns0:t>
      </ns0:r>
      <ns0:r>
        <ns0:t>[x] Distinguish frozen protocol v1.0.2 from immutable result archive v1.0.1; report the latter as retrospective only.</ns0:t>
      </ns0:r>
    </ns0:p>
    <ns0:p>
      <ns0:pPr>
        <ns0:pStyle ns0:val="ListText"/>
        <ns0:ind ns0:left="360"/>
        <ns0:spacing ns0:after="50"/>
        <ns0:keepLines/>
      </ns0:pPr>
      <ns0:r>
        <ns0:rPr>
          <ns0:b/>
          <ns0:color ns0:val="2C7A7B"/>
        </ns0:rPr>
        <ns0:t xml:space="preserve">• </ns0:t>
      </ns0:r>
      <ns0:r>
        <ns0:t>[x] Confirm no canonical development rerun, new study, prospective lock, prediction, or outcome was created.</ns0:t>
      </ns0:r>
    </ns0:p>
    <ns0:p>
      <ns0:pPr>
        <ns0:pStyle ns0:val="ListText"/>
        <ns0:ind ns0:left="360"/>
        <ns0:spacing ns0:after="50"/>
        <ns0:keepLines/>
      </ns0:pPr>
      <ns0:r>
        <ns0:rPr>
          <ns0:b/>
          <ns0:color ns0:val="2C7A7B"/>
        </ns0:rPr>
        <ns0:t xml:space="preserve">• </ns0:t>
      </ns0:r>
      <ns0:r>
        <ns0:t>[x] Align Markdown/Word records and publish outputs/study_v1_archive_audit_closeout.md.</ns0:t>
      </ns0:r>
    </ns0:p>
    <ns0:p>
      <ns0:pPr>
        <ns0:pStyle ns0:val="ListText"/>
        <ns0:ind ns0:left="360"/>
        <ns0:spacing ns0:after="50"/>
        <ns0:keepLines/>
      </ns0:pPr>
      <ns0:r>
        <ns0:rPr>
          <ns0:b/>
          <ns0:color ns0:val="2C7A7B"/>
        </ns0:rPr>
        <ns0:t xml:space="preserve">• </ns0:t>
      </ns0:r>
      <ns0:r>
        <ns0:t>[x] Run the current 22 unit tests and safe syntax/archive/DOCX checks; note these do not establish original-source parity.</ns0:t>
      </ns0:r>
    </ns0:p>
    <ns0:p>
      <ns0:pPr>
        <ns0:pStyle ns0:val="ListText"/>
        <ns0:ind ns0:left="360"/>
        <ns0:spacing ns0:after="50"/>
        <ns0:keepLines/>
      </ns0:pPr>
      <ns0:r>
        <ns0:rPr>
          <ns0:b/>
          <ns0:color ns0:val="2C7A7B"/>
        </ns0:rPr>
        <ns0:t xml:space="preserve">• </ns0:t>
      </ns0:r>
      <ns0:r>
        <ns0:t>[x] Close Plan B. Any future reviewed v1.0.2 run or prospective trial is separate work requiring explicit authorization.</ns0:t>
      </ns0:r>
    </ns0:p>
    <ns0:p>
      <ns0:pPr>
        <ns0:pStyle ns0:val="Heading1"/>
        <ns0:spacing ns0:before="300" ns0:after="100"/>
        <ns0:keepNext/>
        <ns0:keepLines/>
      </ns0:pPr>
      <ns0:r>
        <ns0:t>Appendix B. Evidence-source inventory</ns0:t>
      </ns0:r>
    </ns0:p>
    <ns0:p>
      <ns0:pPr>
        <ns0:pStyle ns0:val="BodyText"/>
        <ns0:spacing ns0:after="90"/>
        <ns0:keepLines/>
      </ns0:pPr>
      <ns0:r>
        <ns0:rPr>
          <ns0:rFonts ns0:ascii="Consolas" ns0:hAnsi="Consolas"/>
          <ns0:shd ns0:fill="F1F3F5" ns0:val="clear"/>
          <ns0:sz ns0:val="18"/>
        </ns0:rPr>
        <ns0:t>Development-history sources inspected include README.md; Python/generate_ml_dataset.py; Python/augment_v10_to_v11.py; Python/augment_v11_to_v12.py; Python/augment_v12_to_v13.py; backend/build_hold1_targets.py; backend/build_v2_dataset.py; backend/build_v3_dataset.py; backend/build_v5_dataset.py; backend/train_hold1.py; backend/train_v2.py; backend/train_v3.py; backend/train_v4.py; backend/train_v5.py; backend/train_v7.py; backend/upgrade_v6.py; V2 reports and comparison tables under outputs/v2; and model metadata under models/v2 through models/v7. Archive evidence comprises outputs/study_v1/development/run_manifest.json, development_report.md, event_table.csv, oof_predictions.csv, eight model artifacts under outputs/study_v1/models, and the 153 cached OHLCV files under outputs/v2/_ohlcv. Audit/protocol evidence includes MARKET_STRUCTURE_STUDY_V1_PROTOCOL.json, outputs/study_v1_archive_audit_closeout.md, .freebuff/recovery_tools/audit_saved_v1_0_1_outputs.py, the non-equivalent reconstruction backend/demand_zone_study_v1.py, and backend/tests/test_demand_zone_study_v1.py. These artifacts support the distinctions in this record: immutable-file/hash checks and saved-score arithmetic were audited; historical source and feature/model generation were not reproduced.</ns0:t>
      </ns0:r>
    </ns0:p>
    <ns0:p>
      <ns0:pPr>
        <ns0:pStyle ns0:val="Heading1"/>
        <ns0:spacing ns0:before="300" ns0:after="100"/>
        <ns0:keepNext/>
        <ns0:keepLines/>
      </ns0:pPr>
      <ns0:r>
        <ns0:t>Appendix C. Material gaps and paper-source sufficiency</ns0:t>
      </ns0:r>
    </ns0:p>
    <ns0:p>
      <ns0:pPr>
        <ns0:pStyle ns0:val="BodyText"/>
        <ns0:spacing ns0:after="90"/>
        <ns0:keepLines/>
      </ns0:pPr>
      <ns0:r>
        <ns0:t>Information not available in the archived project materials includes: the author’s name and institutional affiliation; an intact original Python source file matching the v1.0.1 manifest code hash; a trusted copy of the older bytecode that was overwritten; a complete immutable per-version execution bundle (source, data vintage, folds, predictions, and environment) for every V1–V7 and V10–V13 iteration; point-in-time historical universe membership, delisted-security coverage, and vendor data vintages; a documented NKE leakage incident with exact feature/date and matched before/after results; and the root cause of the archived bootstrap-interval mismatch. No prospective lock, ledger, prediction, or outcome exists. A complete saved error analysis by regime/sector/liquidity and a corrected, independently audited V2 trading ledger are also not available as verified results. These gaps should remain explicit rather than being filled by inference.</ns0:t>
      </ns0:r>
    </ns0:p>
    <ns0:p>
      <ns0:pPr>
        <ns0:pStyle ns0:val="BodyText"/>
        <ns0:spacing ns0:after="90"/>
        <ns0:keepLines/>
      </ns0:pPr>
      <ns0:r>
        <ns0:t>Sufficiency assessment: together, these two Word documents contain sufficient source material for a defensible retrospective development-audit/reproducibility paper about the documented chronology, targets/features, historically reported metrics, concrete leakage risks, bounded v1.0.1 output-integrity and saved-score checks, failed feature-parity/source reproduction, archive-reported-only intervals, and the absence of prospective evidence. They are not sufficient to reproduce the original training pipeline end-to-end or to support a confirmatory efficacy, causal market-structure, calibration, or profitability claim. A final paper should present the reproduced arithmetic as calculations on retained predictions; attribute legacy/version and bootstrap values to project reports/manifests; and identify unreproduced or unavailable artifacts in the methods and limitations.</ns0:t>
      </ns0:r>
    </ns0:p>
    <ns0:sectPr>
      <ns0:pgSz ns0:w="12240" ns0:h="15840"/>
      <ns0:pgMar ns0:top="1080" ns0:right="1000" ns0:bottom="1080" ns0:left="1000" ns0:header="500" ns0:footer="500"/>
      <ns0:cols ns0:space="720"/>
      <ns0:titlePg/>
    </ns0:sectPr>
  </ns0:body>
</ns0:document>
</file>

<file path=word/styles.xml><?xml version="1.0" encoding="utf-8"?>
<w:styles xmlns:w="http://schemas.openxmlformats.org/wordprocessingml/2006/main">
  <w:docDefaults>
    <w:rPrDefault>
      <w:rPr>
        <w:rFonts w:ascii="Aptos" w:hAnsi="Aptos"/>
        <w:sz w:val="21"/>
      </w:rPr>
    </w:rPrDefault>
    <w:pPrDefault>
      <w:pPr>
        <w:spacing w:after="120" w:line="276" w:lineRule="auto"/>
      </w:pPr>
    </w:pPrDefault>
  </w:docDefaults>
  <w:style w:type="paragraph" w:styleId="Normal">
    <w:name w:val="Normal"/>
    <w:rPr>
      <w:rFonts w:ascii="Aptos" w:hAnsi="Aptos"/>
      <w:sz w:val="21"/>
      <w:color w:val="243247"/>
    </w:rPr>
    <w:pPr>
      <w:jc w:val="left"/>
      <w:spacing w:after="100" w:line="276" w:lineRule="auto"/>
    </w:pPr>
  </w:style>
  <w:style w:type="paragraph" w:styleId="PartLabel">
    <w:name w:val="Part label"/>
    <w:basedOn w:val="Normal"/>
    <w:rPr>
      <w:rFonts w:ascii="Aptos" w:hAnsi="Aptos"/>
      <w:sz w:val="20"/>
      <w:color w:val="2C7A7B"/>
      <w:b/>
    </w:rPr>
    <w:pPr>
      <w:jc w:val="center"/>
      <w:spacing w:after="100" w:line="276" w:lineRule="auto"/>
    </w:pPr>
  </w:style>
  <w:style w:type="paragraph" w:styleId="DocTitle">
    <w:name w:val="Document title"/>
    <w:basedOn w:val="Normal"/>
    <w:rPr>
      <w:rFonts w:ascii="Aptos" w:hAnsi="Aptos"/>
      <w:sz w:val="50"/>
      <w:color w:val="163A4A"/>
      <w:b/>
    </w:rPr>
    <w:pPr>
      <w:jc w:val="center"/>
      <w:spacing w:after="100" w:line="276" w:lineRule="auto"/>
    </w:pPr>
  </w:style>
  <w:style w:type="paragraph" w:styleId="DocSubtitle">
    <w:name w:val="Document subtitle"/>
    <w:basedOn w:val="Normal"/>
    <w:rPr>
      <w:rFonts w:ascii="Aptos" w:hAnsi="Aptos"/>
      <w:sz w:val="26"/>
      <w:color w:val="536579"/>
    </w:rPr>
    <w:pPr>
      <w:jc w:val="center"/>
      <w:spacing w:after="100" w:line="276" w:lineRule="auto"/>
    </w:pPr>
  </w:style>
  <w:style w:type="paragraph" w:styleId="BodyText">
    <w:name w:val="Body Text"/>
    <w:basedOn w:val="Normal"/>
    <w:rPr>
      <w:rFonts w:ascii="Aptos" w:hAnsi="Aptos"/>
      <w:sz w:val="21"/>
      <w:color w:val="243247"/>
    </w:rPr>
    <w:pPr>
      <w:jc w:val="both"/>
      <w:spacing w:after="90" w:line="276" w:lineRule="auto"/>
    </w:pPr>
  </w:style>
  <w:style w:type="paragraph" w:styleId="Meta">
    <w:name w:val="Metadata"/>
    <w:basedOn w:val="Normal"/>
    <w:rPr>
      <w:rFonts w:ascii="Aptos" w:hAnsi="Aptos"/>
      <w:sz w:val="18"/>
      <w:color w:val="536579"/>
    </w:rPr>
    <w:pPr>
      <w:jc w:val="center"/>
      <w:spacing w:after="100" w:line="276" w:lineRule="auto"/>
    </w:pPr>
  </w:style>
  <w:style w:type="paragraph" w:styleId="Callout">
    <w:name w:val="Callout"/>
    <w:basedOn w:val="Normal"/>
    <w:rPr>
      <w:rFonts w:ascii="Aptos" w:hAnsi="Aptos"/>
      <w:sz w:val="19"/>
      <w:color w:val="34495E"/>
    </w:rPr>
    <w:pPr>
      <w:jc w:val="left"/>
      <w:spacing w:after="100" w:line="276" w:lineRule="auto"/>
    </w:pPr>
  </w:style>
  <w:style w:type="paragraph" w:styleId="ListText">
    <w:name w:val="List paragraph"/>
    <w:basedOn w:val="Normal"/>
    <w:rPr>
      <w:rFonts w:ascii="Aptos" w:hAnsi="Aptos"/>
      <w:sz w:val="20"/>
      <w:color w:val="243247"/>
    </w:rPr>
    <w:pPr>
      <w:jc w:val="left"/>
      <w:spacing w:after="100" w:line="276" w:lineRule="auto"/>
    </w:pPr>
  </w:style>
  <w:style w:type="paragraph" w:styleId="CodeBlock">
    <w:name w:val="Code block"/>
    <w:basedOn w:val="Normal"/>
    <w:rPr>
      <w:rFonts w:ascii="Aptos" w:hAnsi="Aptos"/>
      <w:sz w:val="17"/>
      <w:color w:val="334155"/>
    </w:rPr>
    <w:pPr>
      <w:jc w:val="left"/>
      <w:spacing w:after="100" w:line="276" w:lineRule="auto"/>
    </w:pPr>
  </w:style>
  <w:style w:type="paragraph" w:styleId="Equation">
    <w:name w:val="Equation"/>
    <w:basedOn w:val="Normal"/>
    <w:rPr>
      <w:rFonts w:ascii="Aptos" w:hAnsi="Aptos"/>
      <w:sz w:val="22"/>
      <w:color w:val="203864"/>
    </w:rPr>
    <w:pPr>
      <w:jc w:val="center"/>
      <w:spacing w:after="100" w:line="276" w:lineRule="auto"/>
    </w:pPr>
  </w:style>
  <w:style w:type="paragraph" w:styleId="Heading1">
    <w:name w:val="heading 1"/>
    <w:basedOn w:val="Normal"/>
    <w:next w:val="BodyText"/>
    <w:uiPriority w:val="1"/>
    <w:qFormat/>
    <w:rPr>
      <w:rFonts w:ascii="Aptos Display" w:hAnsi="Aptos Display"/>
      <w:b/>
      <w:sz w:val="38"/>
      <w:color w:val="163A4A"/>
    </w:rPr>
    <w:pPr>
      <w:keepNext/>
      <w:keepLines/>
      <w:spacing w:before="300" w:after="100"/>
      <w:outlineLvl w:val="0"/>
    </w:pPr>
  </w:style>
  <w:style w:type="paragraph" w:styleId="Heading2">
    <w:name w:val="heading 2"/>
    <w:basedOn w:val="Normal"/>
    <w:next w:val="BodyText"/>
    <w:uiPriority w:val="2"/>
    <w:qFormat/>
    <w:rPr>
      <w:rFonts w:ascii="Aptos Display" w:hAnsi="Aptos Display"/>
      <w:b/>
      <w:sz w:val="30"/>
      <w:color w:val="1F4E5F"/>
    </w:rPr>
    <w:pPr>
      <w:keepNext/>
      <w:keepLines/>
      <w:spacing w:before="220" w:after="100"/>
      <w:outlineLvl w:val="1"/>
    </w:pPr>
  </w:style>
  <w:style w:type="paragraph" w:styleId="Heading3">
    <w:name w:val="heading 3"/>
    <w:basedOn w:val="Normal"/>
    <w:next w:val="BodyText"/>
    <w:uiPriority w:val="3"/>
    <w:qFormat/>
    <w:rPr>
      <w:rFonts w:ascii="Aptos Display" w:hAnsi="Aptos Display"/>
      <w:b/>
      <w:sz w:val="24"/>
      <w:color w:val="2C7A7B"/>
    </w:rPr>
    <w:pPr>
      <w:keepNext/>
      <w:keepLines/>
      <w:spacing w:before="220" w:after="100"/>
      <w:outlineLvl w:val="2"/>
    </w:pPr>
  </w:style>
</w:styles>
</file>

<file path=word/_rels/document.xml.rels><?xml version="1.0" encoding="UTF-8" standalone="yes"?><Relationships xmlns="http://schemas.openxmlformats.org/package/2006/relationships"><Relationship xmlns="http://schemas.openxmlformats.org/package/2006/relationships"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Demand Zone AI — Development and Audit Record</dc:title>
  <dc:creator>Demand Zone AI Research Project</dc:creator>
  <dc:description>Formatted Google Docs-compatible export from the Markdown research draft.</dc:description>
</cp:coreProperties>
</file>