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28"/>
        </w:rPr>
        <w:t>BUS922: RESEARCH PROPOSAL</w:t>
        <w:br/>
      </w:r>
      <w:r>
        <w:rPr>
          <w:b/>
          <w:color w:val="0F172A"/>
          <w:sz w:val="36"/>
        </w:rPr>
        <w:t>Operationalizing Zero-Knowledge Security and Unified Financial Intelligence: A Case Study of Wealth OS in Personal Wealth and Digital Estate Management</w:t>
        <w:br/>
        <w:br/>
      </w:r>
    </w:p>
    <w:tbl>
      <w:tblPr>
        <w:tblW w:type="auto" w:w="0"/>
        <w:jc w:val="center"/>
        <w:tblLook w:firstColumn="1" w:firstRow="1" w:lastColumn="0" w:lastRow="0" w:noHBand="0" w:noVBand="1" w:val="04A0"/>
      </w:tblPr>
      <w:tblGrid>
        <w:gridCol w:w="3120"/>
        <w:gridCol w:w="3120"/>
        <w:gridCol w:w="3120"/>
      </w:tblGrid>
      <w:tr>
        <w:tc>
          <w:tcPr>
            <w:tcW w:type="dxa" w:w="3120"/>
            <w:shd w:fill="F1F5F9"/>
            <w:tcMar>
              <w:top w:w="120" w:type="dxa"/>
              <w:bottom w:w="120" w:type="dxa"/>
              <w:left w:w="150" w:type="dxa"/>
              <w:right w:w="150" w:type="dxa"/>
            </w:tcMar>
          </w:tcPr>
          <w:p>
            <w:pPr>
              <w:jc w:val="center"/>
            </w:pPr>
            <w:r>
              <w:rPr>
                <w:b/>
                <w:color w:val="334155"/>
                <w:sz w:val="20"/>
              </w:rPr>
              <w:t>SUBMITTED BY:</w:t>
              <w:br/>
              <w:t>Prajwal Bharad</w:t>
            </w:r>
          </w:p>
        </w:tc>
        <w:tc>
          <w:tcPr>
            <w:tcW w:type="dxa" w:w="3120"/>
            <w:shd w:fill="F1F5F9"/>
            <w:tcMar>
              <w:top w:w="120" w:type="dxa"/>
              <w:bottom w:w="120" w:type="dxa"/>
              <w:left w:w="150" w:type="dxa"/>
              <w:right w:w="150" w:type="dxa"/>
            </w:tcMar>
          </w:tcPr>
          <w:p>
            <w:pPr>
              <w:jc w:val="center"/>
            </w:pPr>
            <w:r>
              <w:rPr>
                <w:b/>
                <w:color w:val="334155"/>
                <w:sz w:val="20"/>
              </w:rPr>
              <w:t>STUDENT NUMBER:</w:t>
              <w:br/>
              <w:t>8549120</w:t>
            </w:r>
          </w:p>
        </w:tc>
        <w:tc>
          <w:tcPr>
            <w:tcW w:type="dxa" w:w="3120"/>
            <w:shd w:fill="F1F5F9"/>
            <w:tcMar>
              <w:top w:w="120" w:type="dxa"/>
              <w:bottom w:w="120" w:type="dxa"/>
              <w:left w:w="150" w:type="dxa"/>
              <w:right w:w="150" w:type="dxa"/>
            </w:tcMar>
          </w:tcPr>
          <w:p>
            <w:pPr>
              <w:jc w:val="center"/>
            </w:pPr>
            <w:r>
              <w:rPr>
                <w:b/>
                <w:color w:val="334155"/>
                <w:sz w:val="20"/>
              </w:rPr>
              <w:t>WORD COUNT:</w:t>
              <w:br/>
              <w:t>1,824 words</w:t>
            </w:r>
          </w:p>
        </w:tc>
      </w:tr>
    </w:tbl>
    <w:p/>
    <w:p>
      <w:r>
        <w:t>---</w:t>
      </w:r>
    </w:p>
    <w:p>
      <w:pPr>
        <w:keepNext/>
        <w:spacing w:before="280" w:after="120"/>
      </w:pPr>
      <w:r>
        <w:rPr>
          <w:b/>
          <w:color w:val="1B365D"/>
          <w:sz w:val="28"/>
        </w:rPr>
        <w:t>Executive Summary (Abstract)</w:t>
      </w:r>
    </w:p>
    <w:p>
      <w:r>
        <w:t>As household financial portfolios diversify across equities, real estate, liquid reserves, and digital assets, individuals face severe fragmentation in asset tracking, tax optimization, and digital estate continuity. This research investigates the strategic implementation of Wealth OS—an integrated personal financial operating system incorporating zero-knowledge AES-256-GCM vault encryption, SQLite Write-Ahead Logging (WAL) relational persistence, and automated tax regime calculation engines.</w:t>
      </w:r>
    </w:p>
    <w:p>
      <w:r>
        <w:t>The primary business challenge centers on bridging the security-usability trade-off in fintech adoption: consumers hesitate to aggregate sensitive financial records due to data privacy vulnerabilities, yet fragmented tools lead to asset loss and sub-optimal tax strategies. This study aims to evaluate how local-first, zero-knowledge architecture impacts consumer trust, system performance, and compliance adoption over a 10-week evaluation framework.</w:t>
      </w:r>
    </w:p>
    <w:p>
      <w:r>
        <w:t>Through a mixed-methods single-case study design combining benchmark performance stress testing with user acceptance metrics, expected outcomes include empirical validation of localized zero-trust financial architecture and a strategic framework for privacy-centric fintech scalability.</w:t>
      </w:r>
    </w:p>
    <w:p>
      <w:r>
        <w:t>*(168 words)*</w:t>
      </w:r>
    </w:p>
    <w:p>
      <w:r>
        <w:t>---</w:t>
      </w:r>
    </w:p>
    <w:p>
      <w:pPr>
        <w:keepNext/>
        <w:spacing w:before="280" w:after="120"/>
      </w:pPr>
      <w:r>
        <w:rPr>
          <w:b/>
          <w:color w:val="1B365D"/>
          <w:sz w:val="28"/>
        </w:rPr>
        <w:t>Introduction and Business Context</w:t>
      </w:r>
    </w:p>
    <w:p>
      <w:r>
        <w:t>The rapid digitization of financial services has fundamentally transformed personal wealth management. Globally, the personal financial management (PFM) software market is projected to reach USD $3.43 billion by 2030, growing at a Compound Annual Growth Rate (CAGR) of 13.8% (Grand View Research, 2023). Despite this expansion, modern wealth holders face unprecedented structural complexity. Household wealth portfolios are increasingly fragmented across banking institutions, brokerages, real estate holdings, cryptocurrency wallets, and physical asset investments.</w:t>
      </w:r>
    </w:p>
    <w:p>
      <w:r>
        <w:t>In emerging and high-growth markets such as India and Australia, this fragmentation creates two critical operational crises:</w:t>
      </w:r>
    </w:p>
    <w:p>
      <w:r>
        <w:t xml:space="preserve">1. </w:t>
      </w:r>
      <w:r>
        <w:rPr>
          <w:b/>
        </w:rPr>
        <w:t>Financial Tax Inefficiency:</w:t>
      </w:r>
      <w:r>
        <w:t xml:space="preserve"> Taxpayers routinely miscalculate tax liabilities or fail to optimize deductions across complex multi-regime tax codes due to fragmented record-keeping (OECD, 2022).</w:t>
      </w:r>
    </w:p>
    <w:p>
      <w:r>
        <w:t xml:space="preserve">2. </w:t>
      </w:r>
      <w:r>
        <w:rPr>
          <w:b/>
        </w:rPr>
        <w:t>Digital Estate &amp; Asset Dormancy:</w:t>
      </w:r>
      <w:r>
        <w:t xml:space="preserve"> Unclaimed financial assets—resulting from deceased individuals failing to convey records to legal nominees—have reached alarming levels, exceeding ₹35,000 crore (USD $4.2 billion) in India's banking system alone (Reserve Bank of India, 2023).</w:t>
      </w:r>
    </w:p>
    <w:p>
      <w:pPr>
        <w:keepNext/>
        <w:spacing w:before="200" w:after="80"/>
      </w:pPr>
      <w:r>
        <w:rPr>
          <w:b/>
          <w:color w:val="334155"/>
          <w:sz w:val="24"/>
        </w:rPr>
        <w:t>Case Study Organization Context: Wealth OS</w:t>
      </w:r>
    </w:p>
    <w:p>
      <w:r>
        <w:t>Wealth OS is an enterprise-grade Personal Wealth Operating System developed to address these structural breakdowns. Built on a zero-knowledge local-first architecture using Node.js, SQLite WAL persistence, AES-256-GCM file encryption, and dynamic tax modeling algorithms, Wealth OS consolidates asset tracking, cash flow intelligence, document storage, and digital will nominee claim workflows into a single interface.</w:t>
      </w:r>
    </w:p>
    <w:p>
      <w:pPr>
        <w:keepNext/>
        <w:spacing w:before="200" w:after="80"/>
      </w:pPr>
      <w:r>
        <w:rPr>
          <w:b/>
          <w:color w:val="334155"/>
          <w:sz w:val="24"/>
        </w:rPr>
        <w:t>External Strategic Analysis</w:t>
      </w:r>
    </w:p>
    <w:p>
      <w:r>
        <w:t>A macro-environmental PESTEL analysis (Appendix 1) indicates that while regulatory mandates (e.g., GDPR, Australian Privacy Act 1988, India's DPDP Act 2023) demand stringent privacy protection, technological convergence allows edge computing to handle complex client-side calculations. Furthermore, Porter's Five Forces analysis (Appendix 2) reveals intense competition among cloud-hosted wealth platforms, yet a distinct strategic gap exists for privacy-centric, zero-knowledge local-first platforms that guarantee complete data sovereignty.</w:t>
      </w:r>
    </w:p>
    <w:p>
      <w:r>
        <w:t>---</w:t>
      </w:r>
    </w:p>
    <w:p>
      <w:pPr>
        <w:keepNext/>
        <w:spacing w:before="280" w:after="120"/>
      </w:pPr>
      <w:r>
        <w:rPr>
          <w:b/>
          <w:color w:val="1B365D"/>
          <w:sz w:val="28"/>
        </w:rPr>
        <w:t>Research Aim and SMART Objectives</w:t>
      </w:r>
    </w:p>
    <w:p>
      <w:pPr>
        <w:keepNext/>
        <w:spacing w:before="200" w:after="80"/>
      </w:pPr>
      <w:r>
        <w:rPr>
          <w:b/>
          <w:color w:val="334155"/>
          <w:sz w:val="24"/>
        </w:rPr>
        <w:t>Research Question</w:t>
      </w:r>
    </w:p>
    <w:p>
      <w:r>
        <w:t>*How does a zero-knowledge, local-first architecture in Wealth OS influence user trust, operational latency, and compliance efficacy in personal wealth aggregation and digital estate management?*</w:t>
      </w:r>
    </w:p>
    <w:p>
      <w:pPr>
        <w:keepNext/>
        <w:spacing w:before="200" w:after="80"/>
      </w:pPr>
      <w:r>
        <w:rPr>
          <w:b/>
          <w:color w:val="334155"/>
          <w:sz w:val="24"/>
        </w:rPr>
        <w:t>SMART Research Objectives (10-Week Execution Plan)</w:t>
      </w:r>
    </w:p>
    <w:p>
      <w:r>
        <w:t>To answer the central research question within the 10-week capstone timeframe, the following Specific, Measurable, Achievable, Relevant, and Time-bound (SMART) objectives are established:</w:t>
      </w:r>
    </w:p>
    <w:p>
      <w:r>
        <w:t xml:space="preserve">1. </w:t>
      </w:r>
      <w:r>
        <w:rPr>
          <w:b/>
        </w:rPr>
        <w:t>Objective 1 (Weeks 1–3): System Architecture &amp; Latency Benchmark</w:t>
      </w:r>
    </w:p>
    <w:p>
      <w:r>
        <w:t>Quantify system performance and database transaction throughput of the SQLite WAL engine under simulated multi-user concurrent loads (testing up to 5,000 transactions across 100 concurrent threads) to achieve sub-50ms query response times.</w:t>
      </w:r>
    </w:p>
    <w:p>
      <w:r>
        <w:t xml:space="preserve">2. </w:t>
      </w:r>
      <w:r>
        <w:rPr>
          <w:b/>
        </w:rPr>
        <w:t>Objective 2 (Weeks 4–6): Zero-Trust Security &amp; Vault Integrity Audit</w:t>
      </w:r>
    </w:p>
    <w:p>
      <w:r>
        <w:t>Validate the cryptographic integrity and zero-knowledge isolation of the AES-256-GCM document vault and digital will nominee claim pipeline through automated penetration testing and static security audits with 100% data loss prevention.</w:t>
      </w:r>
    </w:p>
    <w:p>
      <w:r>
        <w:t xml:space="preserve">3. </w:t>
      </w:r>
      <w:r>
        <w:rPr>
          <w:b/>
        </w:rPr>
        <w:t>Objective 3 (Weeks 7–9): User Acceptance &amp; Privacy Trust Evaluation</w:t>
      </w:r>
    </w:p>
    <w:p>
      <w:r>
        <w:t>Evaluate consumer adoption drivers, perceived trust, and usability metrics by administering a standardized Technology Acceptance Model (TAM) survey to a cohort of 50 active wealth managers, Chartered Accountants (CAs), and individual investors.</w:t>
      </w:r>
    </w:p>
    <w:p>
      <w:r>
        <w:t xml:space="preserve">4. </w:t>
      </w:r>
      <w:r>
        <w:rPr>
          <w:b/>
        </w:rPr>
        <w:t>Objective 4 (Week 10): Strategic Framework &amp; Policy Synthesis</w:t>
      </w:r>
    </w:p>
    <w:p>
      <w:r>
        <w:t>Synthesize empirical benchmarking and survey findings into a strategic deployment roadmap for local-first fintech architectures in regulated markets.</w:t>
      </w:r>
    </w:p>
    <w:p>
      <w:r>
        <w:t>---</w:t>
      </w:r>
    </w:p>
    <w:p>
      <w:pPr>
        <w:keepNext/>
        <w:spacing w:before="280" w:after="120"/>
      </w:pPr>
      <w:r>
        <w:rPr>
          <w:b/>
          <w:color w:val="1B365D"/>
          <w:sz w:val="28"/>
        </w:rPr>
        <w:t>Literature Review and Theoretical Framework</w:t>
      </w:r>
    </w:p>
    <w:p>
      <w:pPr>
        <w:keepNext/>
        <w:spacing w:before="200" w:after="80"/>
      </w:pPr>
      <w:r>
        <w:rPr>
          <w:b/>
          <w:color w:val="334155"/>
          <w:sz w:val="24"/>
        </w:rPr>
        <w:t>Literature Review</w:t>
      </w:r>
    </w:p>
    <w:p>
      <w:r>
        <w:t>The intersection of financial technology, cybersecurity, and consumer trust has attracted substantial scholarly attention. However, existing research exhibits critical theoretical gaps regarding how zero-knowledge security models affect adoption in personal financial management.</w:t>
      </w:r>
    </w:p>
    <w:p>
      <w:r>
        <w:t>#### Technology Acceptance Model (TAM) and Trust in Fintech</w:t>
      </w:r>
    </w:p>
    <w:p>
      <w:r>
        <w:t>Davis (1989) established the Technology Acceptance Model (TAM), asserting that Perceived Usefulness (PU) and Perceived Ease of Use (PEOU) dictate system adoption. In fintech contexts, Venkatesh et al. (2012) extended this model via UTAUT2, incorporating trust and risk perception. Studies by Stewart and Jürjens (2018) demonstrate that while cloud-based wealth platforms increase perceived usefulness through automated aggregation, they simultaneously elevate perceived risk due to third-party data breaches.</w:t>
      </w:r>
    </w:p>
    <w:p>
      <w:r>
        <w:t>#### Protection Motivation Theory (PMT) in Financial Security</w:t>
      </w:r>
    </w:p>
    <w:p>
      <w:r>
        <w:t>Rogers' (1975) Protection Motivation Theory (PMT) explains how individuals initiate protective behaviors based on threat severity, threat vulnerability, response efficacy, and self-efficacy. In digital estate planning, Users frequently experience "cyber-paranoia" (Dinev et al., 2015), leading them to avoid uploading sensitive estate documents (wills, deeds, tax records) to centralized cloud servers.</w:t>
      </w:r>
    </w:p>
    <w:p>
      <w:r>
        <w:t>#### Literature Gap</w:t>
      </w:r>
    </w:p>
    <w:p>
      <w:r>
        <w:t xml:space="preserve">While existing literature thoroughly explores cloud-hosted SaaS adoption (Gai et al., 2016), there is a significant theoretical gap regarding </w:t>
      </w:r>
      <w:r>
        <w:rPr>
          <w:b/>
        </w:rPr>
        <w:t>local-first computing paradigms</w:t>
      </w:r>
      <w:r>
        <w:t xml:space="preserve"> (Kleppmann et al., 2019) in fintech. Specifically, scholars have not adequately measured how zero-knowledge architectures—where encryption keys remain strictly client-side—alter the interplay between threat vulnerability and system adoption in financial tools.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line="240" w:lineRule="auto" w:after="0"/>
            </w:pPr>
            <w:r>
              <w:rPr>
                <w:rFonts w:ascii="Consolas" w:hAnsi="Consolas"/>
                <w:color w:val="0F172A"/>
                <w:sz w:val="17"/>
              </w:rPr>
              <w:t>+-----------------------------------------------------------------------------------+</w:t>
              <w:br/>
              <w:t>|                            THEORETICAL FRAMEWORK                                  |</w:t>
              <w:br/>
              <w:t>+-----------------------------------------------------------------------------------+</w:t>
              <w:br/>
              <w:t>|                                                                                   |</w:t>
              <w:br/>
              <w:t>|   INDEPENDENT VARIABLES               MEDIATING VARIABLES     DEPENDENT VARIABLE  |</w:t>
              <w:br/>
              <w:t>|                                                                                   |</w:t>
              <w:br/>
              <w:t>|  +------------------------+                                                       |</w:t>
              <w:br/>
              <w:t>|  | System Architecture    |                                                       |</w:t>
              <w:br/>
              <w:t>|  | - Local-First SQLite   |-----\                                                 |</w:t>
              <w:br/>
              <w:t>|  | - AES-256-GCM Encryption|      \                                                |</w:t>
              <w:br/>
              <w:t>|  +------------------------+       \--&gt; +-------------------+                      |</w:t>
              <w:br/>
              <w:t>|                                        | Perceived Risk    |                      |</w:t>
              <w:br/>
              <w:t>|  +------------------------+       /--&gt; | &amp; Privacy Trust   |---\                  |</w:t>
              <w:br/>
              <w:t>|  | Functional Capability  |      /     | (PMT Construct)   |    \                 |</w:t>
              <w:br/>
              <w:t>|  | - Multi-Regime Tax Engine |-----/      +-------------------+     \               |</w:t>
              <w:br/>
              <w:t>|  | - Digital Will Vault   |                                       \--&gt; +------------+</w:t>
              <w:br/>
              <w:t>|  +------------------------+                                            | System     |</w:t>
              <w:br/>
              <w:t>|                                                                        | Adoption   |</w:t>
              <w:br/>
              <w:t>|  +------------------------+            +-------------------+          | &amp; Trust    |</w:t>
              <w:br/>
              <w:t>|  | Performance &amp; Usability|-----------&gt;| Perceived         |---------&gt;| (TAM/UTAUT)|</w:t>
              <w:br/>
              <w:t>|  | - Sub-50ms Latency     |            | Usefulness (PU)   |           +------------+</w:t>
              <w:br/>
              <w:t>|  | - High-Contrast UI     |            +-------------------+                          |</w:t>
              <w:br/>
              <w:t>|  +------------------------+                                                       |</w:t>
              <w:br/>
              <w:t>+-----------------------------------------------------------------------------------+</w:t>
            </w:r>
          </w:p>
        </w:tc>
      </w:tr>
    </w:tbl>
    <w:p/>
    <w:p>
      <w:pPr>
        <w:keepNext/>
        <w:spacing w:before="200" w:after="80"/>
      </w:pPr>
      <w:r>
        <w:rPr>
          <w:b/>
          <w:color w:val="334155"/>
          <w:sz w:val="24"/>
        </w:rPr>
        <w:t>Theoretical Framework</w:t>
      </w:r>
    </w:p>
    <w:p>
      <w:r>
        <w:t xml:space="preserve">This research synthesizes the </w:t>
      </w:r>
      <w:r>
        <w:rPr>
          <w:b/>
        </w:rPr>
        <w:t>Technology Acceptance Model (TAM)</w:t>
      </w:r>
      <w:r>
        <w:t xml:space="preserve"> (Davis, 1989) with </w:t>
      </w:r>
      <w:r>
        <w:rPr>
          <w:b/>
        </w:rPr>
        <w:t>Protection Motivation Theory (PMT)</w:t>
      </w:r>
      <w:r>
        <w:t xml:space="preserve"> (Rogers, 1975). As illustrated above, the framework posits that:</w:t>
      </w:r>
    </w:p>
    <w:p>
      <w:r>
        <w:t xml:space="preserve">- The </w:t>
      </w:r>
      <w:r>
        <w:rPr>
          <w:b/>
        </w:rPr>
        <w:t>Independent Variables</w:t>
      </w:r>
      <w:r>
        <w:t xml:space="preserve"> (Local-First SQLite WAL Architecture, AES-256-GCM Vault Security, and Integrated Tax/Will Modules) directly influence mediating cognitive constructs.</w:t>
      </w:r>
    </w:p>
    <w:p>
      <w:r>
        <w:t xml:space="preserve">- </w:t>
      </w:r>
      <w:r>
        <w:rPr>
          <w:b/>
        </w:rPr>
        <w:t>Mediating Variables</w:t>
      </w:r>
      <w:r>
        <w:t xml:space="preserve"> (Perceived Privacy Trust, Reduced Perceived Vulnerability, and Perceived Usefulness) dictate the </w:t>
      </w:r>
      <w:r>
        <w:rPr>
          <w:b/>
        </w:rPr>
        <w:t>Dependent Variable</w:t>
      </w:r>
      <w:r>
        <w:t xml:space="preserve"> (System Adoption and User Retention).</w:t>
      </w:r>
    </w:p>
    <w:p>
      <w:r>
        <w:t>---</w:t>
      </w:r>
    </w:p>
    <w:p>
      <w:pPr>
        <w:keepNext/>
        <w:spacing w:before="280" w:after="120"/>
      </w:pPr>
      <w:r>
        <w:rPr>
          <w:b/>
          <w:color w:val="1B365D"/>
          <w:sz w:val="28"/>
        </w:rPr>
        <w:t>Methodology and Ethical Considerations</w:t>
      </w:r>
    </w:p>
    <w:p>
      <w:pPr>
        <w:keepNext/>
        <w:spacing w:before="200" w:after="80"/>
      </w:pPr>
      <w:r>
        <w:rPr>
          <w:b/>
          <w:color w:val="334155"/>
          <w:sz w:val="24"/>
        </w:rPr>
        <w:t>Research Methodology</w:t>
      </w:r>
    </w:p>
    <w:p>
      <w:r>
        <w:t xml:space="preserve">This study adopts a </w:t>
      </w:r>
      <w:r>
        <w:rPr>
          <w:b/>
        </w:rPr>
        <w:t>mixed-methods single-case study design</w:t>
      </w:r>
      <w:r>
        <w:t xml:space="preserve"> (Yin, 2018; Creswell &amp; Creswell, 2022), focusing on Wealth OS as the primary unit of analysis. Case study research is uniquely suited for investigating complex contemporary phenomena within real-world business settings (Eisenhardt, 1989).</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line="240" w:lineRule="auto" w:after="0"/>
            </w:pPr>
            <w:r>
              <w:rPr>
                <w:rFonts w:ascii="Consolas" w:hAnsi="Consolas"/>
                <w:color w:val="0F172A"/>
                <w:sz w:val="17"/>
              </w:rPr>
              <w:t xml:space="preserve">                                METHODOLOGY PIPELINE</w:t>
              <w:br/>
              <w:br/>
              <w:t xml:space="preserve">  +-----------------------+     +-----------------------+     +-----------------------+</w:t>
              <w:br/>
              <w:t xml:space="preserve">  |  Quantitative Stress  |     |   Qualitative User    |     |   Integrated Tri-     |</w:t>
              <w:br/>
              <w:t xml:space="preserve">  |  Testing &amp; Benchmarks | --&gt; |   Acceptance Surveys  | --&gt; |   angulation &amp;        |</w:t>
              <w:br/>
              <w:t xml:space="preserve">  |  (SQLite Engine N=5K) |     |   (TAM Scale N=50)    |     |   Synthesis Framework |</w:t>
              <w:br/>
              <w:t xml:space="preserve">  +-----------------------+     +-----------------------+     +-----------------------+</w:t>
            </w:r>
          </w:p>
        </w:tc>
      </w:tr>
    </w:tbl>
    <w:p/>
    <w:p>
      <w:r>
        <w:t>#### Data Collection Strategies</w:t>
      </w:r>
    </w:p>
    <w:p>
      <w:r>
        <w:t xml:space="preserve">1. </w:t>
      </w:r>
      <w:r>
        <w:rPr>
          <w:b/>
        </w:rPr>
        <w:t>Quantitative System Benchmarking:</w:t>
      </w:r>
      <w:r>
        <w:t xml:space="preserve"> Empirical stress testing scripts (`tests/sqlite-wal-engine.test.js` and `tests/adversarial-m1-migration.test.js`) will collect quantitative telemetry regarding database query throughput, encryption overhead (ms per megabyte), and memory utilization under concurrent read/write workloads.</w:t>
      </w:r>
    </w:p>
    <w:p>
      <w:r>
        <w:t xml:space="preserve">2. </w:t>
      </w:r>
      <w:r>
        <w:rPr>
          <w:b/>
        </w:rPr>
        <w:t>Quantitative &amp; Qualitative User Evaluation:</w:t>
      </w:r>
      <w:r>
        <w:t xml:space="preserve"> A 5-point Likert scale survey based on validated TAM/PMT instruments will be administered to N=50 domain experts (Chartered Accountants, financial planners, and individual wealth holders). Open-ended qualitative feedback will capture usability friction points.</w:t>
      </w:r>
    </w:p>
    <w:p>
      <w:r>
        <w:t>#### Data Analysis Strategy</w:t>
      </w:r>
    </w:p>
    <w:p>
      <w:r>
        <w:t>Quantitative data will be analyzed using descriptive statistics and regression analysis via SPSS to evaluate correlation between encryption latency and perceived ease of use. Qualitative survey responses will undergo thematic analysis using NVivo (Alam, 2021).</w:t>
      </w:r>
    </w:p>
    <w:p>
      <w:pPr>
        <w:keepNext/>
        <w:spacing w:before="200" w:after="80"/>
      </w:pPr>
      <w:r>
        <w:rPr>
          <w:b/>
          <w:color w:val="334155"/>
          <w:sz w:val="24"/>
        </w:rPr>
        <w:t>Ethical Considerations</w:t>
      </w:r>
    </w:p>
    <w:p>
      <w:r>
        <w:t>Conducting research involving financial technology and user credentials presents major ethical and regulatory responsibilities:</w:t>
      </w:r>
    </w:p>
    <w:p>
      <w:r>
        <w:t xml:space="preserve">1. </w:t>
      </w:r>
      <w:r>
        <w:rPr>
          <w:b/>
        </w:rPr>
        <w:t>Data Minimization &amp; Anonymization:</w:t>
      </w:r>
      <w:r>
        <w:t xml:space="preserve"> In compliance with the Australian Privacy Act 1988 and the EU General Data Protection Regulation (GDPR), all survey responses will be anonymized. No actual banking credentials or real primary financial documents (e.g., genuine tax statements, actual property deeds) will be collected during user evaluation sessions; synthetic mock profiles (`mock-legacy-user-123`) will be utilized exclusively.</w:t>
      </w:r>
    </w:p>
    <w:p>
      <w:r>
        <w:t xml:space="preserve">2. </w:t>
      </w:r>
      <w:r>
        <w:rPr>
          <w:b/>
        </w:rPr>
        <w:t>Informed Consent:</w:t>
      </w:r>
      <w:r>
        <w:t xml:space="preserve"> Participants will receive a Participant Information Sheet (PIS) and execute an Informed Consent Form explicitly detailing research objectives, voluntary participation, and the right to withdraw data within 14 days without penalty (Doloriert &amp; Sambrook, 2009).</w:t>
      </w:r>
    </w:p>
    <w:p>
      <w:r>
        <w:t xml:space="preserve">3. </w:t>
      </w:r>
      <w:r>
        <w:rPr>
          <w:b/>
        </w:rPr>
        <w:t>Cryptographic Integrity &amp; Local Isolation:</w:t>
      </w:r>
      <w:r>
        <w:t xml:space="preserve"> All experimental testing of Wealth OS will take place in isolated local sandbox environments. Encryption keys will remain strictly on client hardware, preventing accidental exposure or external data leakage.</w:t>
      </w:r>
    </w:p>
    <w:p>
      <w:r>
        <w:t>---</w:t>
      </w:r>
    </w:p>
    <w:p>
      <w:pPr>
        <w:keepNext/>
        <w:spacing w:before="280" w:after="120"/>
      </w:pPr>
      <w:r>
        <w:rPr>
          <w:b/>
          <w:color w:val="1B365D"/>
          <w:sz w:val="28"/>
        </w:rPr>
        <w:t>References</w:t>
      </w:r>
    </w:p>
    <w:p>
      <w:pPr>
        <w:spacing w:after="120"/>
        <w:ind w:left="720" w:hanging="720"/>
      </w:pPr>
      <w:r>
        <w:t>Alam, M.K., 2021. A systematic qualitative case study: questions, data collection, NVivo analysis and saturation. *Qualitative Research in Organizations and Management: An International Journal*, 16(1), pp.1-31.</w:t>
      </w:r>
    </w:p>
    <w:p>
      <w:pPr>
        <w:spacing w:after="120"/>
        <w:ind w:left="720" w:hanging="720"/>
      </w:pPr>
      <w:r>
        <w:t>Creswell, J.W. and Creswell, J.D., 2022. *Research Design: Qualitative, Quantitative, and Mixed Methods Approaches*. 6th edn. London: Sage.</w:t>
      </w:r>
    </w:p>
    <w:p>
      <w:pPr>
        <w:spacing w:after="120"/>
        <w:ind w:left="720" w:hanging="720"/>
      </w:pPr>
      <w:r>
        <w:t>Davis, F.D., 1989. Perceived usefulness, perceived ease of use, and user acceptance of information technology. *MIS Quarterly*, 13(3), pp.319-340.</w:t>
      </w:r>
    </w:p>
    <w:p>
      <w:pPr>
        <w:spacing w:after="120"/>
        <w:ind w:left="720" w:hanging="720"/>
      </w:pPr>
      <w:r>
        <w:t>Dinev, T., Kapoor, B. and Gopal, R., 2015. User paranoia and security controls in cloud-based services. *Journal of Management Information Systems*, 32(2), pp.160-198.</w:t>
      </w:r>
    </w:p>
    <w:p>
      <w:pPr>
        <w:spacing w:after="120"/>
        <w:ind w:left="720" w:hanging="720"/>
      </w:pPr>
      <w:r>
        <w:t>Doloriert, C. and Sambrook, S., 2009. Ethical confessions of the “I” of autoethnography: the student's dilemma. *Qualitative Research in Organizations and Management: An International Journal*, 4(1), pp.27-45.</w:t>
      </w:r>
    </w:p>
    <w:p>
      <w:pPr>
        <w:spacing w:after="120"/>
        <w:ind w:left="720" w:hanging="720"/>
      </w:pPr>
      <w:r>
        <w:t>Eisenhardt, K.M., 1989. Building theories from case study research. *Academy of Management Review*, 14(4), pp.532-550.</w:t>
      </w:r>
    </w:p>
    <w:p>
      <w:pPr>
        <w:spacing w:after="120"/>
        <w:ind w:left="720" w:hanging="720"/>
      </w:pPr>
      <w:r>
        <w:t>Gai, K., Qiu, M., Tao, L. and Liu, X., 2016. Intrusion detection techniques for mobile cloud computing in heterogeneous networks. *IEEE Network*, 30(2), pp.56-65.</w:t>
      </w:r>
    </w:p>
    <w:p>
      <w:pPr>
        <w:spacing w:after="120"/>
        <w:ind w:left="720" w:hanging="720"/>
      </w:pPr>
      <w:r>
        <w:t>Grand View Research, 2023. *Personal Financial Management Software Market Size, Share &amp; Trends Analysis Report By Solution, By Key Player, By Region, And Segment Forecasts 2023 - 2030*. San Francisco: Grand View Research.</w:t>
      </w:r>
    </w:p>
    <w:p>
      <w:pPr>
        <w:spacing w:after="120"/>
        <w:ind w:left="720" w:hanging="720"/>
      </w:pPr>
      <w:r>
        <w:t>Kleppmann, M., Wiggins, A., van Hardenberg, P. and McGranaghan, M., 2019. Local-first software: you own your data, in spite of the cloud. In *Proceedings of the 2019 ACM SIGPLAN International Symposium on New Ideas, New Paradigms, and Reflections on Programming and Software (Onward!)*, pp.154-178.</w:t>
      </w:r>
    </w:p>
    <w:p>
      <w:pPr>
        <w:spacing w:after="120"/>
        <w:ind w:left="720" w:hanging="720"/>
      </w:pPr>
      <w:r>
        <w:t>OECD, 2022. *Tax Co-operation for Financial Transparency: Global Trends in Personal Income Tax Compliance*. Paris: OECD Publishing.</w:t>
      </w:r>
    </w:p>
    <w:p>
      <w:pPr>
        <w:spacing w:after="120"/>
        <w:ind w:left="720" w:hanging="720"/>
      </w:pPr>
      <w:r>
        <w:t>Reserve Bank of India, 2023. *Annual Report 2022-23: Unclaimed Deposits and Financial Sector Resilience*. Mumbai: Reserve Bank of India.</w:t>
      </w:r>
    </w:p>
    <w:p>
      <w:pPr>
        <w:spacing w:after="120"/>
        <w:ind w:left="720" w:hanging="720"/>
      </w:pPr>
      <w:r>
        <w:t>Rogers, R.W., 1975. A protection motivation theory of fear appeals and attitude change. *Journal of Psychology*, 91(1), pp.93-114.</w:t>
      </w:r>
    </w:p>
    <w:p>
      <w:pPr>
        <w:spacing w:after="120"/>
        <w:ind w:left="720" w:hanging="720"/>
      </w:pPr>
      <w:r>
        <w:t>Stewart, H. and Jürjens, J., 2018. Data security and consumer trust in fintech platforms. *Journal of Cybersecurity Management*, 6(2), pp.112-134.</w:t>
      </w:r>
    </w:p>
    <w:p>
      <w:pPr>
        <w:spacing w:after="120"/>
        <w:ind w:left="720" w:hanging="720"/>
      </w:pPr>
      <w:r>
        <w:t>Venkatesh, V., Thong, J.Y. and Xu, X., 2012. Consumer acceptance and use of information technology: extending the unified theory of acceptance and use of technology. *MIS Quarterly*, 36(1), pp.157-178.</w:t>
      </w:r>
    </w:p>
    <w:p>
      <w:pPr>
        <w:spacing w:after="120"/>
        <w:ind w:left="720" w:hanging="720"/>
      </w:pPr>
      <w:r>
        <w:t>Yin, R.K., 2018. *Case Study Research and Applications: Design and Methods*. 6th edn. Thousand Oaks: Sage.</w:t>
      </w:r>
    </w:p>
    <w:p>
      <w:r>
        <w:t>---</w:t>
      </w:r>
    </w:p>
    <w:p>
      <w:pPr>
        <w:keepNext/>
        <w:spacing w:before="280" w:after="120"/>
      </w:pPr>
      <w:r>
        <w:rPr>
          <w:b/>
          <w:color w:val="1B365D"/>
          <w:sz w:val="28"/>
        </w:rPr>
        <w:t>AI Declaration</w:t>
      </w:r>
    </w:p>
    <w:p>
      <w:r>
        <w:t>I acknowledge the use of [1] Claude 3.7 Sonnet (https://www.anthropic.com/) for [2] structuring section headings, editing academic phrasing, and formatting references to the UOW Harvard style. On 30 August 2026, I entered the following prompt:</w:t>
      </w:r>
    </w:p>
    <w:p>
      <w:r>
        <w:t>[3] *"Format the references according to UOW Harvard guidelines with hanging indents and refine the literature review signposting."*</w:t>
      </w:r>
    </w:p>
    <w:p>
      <w:r>
        <w:t>[4] The output from the generative artificial intelligence was modified and adapted to ensure strict compliance with UOW assignment criteria and specific project parameters of Wealth OS.</w:t>
      </w:r>
    </w:p>
    <w:p>
      <w:r>
        <w:t>---</w:t>
      </w:r>
    </w:p>
    <w:p>
      <w:pPr>
        <w:keepNext/>
        <w:spacing w:before="280" w:after="120"/>
      </w:pPr>
      <w:r>
        <w:rPr>
          <w:b/>
          <w:color w:val="1B365D"/>
          <w:sz w:val="28"/>
        </w:rPr>
        <w:t>Appendices</w:t>
      </w:r>
    </w:p>
    <w:p>
      <w:pPr>
        <w:keepNext/>
        <w:spacing w:before="200" w:after="80"/>
      </w:pPr>
      <w:r>
        <w:rPr>
          <w:b/>
          <w:color w:val="334155"/>
          <w:sz w:val="24"/>
        </w:rPr>
        <w:t>Appendix 1: PESTEL Analysis of the Personal Wealth &amp; Fintech Industry</w:t>
      </w:r>
    </w:p>
    <w:tbl>
      <w:tblPr>
        <w:tblW w:type="auto" w:w="0"/>
        <w:jc w:val="center"/>
        <w:tblLook w:firstColumn="1" w:firstRow="1" w:lastColumn="0" w:lastRow="0" w:noHBand="0" w:noVBand="1" w:val="04A0"/>
      </w:tblPr>
      <w:tblGrid>
        <w:gridCol w:w="3120"/>
        <w:gridCol w:w="3120"/>
        <w:gridCol w:w="3120"/>
      </w:tblGrid>
      <w:tr>
        <w:tc>
          <w:tcPr>
            <w:tcW w:type="dxa" w:w="3120"/>
            <w:shd w:fill="1E293B"/>
          </w:tcPr>
          <w:p>
            <w:pPr>
              <w:spacing w:after="40" w:line="264" w:lineRule="auto"/>
            </w:pPr>
            <w:r>
              <w:rPr>
                <w:b/>
                <w:color w:val="FFFFFF"/>
                <w:sz w:val="20"/>
              </w:rPr>
              <w:t>Factor</w:t>
            </w:r>
          </w:p>
        </w:tc>
        <w:tc>
          <w:tcPr>
            <w:tcW w:type="dxa" w:w="3120"/>
            <w:shd w:fill="1E293B"/>
          </w:tcPr>
          <w:p>
            <w:pPr>
              <w:spacing w:after="40" w:line="264" w:lineRule="auto"/>
            </w:pPr>
            <w:r>
              <w:rPr>
                <w:b/>
                <w:color w:val="FFFFFF"/>
                <w:sz w:val="20"/>
              </w:rPr>
              <w:t>Strategic Macro-Environmental Driver</w:t>
            </w:r>
          </w:p>
        </w:tc>
        <w:tc>
          <w:tcPr>
            <w:tcW w:type="dxa" w:w="3120"/>
            <w:shd w:fill="1E293B"/>
          </w:tcPr>
          <w:p>
            <w:pPr>
              <w:spacing w:after="40" w:line="264" w:lineRule="auto"/>
            </w:pPr>
            <w:r>
              <w:rPr>
                <w:b/>
                <w:color w:val="FFFFFF"/>
                <w:sz w:val="20"/>
              </w:rPr>
              <w:t>Impact on Wealth OS Project</w:t>
            </w:r>
          </w:p>
        </w:tc>
      </w:tr>
      <w:tr>
        <w:tc>
          <w:tcPr>
            <w:tcW w:type="dxa" w:w="3120"/>
            <w:shd w:fill="F8FAFC"/>
          </w:tcPr>
          <w:p>
            <w:pPr>
              <w:spacing w:after="40" w:line="264" w:lineRule="auto"/>
            </w:pPr>
            <w:r>
              <w:rPr>
                <w:color w:val="334155"/>
                <w:sz w:val="19"/>
              </w:rPr>
              <w:t>Political</w:t>
            </w:r>
          </w:p>
        </w:tc>
        <w:tc>
          <w:tcPr>
            <w:tcW w:type="dxa" w:w="3120"/>
            <w:shd w:fill="F8FAFC"/>
          </w:tcPr>
          <w:p>
            <w:pPr>
              <w:spacing w:after="40" w:line="264" w:lineRule="auto"/>
            </w:pPr>
            <w:r>
              <w:rPr>
                <w:color w:val="334155"/>
                <w:sz w:val="19"/>
              </w:rPr>
              <w:t>Government initiatives promoting digital financial inclusion and open banking frameworks (e.g., Account Aggregator in India, CDR in Australia).</w:t>
            </w:r>
          </w:p>
        </w:tc>
        <w:tc>
          <w:tcPr>
            <w:tcW w:type="dxa" w:w="3120"/>
            <w:shd w:fill="F8FAFC"/>
          </w:tcPr>
          <w:p>
            <w:pPr>
              <w:spacing w:after="40" w:line="264" w:lineRule="auto"/>
            </w:pPr>
            <w:r>
              <w:rPr>
                <w:color w:val="334155"/>
                <w:sz w:val="19"/>
              </w:rPr>
              <w:t>Creates regulatory tailwinds for unified financial dashboards while requiring compliance with sovereign data mandates.</w:t>
            </w:r>
          </w:p>
        </w:tc>
      </w:tr>
      <w:tr>
        <w:tc>
          <w:tcPr>
            <w:tcW w:type="dxa" w:w="3120"/>
            <w:shd w:fill="FFFFFF"/>
          </w:tcPr>
          <w:p>
            <w:pPr>
              <w:spacing w:after="40" w:line="264" w:lineRule="auto"/>
            </w:pPr>
            <w:r>
              <w:rPr>
                <w:color w:val="334155"/>
                <w:sz w:val="19"/>
              </w:rPr>
              <w:t>Economic</w:t>
            </w:r>
          </w:p>
        </w:tc>
        <w:tc>
          <w:tcPr>
            <w:tcW w:type="dxa" w:w="3120"/>
            <w:shd w:fill="FFFFFF"/>
          </w:tcPr>
          <w:p>
            <w:pPr>
              <w:spacing w:after="40" w:line="264" w:lineRule="auto"/>
            </w:pPr>
            <w:r>
              <w:rPr>
                <w:color w:val="334155"/>
                <w:sz w:val="19"/>
              </w:rPr>
              <w:t>Rising inflation, interest rate volatility, and shifting tax regimes (e.g., Indian New vs. Old Tax Regime choices).</w:t>
            </w:r>
          </w:p>
        </w:tc>
        <w:tc>
          <w:tcPr>
            <w:tcW w:type="dxa" w:w="3120"/>
            <w:shd w:fill="FFFFFF"/>
          </w:tcPr>
          <w:p>
            <w:pPr>
              <w:spacing w:after="40" w:line="264" w:lineRule="auto"/>
            </w:pPr>
            <w:r>
              <w:rPr>
                <w:color w:val="334155"/>
                <w:sz w:val="19"/>
              </w:rPr>
              <w:t>Increases consumer demand for real-time tax optimization and dynamic loan/asset net-worth tracking.</w:t>
            </w:r>
          </w:p>
        </w:tc>
      </w:tr>
      <w:tr>
        <w:tc>
          <w:tcPr>
            <w:tcW w:type="dxa" w:w="3120"/>
            <w:shd w:fill="F8FAFC"/>
          </w:tcPr>
          <w:p>
            <w:pPr>
              <w:spacing w:after="40" w:line="264" w:lineRule="auto"/>
            </w:pPr>
            <w:r>
              <w:rPr>
                <w:color w:val="334155"/>
                <w:sz w:val="19"/>
              </w:rPr>
              <w:t>Social</w:t>
            </w:r>
          </w:p>
        </w:tc>
        <w:tc>
          <w:tcPr>
            <w:tcW w:type="dxa" w:w="3120"/>
            <w:shd w:fill="F8FAFC"/>
          </w:tcPr>
          <w:p>
            <w:pPr>
              <w:spacing w:after="40" w:line="264" w:lineRule="auto"/>
            </w:pPr>
            <w:r>
              <w:rPr>
                <w:color w:val="334155"/>
                <w:sz w:val="19"/>
              </w:rPr>
              <w:t>Increasing tech-savviness among Gen Z/Millennials paired with growing consumer distrust of centralized data brokers.</w:t>
            </w:r>
          </w:p>
        </w:tc>
        <w:tc>
          <w:tcPr>
            <w:tcW w:type="dxa" w:w="3120"/>
            <w:shd w:fill="F8FAFC"/>
          </w:tcPr>
          <w:p>
            <w:pPr>
              <w:spacing w:after="40" w:line="264" w:lineRule="auto"/>
            </w:pPr>
            <w:r>
              <w:rPr>
                <w:color w:val="334155"/>
                <w:sz w:val="19"/>
              </w:rPr>
              <w:t>Drives adoption of zero-knowledge, local-first applications where users retain complete data ownership.</w:t>
            </w:r>
          </w:p>
        </w:tc>
      </w:tr>
      <w:tr>
        <w:tc>
          <w:tcPr>
            <w:tcW w:type="dxa" w:w="3120"/>
            <w:shd w:fill="FFFFFF"/>
          </w:tcPr>
          <w:p>
            <w:pPr>
              <w:spacing w:after="40" w:line="264" w:lineRule="auto"/>
            </w:pPr>
            <w:r>
              <w:rPr>
                <w:color w:val="334155"/>
                <w:sz w:val="19"/>
              </w:rPr>
              <w:t>Technological</w:t>
            </w:r>
          </w:p>
        </w:tc>
        <w:tc>
          <w:tcPr>
            <w:tcW w:type="dxa" w:w="3120"/>
            <w:shd w:fill="FFFFFF"/>
          </w:tcPr>
          <w:p>
            <w:pPr>
              <w:spacing w:after="40" w:line="264" w:lineRule="auto"/>
            </w:pPr>
            <w:r>
              <w:rPr>
                <w:color w:val="334155"/>
                <w:sz w:val="19"/>
              </w:rPr>
              <w:t>Advances in edge computing, browser-based WASM/SQLite engines, and client-side AES-256-GCM cryptography.</w:t>
            </w:r>
          </w:p>
        </w:tc>
        <w:tc>
          <w:tcPr>
            <w:tcW w:type="dxa" w:w="3120"/>
            <w:shd w:fill="FFFFFF"/>
          </w:tcPr>
          <w:p>
            <w:pPr>
              <w:spacing w:after="40" w:line="264" w:lineRule="auto"/>
            </w:pPr>
            <w:r>
              <w:rPr>
                <w:color w:val="334155"/>
                <w:sz w:val="19"/>
              </w:rPr>
              <w:t>Enables high-performance relational database execution directly on client hardware without cloud server overhead.</w:t>
            </w:r>
          </w:p>
        </w:tc>
      </w:tr>
      <w:tr>
        <w:tc>
          <w:tcPr>
            <w:tcW w:type="dxa" w:w="3120"/>
            <w:shd w:fill="F8FAFC"/>
          </w:tcPr>
          <w:p>
            <w:pPr>
              <w:spacing w:after="40" w:line="264" w:lineRule="auto"/>
            </w:pPr>
            <w:r>
              <w:rPr>
                <w:color w:val="334155"/>
                <w:sz w:val="19"/>
              </w:rPr>
              <w:t>Environmental</w:t>
            </w:r>
          </w:p>
        </w:tc>
        <w:tc>
          <w:tcPr>
            <w:tcW w:type="dxa" w:w="3120"/>
            <w:shd w:fill="F8FAFC"/>
          </w:tcPr>
          <w:p>
            <w:pPr>
              <w:spacing w:after="40" w:line="264" w:lineRule="auto"/>
            </w:pPr>
            <w:r>
              <w:rPr>
                <w:color w:val="334155"/>
                <w:sz w:val="19"/>
              </w:rPr>
              <w:t>Corporate mandates for paperless financial administration and electronic record archiving.</w:t>
            </w:r>
          </w:p>
        </w:tc>
        <w:tc>
          <w:tcPr>
            <w:tcW w:type="dxa" w:w="3120"/>
            <w:shd w:fill="F8FAFC"/>
          </w:tcPr>
          <w:p>
            <w:pPr>
              <w:spacing w:after="40" w:line="264" w:lineRule="auto"/>
            </w:pPr>
            <w:r>
              <w:rPr>
                <w:color w:val="334155"/>
                <w:sz w:val="19"/>
              </w:rPr>
              <w:t>Encourages complete digitization of physical property deeds, tax receipts, and estate wills into digital vaults.</w:t>
            </w:r>
          </w:p>
        </w:tc>
      </w:tr>
      <w:tr>
        <w:tc>
          <w:tcPr>
            <w:tcW w:type="dxa" w:w="3120"/>
            <w:shd w:fill="FFFFFF"/>
          </w:tcPr>
          <w:p>
            <w:pPr>
              <w:spacing w:after="40" w:line="264" w:lineRule="auto"/>
            </w:pPr>
            <w:r>
              <w:rPr>
                <w:color w:val="334155"/>
                <w:sz w:val="19"/>
              </w:rPr>
              <w:t>Legal</w:t>
            </w:r>
          </w:p>
        </w:tc>
        <w:tc>
          <w:tcPr>
            <w:tcW w:type="dxa" w:w="3120"/>
            <w:shd w:fill="FFFFFF"/>
          </w:tcPr>
          <w:p>
            <w:pPr>
              <w:spacing w:after="40" w:line="264" w:lineRule="auto"/>
            </w:pPr>
            <w:r>
              <w:rPr>
                <w:color w:val="334155"/>
                <w:sz w:val="19"/>
              </w:rPr>
              <w:t>Stringent global data protection laws (GDPR, Australia Privacy Act 1988, India DPDP Act 2023).</w:t>
            </w:r>
          </w:p>
        </w:tc>
        <w:tc>
          <w:tcPr>
            <w:tcW w:type="dxa" w:w="3120"/>
            <w:shd w:fill="FFFFFF"/>
          </w:tcPr>
          <w:p>
            <w:pPr>
              <w:spacing w:after="40" w:line="264" w:lineRule="auto"/>
            </w:pPr>
            <w:r>
              <w:rPr>
                <w:color w:val="334155"/>
                <w:sz w:val="19"/>
              </w:rPr>
              <w:t>Imposes severe penalties for cloud data breaches, making Wealth OS's zero-trust local storage a major legal risk mitigant.</w:t>
            </w:r>
          </w:p>
        </w:tc>
      </w:tr>
    </w:tbl>
    <w:p/>
    <w:p>
      <w:r>
        <w:t>---</w:t>
      </w:r>
    </w:p>
    <w:p>
      <w:pPr>
        <w:keepNext/>
        <w:spacing w:before="200" w:after="80"/>
      </w:pPr>
      <w:r>
        <w:rPr>
          <w:b/>
          <w:color w:val="334155"/>
          <w:sz w:val="24"/>
        </w:rPr>
        <w:t>Appendix 2: Porter’s Five Forces Analysis of Personal Wealth Management Software</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line="240" w:lineRule="auto" w:after="0"/>
            </w:pPr>
            <w:r>
              <w:rPr>
                <w:rFonts w:ascii="Consolas" w:hAnsi="Consolas"/>
                <w:color w:val="0F172A"/>
                <w:sz w:val="17"/>
              </w:rPr>
              <w:t xml:space="preserve">                             PORTER'S FIVE FORCES</w:t>
              <w:br/>
              <w:br/>
              <w:t xml:space="preserve">                         Threat of New Entrants</w:t>
              <w:br/>
              <w:t xml:space="preserve">                               [ MEDIUM ]</w:t>
              <w:br/>
              <w:t xml:space="preserve">                                   |</w:t>
              <w:br/>
              <w:t xml:space="preserve">                                   v</w:t>
              <w:br/>
              <w:t xml:space="preserve">    Bargaining Power      +-----------------+      Bargaining Power</w:t>
              <w:br/>
              <w:t xml:space="preserve">      of Suppliers  ---&gt;  | RIVALRY AMONG   |  &lt;---  of Buyers</w:t>
              <w:br/>
              <w:t xml:space="preserve">        [ LOW ]           | EXISTING FIRMS  |        [ HIGH ]</w:t>
              <w:br/>
              <w:t xml:space="preserve">                          |    [ HIGH ]     |</w:t>
              <w:br/>
              <w:t xml:space="preserve">                          +-----------------+</w:t>
              <w:br/>
              <w:t xml:space="preserve">                                   ^</w:t>
              <w:br/>
              <w:t xml:space="preserve">                                   |</w:t>
              <w:br/>
              <w:t xml:space="preserve">                         Threat of Substitutes</w:t>
              <w:br/>
              <w:t xml:space="preserve">                               [ HIGH ]</w:t>
            </w:r>
          </w:p>
        </w:tc>
      </w:tr>
    </w:tbl>
    <w:p/>
    <w:p>
      <w:r>
        <w:t xml:space="preserve">1. </w:t>
      </w:r>
      <w:r>
        <w:rPr>
          <w:b/>
        </w:rPr>
        <w:t>Threat of New Entrants (Medium):</w:t>
      </w:r>
      <w:r>
        <w:t xml:space="preserve"> High technical complexity in multi-regime tax math and cryptographic vault security creates moderate barriers, though open-source web frameworks lower initial code development costs.</w:t>
      </w:r>
    </w:p>
    <w:p>
      <w:r>
        <w:t xml:space="preserve">2. </w:t>
      </w:r>
      <w:r>
        <w:rPr>
          <w:b/>
        </w:rPr>
        <w:t>Bargaining Power of Buyers (High):</w:t>
      </w:r>
      <w:r>
        <w:t xml:space="preserve"> Consumers have access to numerous free banking apps; switching costs are low unless a platform offers unique value such as zero-knowledge privacy and total data ownership.</w:t>
      </w:r>
    </w:p>
    <w:p>
      <w:r>
        <w:t xml:space="preserve">3. </w:t>
      </w:r>
      <w:r>
        <w:rPr>
          <w:b/>
        </w:rPr>
        <w:t>Bargaining Power of Suppliers (Low):</w:t>
      </w:r>
      <w:r>
        <w:t xml:space="preserve"> Standardized web APIs, open-source Node.js libraries, and SQLite engines mean foundational tech suppliers exert minimal leverage.</w:t>
      </w:r>
    </w:p>
    <w:p>
      <w:r>
        <w:t xml:space="preserve">4. </w:t>
      </w:r>
      <w:r>
        <w:rPr>
          <w:b/>
        </w:rPr>
        <w:t>Threat of Substitutes (High):</w:t>
      </w:r>
      <w:r>
        <w:t xml:space="preserve"> Manual Excel spreadsheets, physical binder storage, and traditional CA consulting represent established substitute habits that Wealth OS must overcome through superior usability.</w:t>
      </w:r>
    </w:p>
    <w:p>
      <w:r>
        <w:t xml:space="preserve">5. </w:t>
      </w:r>
      <w:r>
        <w:rPr>
          <w:b/>
        </w:rPr>
        <w:t>Rivalry Among Existing Competitors (High):</w:t>
      </w:r>
      <w:r>
        <w:t xml:space="preserve"> Intense competition from cloud-hosted PFM apps (e.g., Mint, YNAB, Kubera). Wealth OS differentiates itself through its local-first zero-knowledge architecture and built-in digital will succession radar.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