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2"/>
          <w:szCs w:val="32"/>
        </w:rPr>
        <w:t xml:space="preserve">ASRE: An Autonomous Service Resolution Engine for</w:t>
      </w:r>
    </w:p>
    <w:p>
      <w:pPr>
        <w:spacing w:after="200" w:before="0"/>
        <w:jc w:val="center"/>
      </w:pPr>
      <w:r>
        <w:rPr>
          <w:rFonts w:ascii="Times New Roman" w:cs="Times New Roman" w:eastAsia="Times New Roman" w:hAnsi="Times New Roman"/>
          <w:b/>
          <w:bCs/>
          <w:sz w:val="32"/>
          <w:szCs w:val="32"/>
        </w:rPr>
        <w:t xml:space="preserve">Meteorological Force Majeure Adjudication in Renewable Energy SLA Disputes</w:t>
      </w:r>
    </w:p>
    <w:p>
      <w:pPr>
        <w:spacing w:after="60" w:before="0"/>
        <w:jc w:val="center"/>
      </w:pPr>
      <w:r>
        <w:rPr>
          <w:rFonts w:ascii="Times New Roman" w:cs="Times New Roman" w:eastAsia="Times New Roman" w:hAnsi="Times New Roman"/>
          <w:sz w:val="20"/>
          <w:szCs w:val="20"/>
        </w:rPr>
        <w:t xml:space="preserve">Prajwal Patil</w:t>
      </w:r>
    </w:p>
    <w:p>
      <w:pPr>
        <w:spacing w:after="240" w:before="0"/>
        <w:jc w:val="center"/>
      </w:pPr>
      <w:r>
        <w:rPr>
          <w:rFonts w:ascii="Times New Roman" w:cs="Times New Roman" w:eastAsia="Times New Roman" w:hAnsi="Times New Roman"/>
          <w:color w:val="555555"/>
          <w:sz w:val="18"/>
          <w:szCs w:val="18"/>
        </w:rPr>
        <w:t xml:space="preserve">Project DREADNOUGHT, STORM Platform — prajwal2105patil@gmail.com</w:t>
      </w:r>
    </w:p>
    <w:p>
      <w:pPr>
        <w:spacing w:after="80" w:before="160"/>
        <w:jc w:val="both"/>
      </w:pPr>
      <w:r>
        <w:rPr>
          <w:rFonts w:ascii="Times New Roman" w:cs="Times New Roman" w:eastAsia="Times New Roman" w:hAnsi="Times New Roman"/>
          <w:b/>
          <w:bCs/>
          <w:sz w:val="20"/>
          <w:szCs w:val="20"/>
        </w:rPr>
        <w:t xml:space="preserve">Abstract</w:t>
      </w:r>
    </w:p>
    <w:p>
      <w:pPr>
        <w:spacing w:after="120" w:before="0"/>
        <w:jc w:val="both"/>
      </w:pPr>
      <w:r>
        <w:rPr>
          <w:rFonts w:ascii="Times New Roman" w:cs="Times New Roman" w:eastAsia="Times New Roman" w:hAnsi="Times New Roman"/>
          <w:sz w:val="18"/>
          <w:szCs w:val="18"/>
        </w:rPr>
        <w:t xml:space="preserve">Force majeure adjudication in renewable energy power purchase agreements (PPAs) currently relies on expensive, slow, and often inadmissible manual processes. Disputes before India's Central Electricity Regulatory Commission (CERC) and the Appellate Tribunal for Electricity (APTEL) routinely fail due to evidentiary inadequacy — specifically, the absence of certified, station-proximate meteorological records. This paper presents ASRE (Autonomous Service Resolution Engine), a production-grade API system that resolves weather-based SLA force majeure claims in under five seconds using a LangGraph cyclical state machine, NOAA Integrated Surface Database (ISD) public records, and an Inverse Distance Weighting (IDW) spatial confidence model. ASRE accepts natural language claim inputs, generates partition-compliant SQL against a Hive-partitioned Parquet data store, executes under a 10 GB cost cap, and emits legally structured JSON adjudications with Beaufort-classified wind exceedance data. The IDW model quantifies the spatial relationship between claim asset coordinates and the nearest NOAA ISD monitoring station, providing a defensible confidence weight for tribunal proceedings. A seven-scenario live-fire evaluation demonstrates 100% accuracy across validated, rejected, and edge-case inputs, with sub-5-second end-to-end latency and per-query cost under USD 0.06 in production. ASRE targets a 99.88% reduction in adjudication cycle time and eliminates a USD 50,000 per-dispute manual process.</w:t>
      </w:r>
    </w:p>
    <w:p>
      <w:pPr>
        <w:spacing w:after="240" w:before="8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 Force majeure, renewable energy, NOAA ISD, Inverse Distance Weighting, LangGraph, natural language processing, CERC, APTEL, legal admissibility, DuckDB, BigQuery.</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100" w:before="200"/>
        <w:jc w:val="left"/>
      </w:pPr>
      <w:r>
        <w:rPr>
          <w:rFonts w:ascii="Times New Roman" w:cs="Times New Roman" w:eastAsia="Times New Roman" w:hAnsi="Times New Roman"/>
          <w:b/>
          <w:bCs/>
          <w:color w:val="000000"/>
          <w:sz w:val="22"/>
          <w:szCs w:val="22"/>
        </w:rPr>
        <w:t xml:space="preserve">I. INTRODUCTION</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Renewable energy integration in developing economies proceeds through long-term Power Purchase Agreements (PPAs) between independent power producers (IPPs) and state procurers. These contracts contain force majeure clauses that permit extensions of Scheduled Commissioning Dates (SCoD) when extreme weather events prevent timely project completion. In India, disputes arising from these clauses are adjudicated before the Central Electricity Regulatory Commission (CERC) and appealed to the Appellate Tribunal for Electricity (APTEL).</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current adjudication process suffers from a fundamental evidentiary failure: petitioners routinely submit newspaper clippings, press reports, or anecdotal accounts in lieu of certified meteorological records. In Petition No. 133/MP/2021 (M/s ReNew Power Private Limited v. Solar Energy Corporation of India, July 29, 2022), CERC rejected a 250 MW wind force majeure plea in Kutch, Gujarat precisely because the submitted evidence did not constitute an admissible meteorological record under the Indian Evidence Act. The consequence is a 60-day adversarial adjudication process costing in excess of USD 50,000 per dispute, with an uncertain outcome that rests on whether credible meteorological evidence was assembled post-hoc.</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ASRE directly eliminates this failure. It is a REST API system that accepts a natural language force majeure claim, queries NOAA Integrated Surface Database (ISD) certified public records, applies spatial confidence weighting, and returns a legally structured adjudication JSON — in under five seconds. The system is designed for deployment as a B2B Data-as-a-Service (DaaS) platform, targeting legal counsels, IPPs, and energy regulators.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principal contributions of this paper are: (1) a LangGraph-based four-node cyclical state machine for structured claim processing; (2) an IDW spatial confidence model with a zero-distance guard for exact station-asset coordinate coincidence; (3) a partition-compliant SQL generation pipeline enforcing Year/Month filters to ensure FinOps compliance on columnar data warehouses; (4) a complete live-fire evaluation across seven adversarial test scenarios; and (5) a legal admissibility framework grounding ASRE outputs in NOAA Rule 803(8), Section 65B of the IT Act 2000, and Section 78(6) of the Indian Evidence Act.</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II. RELATED WORK</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Weather-based contract dispute resolution has been studied in the context of agricultural insurance [1], shipping demurrage [2], and aviation delay compensation [3]. However, automated adjudication for renewable energy SLA force majeure claims remains largely unaddressed in the literature.</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Spatial interpolation of meteorological data has a well-established foundation. IDW interpolation was formalized by Shepard [4] and has been applied to wind resource estimation [5], precipitation mapping [6], and temperature field reconstruction [7]. The power parameter selection for IDW (p = 2) has been validated for wind speed interpolation in heterogeneous terrain [8].</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use of NOAA ISD data in legal proceedings is supported by its classification as a public record under the Federal Rules of Evidence Rule 803(8), and analogously under Section 78(6) of the Indian Evidence Act for public documents. Section 65B of the Indian Information Technology Act 2000 provides the certification standard for electronic records to be admitted as documentary evidence in Indian courts [9].</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LangGraph, introduced by LangChain [10], provides a graph-based orchestration framework for stateful multi-agent workflows. Its cyclical state machine model, with explicit node routing and state propagation, is well-suited to multi-step claim processing where conditional branching and loop control are required. Prior applications have focused on RAG pipelines [11] and autonomous code agents [12]; this paper demonstrates its application in legal-technical adjudication.</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DuckDB has emerged as a high-performance analytical engine for embedded OLAP workloads [13]. Its native Parquet support and SQL compatibility with BigQuery partition filter syntax enable seamless local-to-cloud migration, a critical capability for cost-constrained development pipelines.</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III. SYSTEM ARCHITECTURE</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ASRE is implemented as a FastAPI REST service orchestrated by a LangGraph cyclical state machine. The system processes claims through four sequential nodes, with conditional routing logic determining the execution path based on intent validation at Node 1.</w:t>
      </w:r>
    </w:p>
    <w:p>
      <w:pPr>
        <w:spacing w:after="80" w:before="160"/>
        <w:jc w:val="left"/>
      </w:pPr>
      <w:r>
        <w:rPr>
          <w:rFonts w:ascii="Times New Roman" w:cs="Times New Roman" w:eastAsia="Times New Roman" w:hAnsi="Times New Roman"/>
          <w:b/>
          <w:bCs/>
          <w:color w:val="000000"/>
          <w:sz w:val="20"/>
          <w:szCs w:val="20"/>
        </w:rPr>
        <w:t xml:space="preserve">A. State Machine Design</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LangGraph state machine operates on a typed ClaimState dictionary that carries all intermediate results between nodes. The routing function route_after_intent directs validated claims to the SQL generator and routes rejected or unparseable claims directly to the Adjudicator, which serves as the terminal node for all execution paths including error handling.</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6"/>
                <w:szCs w:val="16"/>
              </w:rPr>
              <w:t xml:space="preserve">Node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6"/>
                <w:szCs w:val="16"/>
              </w:rPr>
              <w:t xml:space="preserve">Name</w:t>
            </w:r>
          </w:p>
        </w:tc>
        <w:tc>
          <w:tcPr>
            <w:tcW w:type="dxa" w:w="50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6"/>
                <w:szCs w:val="16"/>
              </w:rPr>
              <w:t xml:space="preserve">Function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Node 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Intent Router</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Validates claim payload; enforces weather/SLA scope; rejects malformed or out-of-scope inputs before any database access.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Node 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SQL Generator</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Translates natural language claim into parameterized DuckDB/BigQuery SQL with mandatory Year/Month partition filters.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Node 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Execution Cage</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Executes SQL against local DuckDB (dev) or BigQuery with 10 GB byte-billed cap (prod); returns structured result set.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Node 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Adjudicator</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6"/>
                <w:szCs w:val="16"/>
              </w:rPr>
              <w:t xml:space="preserve">Applies IDW spatial confidence, Beaufort classification, exceedance counting; emits legally structured JSON adjudication.</w:t>
            </w:r>
          </w:p>
        </w:tc>
      </w:tr>
    </w:tbl>
    <w:p>
      <w:pPr>
        <w:spacing w:after="160" w:before="80"/>
        <w:jc w:val="center"/>
      </w:pPr>
      <w:r>
        <w:rPr>
          <w:rFonts w:ascii="Times New Roman" w:cs="Times New Roman" w:eastAsia="Times New Roman" w:hAnsi="Times New Roman"/>
          <w:color w:val="444444"/>
          <w:sz w:val="18"/>
          <w:szCs w:val="18"/>
        </w:rPr>
        <w:t xml:space="preserve">Table I: ASRE Four-Node LangGraph State Machine</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80" w:before="160"/>
        <w:jc w:val="left"/>
      </w:pPr>
      <w:r>
        <w:rPr>
          <w:rFonts w:ascii="Times New Roman" w:cs="Times New Roman" w:eastAsia="Times New Roman" w:hAnsi="Times New Roman"/>
          <w:b/>
          <w:bCs/>
          <w:color w:val="000000"/>
          <w:sz w:val="20"/>
          <w:szCs w:val="20"/>
        </w:rPr>
        <w:t xml:space="preserve">B. Data Layer</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In development, ASRE operates against a 100 MB Hive-partitioned Parquet sample stored locally and queried via DuckDB. Partition structure follows the schema: year (INT64), month (INT64), station_id (STRING), wind_speed_ms (FLOAT64), with auxiliary meteorological fields. In production, an identical BigQuery table is used with the maximum_bytes_billed parameter set to 10,737,418,240 bytes (10 GB) per query to enforce hard cost caps.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NOAA ISD station registry covers 18 verified stations across the primary Indian renewable energy deployment zones: Gujarat/Kutch, Rajasthan, Maharashtra, and Tamil Nadu. Station coordinates are sourced from the NCEI/WMO database and verified against NOAA published metadata.</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500"/>
        <w:gridCol w:w="1500"/>
        <w:gridCol w:w="1860"/>
      </w:tblGrid>
      <w:tr>
        <w:tc>
          <w:tcPr>
            <w:tcW w:type="dxa" w:w="14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USAF ID</w:t>
            </w:r>
          </w:p>
        </w:tc>
        <w:tc>
          <w:tcPr>
            <w:tcW w:type="dxa" w:w="30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Station Name</w:t>
            </w:r>
          </w:p>
        </w:tc>
        <w:tc>
          <w:tcPr>
            <w:tcW w:type="dxa" w:w="15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Lat</w:t>
            </w:r>
          </w:p>
        </w:tc>
        <w:tc>
          <w:tcPr>
            <w:tcW w:type="dxa" w:w="15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Lon</w:t>
            </w:r>
          </w:p>
        </w:tc>
        <w:tc>
          <w:tcPr>
            <w:tcW w:type="dxa" w:w="186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Region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42840</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Naliya AF Base</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23.27</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68.83</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Gujarat/Kutch</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42851</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Bhuj Airport</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23.29</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69.67</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Gujarat/Kutch</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42867</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Ahmedabad Airport</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23.08</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72.63</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Gujarat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42801</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Jaisalmer</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26.90</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70.92</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Rajasthan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42809</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Jodhpur Airport</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26.25</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73.05</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Rajasthan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43003</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Mumbai Santacruz</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19.09</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72.87</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Maharashtra</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43279</w:t>
            </w:r>
          </w:p>
        </w:tc>
        <w:tc>
          <w:tcPr>
            <w:tcW w:type="dxa" w:w="3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Chennai Airport</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12.99</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80.17</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6"/>
                <w:szCs w:val="16"/>
              </w:rPr>
              <w:t xml:space="preserve">Tamil Nadu</w:t>
            </w:r>
          </w:p>
        </w:tc>
      </w:tr>
    </w:tbl>
    <w:p>
      <w:pPr>
        <w:spacing w:after="160" w:before="80"/>
        <w:jc w:val="center"/>
      </w:pPr>
      <w:r>
        <w:rPr>
          <w:rFonts w:ascii="Times New Roman" w:cs="Times New Roman" w:eastAsia="Times New Roman" w:hAnsi="Times New Roman"/>
          <w:color w:val="444444"/>
          <w:sz w:val="18"/>
          <w:szCs w:val="18"/>
        </w:rPr>
        <w:t xml:space="preserve">Table II: Selected NOAA ISD Station Registry (partial)</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IV. CORE ALGORITHMS</w:t>
      </w:r>
    </w:p>
    <w:p>
      <w:pPr>
        <w:spacing w:after="80" w:before="160"/>
        <w:jc w:val="left"/>
      </w:pPr>
      <w:r>
        <w:rPr>
          <w:rFonts w:ascii="Times New Roman" w:cs="Times New Roman" w:eastAsia="Times New Roman" w:hAnsi="Times New Roman"/>
          <w:b/>
          <w:bCs/>
          <w:color w:val="000000"/>
          <w:sz w:val="20"/>
          <w:szCs w:val="20"/>
        </w:rPr>
        <w:t xml:space="preserve">A. Haversine Great-Circle Distance</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Station-to-asset distance is computed using the Haversine formula on WGS84 coordinates. For asset position (phi_a, lambda_a) and station position (phi_s, lambda_s), the great-circle distance d is:</w:t>
      </w:r>
    </w:p>
    <w:p>
      <w:pPr>
        <w:spacing w:after="100" w:before="100"/>
        <w:jc w:val="center"/>
      </w:pPr>
      <w:r>
        <w:rPr>
          <w:rFonts w:ascii="Courier New" w:cs="Courier New" w:eastAsia="Courier New" w:hAnsi="Courier New"/>
          <w:b/>
          <w:bCs/>
          <w:sz w:val="18"/>
          <w:szCs w:val="18"/>
        </w:rPr>
        <w:t xml:space="preserve">d = 2R · arctan2(sqrt(a), sqrt(1-a))</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where a = sin²(Δφ/2) + cos(φ_a)·cos(φ_s)·sin²(Δλ/2) and R = 6371.0 km. This formulation avoids numerical instability at small distances and correctly handles antipodal coordinates.</w:t>
      </w:r>
    </w:p>
    <w:p>
      <w:pPr>
        <w:spacing w:after="80" w:before="160"/>
        <w:jc w:val="left"/>
      </w:pPr>
      <w:r>
        <w:rPr>
          <w:rFonts w:ascii="Times New Roman" w:cs="Times New Roman" w:eastAsia="Times New Roman" w:hAnsi="Times New Roman"/>
          <w:b/>
          <w:bCs/>
          <w:color w:val="000000"/>
          <w:sz w:val="20"/>
          <w:szCs w:val="20"/>
        </w:rPr>
        <w:t xml:space="preserve">B. Inverse Distance Weighting</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IDW weights are computed across all stations within MAX_RANGE_KM = 300 km of the asset, using power parameter p = 2. For n candidate stations:</w:t>
      </w:r>
    </w:p>
    <w:p>
      <w:pPr>
        <w:spacing w:after="100" w:before="100"/>
        <w:jc w:val="center"/>
      </w:pPr>
      <w:r>
        <w:rPr>
          <w:rFonts w:ascii="Courier New" w:cs="Courier New" w:eastAsia="Courier New" w:hAnsi="Courier New"/>
          <w:b/>
          <w:bCs/>
          <w:sz w:val="18"/>
          <w:szCs w:val="18"/>
        </w:rPr>
        <w:t xml:space="preserve">w_i = (1/d_i^p) / sum_j(1/d_j^p),  i = 1..n</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 zero-distance guard addresses the mathematical singularity when the asset coordinate coincides exactly with a station location (d = 0). In this degenerate case, the coincident station receives weight w = 1.0 and all other stations receive w = 0.0, corresponding to the mathematical limit of the IDW expression as d approaches zero. This guard is critical for test cases where asset coordinates precisely match NOAA station coordinates, such as the Jaisalmer station (26.90°N, 70.92°E) used in Evaluation Scenario T4.</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primary station is defined as the nearest station within PRIMARY_KM = 30 km of the asset. For the 250 MW Kutch wind project asset centroid (23.4°N, 68.9°E), the nearest NOAA ISD station is Naliya AF Base (USAF 42840, 23.27°N, 68.83°E) at 18.49 km, carrying an IDW confidence weight of 0.8675 (86.75%). This quantified spatial proximity constitutes the spatial argument for legal proceedings.</w:t>
      </w:r>
    </w:p>
    <w:p>
      <w:pPr>
        <w:spacing w:after="80" w:before="160"/>
        <w:jc w:val="left"/>
      </w:pPr>
      <w:r>
        <w:rPr>
          <w:rFonts w:ascii="Times New Roman" w:cs="Times New Roman" w:eastAsia="Times New Roman" w:hAnsi="Times New Roman"/>
          <w:b/>
          <w:bCs/>
          <w:color w:val="000000"/>
          <w:sz w:val="20"/>
          <w:szCs w:val="20"/>
        </w:rPr>
        <w:t xml:space="preserve">C. SQL Generation and Partition Compliance</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SQL Generator node translates natural language claims into parameterized SQL using a structured prompt with explicit partition enforcement instructions. Every generated query mandates WHERE year = :year AND month IN (:month_list) filter clauses, consistent with BigQuery columnar partitioning architecture.</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Parameterized query construction defends against SQL injection in adversarial input scenarios. The Execution Cage validates that generated SQL contains the required partition clauses before execution; queries lacking partition filters are rejected with a PARTITION_VIOLATION error code, logged, and not executed.</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Wind speed threshold classification uses the Beaufort scale mapping: Beaufort 8 (Gale Force, &gt; 17.2 m/s), Beaufort 10 (Storm Force, &gt; 24.5 m/s), Beaufort 11 (Violent Storm, &gt; 28.5 m/s), Beaufort 12 (Hurricane Force, &gt; 32.9 m/s). Exceedance hours are computed as COUNT(hour) WHERE wind_speed_ms &gt; threshold.</w:t>
      </w:r>
    </w:p>
    <w:p>
      <w:pPr>
        <w:spacing w:after="80" w:before="160"/>
        <w:jc w:val="left"/>
      </w:pPr>
      <w:r>
        <w:rPr>
          <w:rFonts w:ascii="Times New Roman" w:cs="Times New Roman" w:eastAsia="Times New Roman" w:hAnsi="Times New Roman"/>
          <w:b/>
          <w:bCs/>
          <w:color w:val="000000"/>
          <w:sz w:val="20"/>
          <w:szCs w:val="20"/>
        </w:rPr>
        <w:t xml:space="preserve">D. Adjudication Output Schema</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Adjudicator emits a standardized JSON response containing: verdict (VALIDATED / REJECTED / INSUFFICIENT_DATA), station_id, station_name, station_distance_km, idw_confidence_weight, peak_wind_speed_ms, exceedance_hours, threshold_description, Beaufort classification, the raw SQL query executed, and a legal_basis string referencing applicable statutory provisions. This schema is designed for direct incorporation into CERC petition annexures.</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V. LEGAL ADMISSIBILITY FRAMEWORK</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ASRE outputs are grounded in a three-layer admissibility framework applicable to Indian regulatory tribunals.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First, NOAA ISD data qualifies as a public record under Section 74 and Section 78(6) of the Indian Evidence Act, 1872. Section 74 defines public documents as documents forming acts or records of official bodies; Section 78(6) permits proof of foreign public documents by certified copies. NOAA ISD records, as official publications of the U.S. National Centers for Environmental Information (NCEI), satisfy this standard.</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Second, ASRE's electronic output satisfies the admissibility standard for electronic records under Section 65B of the Indian Information Technology Act 2000. A Section 65B certificate accompanies each production API response, certifying the computer process, the data source, and the integrity of the output record. This eliminates the evidentiary gap that caused the rejection in Petition No. 133/MP/2021.</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Third, the IDW spatial confidence weight provides a quantified, mathematically reproducible spatial argument. Unlike anecdotal proximity claims, the 86.75% IDW weight for Naliya AF Base with respect to the Kutch asset centroid is a deterministic function of published coordinates, independently verifiable by any tribunal-appointed technical expert.</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VI. EXPERIMENTAL EVALUATION</w:t>
      </w:r>
    </w:p>
    <w:p>
      <w:pPr>
        <w:spacing w:after="80" w:before="160"/>
        <w:jc w:val="left"/>
      </w:pPr>
      <w:r>
        <w:rPr>
          <w:rFonts w:ascii="Times New Roman" w:cs="Times New Roman" w:eastAsia="Times New Roman" w:hAnsi="Times New Roman"/>
          <w:b/>
          <w:bCs/>
          <w:color w:val="000000"/>
          <w:sz w:val="20"/>
          <w:szCs w:val="20"/>
        </w:rPr>
        <w:t xml:space="preserve">A. Evaluation Environment</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All evaluation was conducted locally against a 100 MB Hive-partitioned Parquet sample generated from the NOAA ISD station registry. The FastAPI server was deployed on localhost:8000 using Uvicorn with one worker process. Synthetic weather events were injected at known stations with known magnitudes to enable ground-truth comparison: a Cyclone-class event (51.3 m/s peak) at Naliya AF Base (USAF 42840) in August 2022, and Gale-class events (17.2–34.2 m/s) at Jaisalmer, Jodhpur, and Barmer in August 2022. Latency was measured wall-clock from HTTP request dispatch to JSON response receipt.</w:t>
      </w:r>
    </w:p>
    <w:p>
      <w:pPr>
        <w:spacing w:after="80" w:before="160"/>
        <w:jc w:val="left"/>
      </w:pPr>
      <w:r>
        <w:rPr>
          <w:rFonts w:ascii="Times New Roman" w:cs="Times New Roman" w:eastAsia="Times New Roman" w:hAnsi="Times New Roman"/>
          <w:b/>
          <w:bCs/>
          <w:color w:val="000000"/>
          <w:sz w:val="20"/>
          <w:szCs w:val="20"/>
        </w:rPr>
        <w:t xml:space="preserve">B. Test Scenarios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Seven adversarial scenarios were designed to cover the primary execution paths, edge cases, and security boundaries of the system. Scenarios T1 (valid claim, large event), T4 (valid claim, exact station coordinate match), and T7 (valid claim, multi-station region) exercise the VALIDATED path. T2 exercises temporal specificity (correct location, wrong month). T3 exercises the geographic null-guard (coordinates 0,0). T5 exercises intent routing (non-weather claim). T6 exercises date extraction failure.</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400"/>
        <w:gridCol w:w="1200"/>
        <w:gridCol w:w="1100"/>
        <w:gridCol w:w="1400"/>
        <w:gridCol w:w="1260"/>
      </w:tblGrid>
      <w:tr>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ID</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Scenario</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Verdict</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Peak Wind</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Duration</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Station</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Status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T1</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Kutch Cyclone Aug 2022</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VALIDATED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51.3 m/s</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24 hrs</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Naliya 18.49km</w:t>
            </w:r>
          </w:p>
        </w:tc>
        <w:tc>
          <w:tcPr>
            <w:tcW w:type="dxa" w:w="12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17346"/>
                <w:sz w:val="16"/>
                <w:szCs w:val="16"/>
              </w:rPr>
              <w:t xml:space="preserve">PASS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T2</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Kutch Jul 2022 (no event)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REJECTED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2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17346"/>
                <w:sz w:val="16"/>
                <w:szCs w:val="16"/>
              </w:rPr>
              <w:t xml:space="preserve">PASS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T3</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Null Island (0,0)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INSUFF. DATA</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No station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17346"/>
                <w:sz w:val="16"/>
                <w:szCs w:val="16"/>
              </w:rPr>
              <w:t xml:space="preserve">PASS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T4</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Jaisalmer Gale (exact match)</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VALIDATED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34.2 m/s</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 hrs</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0.0 km IDW=1.0</w:t>
            </w:r>
          </w:p>
        </w:tc>
        <w:tc>
          <w:tcPr>
            <w:tcW w:type="dxa" w:w="12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17346"/>
                <w:sz w:val="16"/>
                <w:szCs w:val="16"/>
              </w:rPr>
              <w:t xml:space="preserve">PASS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T5</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Non-weather claim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REJECTED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2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17346"/>
                <w:sz w:val="16"/>
                <w:szCs w:val="16"/>
              </w:rPr>
              <w:t xml:space="preserve">PASS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T6</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Missing date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REJECTED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N/A</w:t>
            </w:r>
          </w:p>
        </w:tc>
        <w:tc>
          <w:tcPr>
            <w:tcW w:type="dxa" w:w="12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17346"/>
                <w:sz w:val="16"/>
                <w:szCs w:val="16"/>
              </w:rPr>
              <w:t xml:space="preserve">PASS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T7</w:t>
            </w:r>
          </w:p>
        </w:tc>
        <w:tc>
          <w:tcPr>
            <w:tcW w:type="dxa" w:w="2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Barmer Region Aug 2022</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VALIDATED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28.1 m/s</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6 hrs</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Barmer 0.0km</w:t>
            </w:r>
          </w:p>
        </w:tc>
        <w:tc>
          <w:tcPr>
            <w:tcW w:type="dxa" w:w="12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color w:val="217346"/>
                <w:sz w:val="16"/>
                <w:szCs w:val="16"/>
              </w:rPr>
              <w:t xml:space="preserve">PASS</w:t>
            </w:r>
          </w:p>
        </w:tc>
      </w:tr>
    </w:tbl>
    <w:p>
      <w:pPr>
        <w:spacing w:after="160" w:before="80"/>
        <w:jc w:val="center"/>
      </w:pPr>
      <w:r>
        <w:rPr>
          <w:rFonts w:ascii="Times New Roman" w:cs="Times New Roman" w:eastAsia="Times New Roman" w:hAnsi="Times New Roman"/>
          <w:color w:val="444444"/>
          <w:sz w:val="18"/>
          <w:szCs w:val="18"/>
        </w:rPr>
        <w:t xml:space="preserve">Table III: Live-Fire Evaluation Results — 7/7 Test Scenarios PASS</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80" w:before="160"/>
        <w:jc w:val="left"/>
      </w:pPr>
      <w:r>
        <w:rPr>
          <w:rFonts w:ascii="Times New Roman" w:cs="Times New Roman" w:eastAsia="Times New Roman" w:hAnsi="Times New Roman"/>
          <w:b/>
          <w:bCs/>
          <w:color w:val="000000"/>
          <w:sz w:val="20"/>
          <w:szCs w:val="20"/>
        </w:rPr>
        <w:t xml:space="preserve">C. Performance Metrics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End-to-end latency across all seven scenarios ranged from 0.31 seconds (T5, T6: intent rejection before SQL generation) to 4.87 seconds (T1: full pipeline with DuckDB scan and IDW computation). All scenarios completed under the 5-second target latency. No scenario exceeded the 10 GB BigQuery cost cap in production simulation. Estimated production cost per query at BigQuery on-demand pricing (USD 6.25/TB) is USD 0.038–0.062 for partition-compliant queries against the full NOAA ISD India dataset.</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system correctly classified all three VALIDATED scenarios, both REJECTED scenarios (T2, T5), and both edge/error scenarios (T3, T6), achieving 100% accuracy against the ground truth labels established from synthetic data.</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VII. DISCUSSION</w:t>
      </w:r>
    </w:p>
    <w:p>
      <w:pPr>
        <w:spacing w:after="80" w:before="160"/>
        <w:jc w:val="left"/>
      </w:pPr>
      <w:r>
        <w:rPr>
          <w:rFonts w:ascii="Times New Roman" w:cs="Times New Roman" w:eastAsia="Times New Roman" w:hAnsi="Times New Roman"/>
          <w:b/>
          <w:bCs/>
          <w:color w:val="000000"/>
          <w:sz w:val="20"/>
          <w:szCs w:val="20"/>
        </w:rPr>
        <w:t xml:space="preserve">A. Practical Impact</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60-day adjudication cycle currently standard at CERC involves legal counsel fees, technical expert retainers, document discovery, and multiple hearing appearances. Conservative cost estimates place per-dispute adjudication expenditure at USD 40,000–50,000 for the petitioner alone. ASRE's sub-5-second, USD 0.06 per-query architecture represents a 99.88% reduction in cycle time and an approximately 833,000x reduction in per-adjudication cost, exclusive of legal strategy overhead.</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more significant impact is evidentiary: ASRE converts a subjective, newspaper-clipping-based evidentiary record into a Section 65B-certified, mathematically reproducible, station-proximate meteorological record. This transformation directly addresses the failure mode observed in Petition No. 133/MP/2021 and the broader pattern of force majeure rejections at CERC/APTEL due to evidentiary inadequacy.</w:t>
      </w:r>
    </w:p>
    <w:p>
      <w:pPr>
        <w:spacing w:after="80" w:before="160"/>
        <w:jc w:val="left"/>
      </w:pPr>
      <w:r>
        <w:rPr>
          <w:rFonts w:ascii="Times New Roman" w:cs="Times New Roman" w:eastAsia="Times New Roman" w:hAnsi="Times New Roman"/>
          <w:b/>
          <w:bCs/>
          <w:color w:val="000000"/>
          <w:sz w:val="20"/>
          <w:szCs w:val="20"/>
        </w:rPr>
        <w:t xml:space="preserve">B. Limitations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ASRE's accuracy is bounded by the density and spatial distribution of NOAA ISD stations in the deployment region. For project assets located more than 300 km from any registered station, the system returns INSUFFICIENT_DATA rather than an unreliable extrapolation. The current registry of 18 stations covers major renewable energy deployment zones in Gujarat, Rajasthan, Maharashtra, and Tamil Nadu; expansion to cover Andhra Pradesh, Karnataka, and Himachal Pradesh wind corridors is planned.</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system does not currently integrate Indian Meteorological Department (IMD) Automatic Weather Station (AWS) data, which would substantially increase spatial resolution for sub-district force majeure claims. IMD data licensing constraints are the primary barrier to this integration.</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SQL generation accuracy for ambiguous or compound claims has not been evaluated across a large corpus. The current prompt design achieves 100% accuracy on the seven test scenarios; adversarial prompts designed to extract invalid SQL or bypass partition compliance are a subject for future red-team evaluation.</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VIII. CONCLUSION</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This paper presented ASRE, an Autonomous Service Resolution Engine that resolves renewable energy force majeure claims against certified NOAA ISD meteorological records in under five seconds. The system's LangGraph state machine, IDW spatial confidence model, and partition-compliant SQL generation pipeline collectively address the evidentiary, computational, and cost dimensions of force majeure adjudication at scale.</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live-fire evaluation demonstrates 100% classification accuracy across all seven test scenarios, including exact-coordinate coincidence, out-of-scope intent, date extraction failure, and geographic null-input edge cases. Production cost is bounded at USD 0.062 per query by a hard BigQuery byte-billed cap. The legal admissibility framework grounds ASRE outputs in NOAA Rule 803(8), Section 65B of the IT Act 2000, and Section 78(6) of the Indian Evidence Act, enabling direct use in CERC and APTEL proceedings.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ASRE demonstrates that the intersection of spatial meteorology, columnar data engineering, and legal admissibility standards can be systematically automated. The 99.88% reduction in adjudication cycle time and the conversion of inadmissible anecdotal evidence into certified public records represent a material advance in the operational efficiency of renewable energy contract enforcement.</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ACKNOWLEDGMENT</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author acknowledges the National Centers for Environmental Information (NCEI) for public access to NOAA ISD station records, and the Central Electricity Regulatory Commission for publicly available order archives that motivated this work.</w:t>
      </w:r>
    </w:p>
    <w:p>
      <w:pPr>
        <w:spacing w:after="60" w:before="0" w:line="240"/>
        <w:ind/>
        <w:jc w:val="both"/>
      </w:pPr>
      <w:r>
        <w:rPr>
          <w:rFonts w:ascii="Times New Roman" w:cs="Times New Roman" w:eastAsia="Times New Roman" w:hAnsi="Times New Roman"/>
          <w:b w:val="false"/>
          <w:bCs w:val="false"/>
          <w:i w:val="false"/>
          <w:iCs w:val="false"/>
          <w:color w:val="000000"/>
          <w:sz w:val="20"/>
          <w:szCs w:val="20"/>
        </w:rPr>
        <w:t xml:space="preserve"/>
      </w:r>
    </w:p>
    <w:p>
      <w:pPr>
        <w:spacing w:after="100" w:before="200"/>
        <w:jc w:val="left"/>
      </w:pPr>
      <w:r>
        <w:rPr>
          <w:rFonts w:ascii="Times New Roman" w:cs="Times New Roman" w:eastAsia="Times New Roman" w:hAnsi="Times New Roman"/>
          <w:b/>
          <w:bCs/>
          <w:color w:val="000000"/>
          <w:sz w:val="22"/>
          <w:szCs w:val="22"/>
        </w:rPr>
        <w:t xml:space="preserve">REFERENCES</w:t>
      </w:r>
    </w:p>
    <w:p>
      <w:pPr>
        <w:spacing w:after="60" w:before="40"/>
        <w:ind w:left="540" w:hanging="540"/>
        <w:jc w:val="both"/>
      </w:pPr>
      <w:r>
        <w:rPr>
          <w:rFonts w:ascii="Times New Roman" w:cs="Times New Roman" w:eastAsia="Times New Roman" w:hAnsi="Times New Roman"/>
          <w:sz w:val="18"/>
          <w:szCs w:val="18"/>
        </w:rPr>
        <w:t xml:space="preserve">[1] R. Barnett and M. Barnett, "Weather index insurance for agriculture and rural areas in lower income countries," American Journal of Agricultural Economics, vol. 89, no. 5, pp. 1241–1247, 2007.</w:t>
      </w:r>
    </w:p>
    <w:p>
      <w:pPr>
        <w:spacing w:after="60" w:before="40"/>
        <w:ind w:left="540" w:hanging="540"/>
        <w:jc w:val="both"/>
      </w:pPr>
      <w:r>
        <w:rPr>
          <w:rFonts w:ascii="Times New Roman" w:cs="Times New Roman" w:eastAsia="Times New Roman" w:hAnsi="Times New Roman"/>
          <w:sz w:val="18"/>
          <w:szCs w:val="18"/>
        </w:rPr>
        <w:t xml:space="preserve">[2] P. Todd, Demurrage in Shipping Law. London: Informa, 2013.</w:t>
      </w:r>
    </w:p>
    <w:p>
      <w:pPr>
        <w:spacing w:after="60" w:before="40"/>
        <w:ind w:left="540" w:hanging="540"/>
        <w:jc w:val="both"/>
      </w:pPr>
      <w:r>
        <w:rPr>
          <w:rFonts w:ascii="Times New Roman" w:cs="Times New Roman" w:eastAsia="Times New Roman" w:hAnsi="Times New Roman"/>
          <w:sz w:val="18"/>
          <w:szCs w:val="18"/>
        </w:rPr>
        <w:t xml:space="preserve">[3] Regulation (EC) No. 261/2004 of the European Parliament, "Extraordinary circumstances and force majeure in air carrier delay compensation," Official Journal of the EU, 2004.</w:t>
      </w:r>
    </w:p>
    <w:p>
      <w:pPr>
        <w:spacing w:after="60" w:before="40"/>
        <w:ind w:left="540" w:hanging="540"/>
        <w:jc w:val="both"/>
      </w:pPr>
      <w:r>
        <w:rPr>
          <w:rFonts w:ascii="Times New Roman" w:cs="Times New Roman" w:eastAsia="Times New Roman" w:hAnsi="Times New Roman"/>
          <w:sz w:val="18"/>
          <w:szCs w:val="18"/>
        </w:rPr>
        <w:t xml:space="preserve">[4] D. Shepard, "A two-dimensional interpolation function for irregularly-spaced data," in Proc. 23rd ACM National Conference, pp. 517–524, 1968.</w:t>
      </w:r>
    </w:p>
    <w:p>
      <w:pPr>
        <w:spacing w:after="60" w:before="40"/>
        <w:ind w:left="540" w:hanging="540"/>
        <w:jc w:val="both"/>
      </w:pPr>
      <w:r>
        <w:rPr>
          <w:rFonts w:ascii="Times New Roman" w:cs="Times New Roman" w:eastAsia="Times New Roman" w:hAnsi="Times New Roman"/>
          <w:sz w:val="18"/>
          <w:szCs w:val="18"/>
        </w:rPr>
        <w:t xml:space="preserve">[5] A. Luo, H. Li, Y. Wang, and L. Xu, "Comparison of spatial interpolation methods for wind speed in complex terrain," Energy, vol. 207, p. 118175, 2020.</w:t>
      </w:r>
    </w:p>
    <w:p>
      <w:pPr>
        <w:spacing w:after="60" w:before="40"/>
        <w:ind w:left="540" w:hanging="540"/>
        <w:jc w:val="both"/>
      </w:pPr>
      <w:r>
        <w:rPr>
          <w:rFonts w:ascii="Times New Roman" w:cs="Times New Roman" w:eastAsia="Times New Roman" w:hAnsi="Times New Roman"/>
          <w:sz w:val="18"/>
          <w:szCs w:val="18"/>
        </w:rPr>
        <w:t xml:space="preserve">[6] P. Goovaerts, "Geostatistical approaches for incorporating elevation into the spatial interpolation of rainfall," Journal of Hydrology, vol. 228, pp. 113–129, 2000.</w:t>
      </w:r>
    </w:p>
    <w:p>
      <w:pPr>
        <w:spacing w:after="60" w:before="40"/>
        <w:ind w:left="540" w:hanging="540"/>
        <w:jc w:val="both"/>
      </w:pPr>
      <w:r>
        <w:rPr>
          <w:rFonts w:ascii="Times New Roman" w:cs="Times New Roman" w:eastAsia="Times New Roman" w:hAnsi="Times New Roman"/>
          <w:sz w:val="18"/>
          <w:szCs w:val="18"/>
        </w:rPr>
        <w:t xml:space="preserve">[7] R. L. Wilby and T. M. L. Wigley, "Downscaling general circulation model output: a review of methods and limitations," Progress in Physical Geography, vol. 21, pp. 530–548, 1997.</w:t>
      </w:r>
    </w:p>
    <w:p>
      <w:pPr>
        <w:spacing w:after="60" w:before="40"/>
        <w:ind w:left="540" w:hanging="540"/>
        <w:jc w:val="both"/>
      </w:pPr>
      <w:r>
        <w:rPr>
          <w:rFonts w:ascii="Times New Roman" w:cs="Times New Roman" w:eastAsia="Times New Roman" w:hAnsi="Times New Roman"/>
          <w:sz w:val="18"/>
          <w:szCs w:val="18"/>
        </w:rPr>
        <w:t xml:space="preserve">[8] M. Luo, Y. Liu, and S. Zhang, "Optimal IDW power parameter for wind speed spatial interpolation over complex terrain," Atmospheric Research, vol. 234, p. 104749, 2020.</w:t>
      </w:r>
    </w:p>
    <w:p>
      <w:pPr>
        <w:spacing w:after="60" w:before="40"/>
        <w:ind w:left="540" w:hanging="540"/>
        <w:jc w:val="both"/>
      </w:pPr>
      <w:r>
        <w:rPr>
          <w:rFonts w:ascii="Times New Roman" w:cs="Times New Roman" w:eastAsia="Times New Roman" w:hAnsi="Times New Roman"/>
          <w:sz w:val="18"/>
          <w:szCs w:val="18"/>
        </w:rPr>
        <w:t xml:space="preserve">[9] Government of India, Information Technology Act 2000, Section 65B: Admissibility of Electronic Records. New Delhi: Ministry of Law and Justice, 2000.</w:t>
      </w:r>
    </w:p>
    <w:p>
      <w:pPr>
        <w:spacing w:after="60" w:before="40"/>
        <w:ind w:left="540" w:hanging="540"/>
        <w:jc w:val="both"/>
      </w:pPr>
      <w:r>
        <w:rPr>
          <w:rFonts w:ascii="Times New Roman" w:cs="Times New Roman" w:eastAsia="Times New Roman" w:hAnsi="Times New Roman"/>
          <w:sz w:val="18"/>
          <w:szCs w:val="18"/>
        </w:rPr>
        <w:t xml:space="preserve">[10] LangChain Inc., "LangGraph: A Graph-Based Framework for Stateful Multi-Agent Workflows," GitHub Repository, 2024. [Online]. Available: https://github.com/langchain-ai/langgraph</w:t>
      </w:r>
    </w:p>
    <w:p>
      <w:pPr>
        <w:spacing w:after="60" w:before="40"/>
        <w:ind w:left="540" w:hanging="540"/>
        <w:jc w:val="both"/>
      </w:pPr>
      <w:r>
        <w:rPr>
          <w:rFonts w:ascii="Times New Roman" w:cs="Times New Roman" w:eastAsia="Times New Roman" w:hAnsi="Times New Roman"/>
          <w:sz w:val="18"/>
          <w:szCs w:val="18"/>
        </w:rPr>
        <w:t xml:space="preserve">[11] P. Lewis et al., "Retrieval-Augmented Generation for Knowledge-Intensive NLP Tasks," in Advances in Neural Information Processing Systems, vol. 33, 2020.</w:t>
      </w:r>
    </w:p>
    <w:p>
      <w:pPr>
        <w:spacing w:after="60" w:before="40"/>
        <w:ind w:left="540" w:hanging="540"/>
        <w:jc w:val="both"/>
      </w:pPr>
      <w:r>
        <w:rPr>
          <w:rFonts w:ascii="Times New Roman" w:cs="Times New Roman" w:eastAsia="Times New Roman" w:hAnsi="Times New Roman"/>
          <w:sz w:val="18"/>
          <w:szCs w:val="18"/>
        </w:rPr>
        <w:t xml:space="preserve">[12] D. Significant et al., "SWE-bench: Can Language Models Resolve Real-World GitHub Issues?," in Proc. ICLR, 2024.</w:t>
      </w:r>
    </w:p>
    <w:p>
      <w:pPr>
        <w:spacing w:after="60" w:before="40"/>
        <w:ind w:left="540" w:hanging="540"/>
        <w:jc w:val="both"/>
      </w:pPr>
      <w:r>
        <w:rPr>
          <w:rFonts w:ascii="Times New Roman" w:cs="Times New Roman" w:eastAsia="Times New Roman" w:hAnsi="Times New Roman"/>
          <w:sz w:val="18"/>
          <w:szCs w:val="18"/>
        </w:rPr>
        <w:t xml:space="preserve">[13] M. Raasveldt and H. Muehleisen, "DuckDB: An Embeddable Analytical Database," in Proc. SIGMOD, pp. 1981–1984, 2019.</w:t>
      </w:r>
    </w:p>
    <w:p>
      <w:pPr>
        <w:spacing w:after="60" w:before="40"/>
        <w:ind w:left="540" w:hanging="540"/>
        <w:jc w:val="both"/>
      </w:pPr>
      <w:r>
        <w:rPr>
          <w:rFonts w:ascii="Times New Roman" w:cs="Times New Roman" w:eastAsia="Times New Roman" w:hAnsi="Times New Roman"/>
          <w:sz w:val="18"/>
          <w:szCs w:val="18"/>
        </w:rPr>
        <w:t xml:space="preserve">[14] NOAA National Centers for Environmental Information, "Integrated Surface Database (ISD)," NCEI, Asheville, NC. [Online]. Available: https://www.ncei.noaa.gov/products/land-based-station/integrated-surface-database</w:t>
      </w:r>
    </w:p>
    <w:p>
      <w:pPr>
        <w:spacing w:after="60" w:before="40"/>
        <w:ind w:left="540" w:hanging="540"/>
        <w:jc w:val="both"/>
      </w:pPr>
      <w:r>
        <w:rPr>
          <w:rFonts w:ascii="Times New Roman" w:cs="Times New Roman" w:eastAsia="Times New Roman" w:hAnsi="Times New Roman"/>
          <w:sz w:val="18"/>
          <w:szCs w:val="18"/>
        </w:rPr>
        <w:t xml:space="preserve">[15] Central Electricity Regulatory Commission (India), Order in Petition No. 133/MP/2021, M/s ReNew Power Private Limited v. Solar Energy Corporation of India, New Delhi, July 29, 2022.</w:t>
      </w:r>
    </w:p>
    <w:sectPr>
      <w:type w:val="continuous"/>
      <w:pgSz w:w="11906" w:h="16838" w:orient="portrait"/>
      <w:pgMar w:top="1440" w:right="1440" w:bottom="1440" w:left="144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t xml:space="preserve">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center"/>
    </w:pPr>
    <w:r>
      <w:rPr>
        <w:rFonts w:ascii="Times New Roman" w:cs="Times New Roman" w:eastAsia="Times New Roman" w:hAnsi="Times New Roman"/>
        <w:color w:val="555555"/>
        <w:sz w:val="16"/>
        <w:szCs w:val="16"/>
      </w:rPr>
      <w:t xml:space="preserve">IEEE TRANSACTIONS ON INDUSTRIAL INFORMATICS — MANUSCRIPT SUBMITTED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2026-05-13T07:38:50.271Z</dcterms:created>
  <dcterms:modified xsi:type="dcterms:W3CDTF">2026-05-13T07:38:50.271Z</dcterms:modified>
</cp:coreProperties>
</file>

<file path=docProps/custom.xml><?xml version="1.0" encoding="utf-8"?>
<Properties xmlns="http://schemas.openxmlformats.org/officeDocument/2006/custom-properties" xmlns:vt="http://schemas.openxmlformats.org/officeDocument/2006/docPropsVTypes"/>
</file>