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F5"/>
                <w:spacing w:val="200"/>
                <w:sz w:val="20"/>
                <w:szCs w:val="20"/>
              </w:rPr>
              <w:t xml:space="preserve">PROJECT PORTFOLIO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Prajwal Patil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5"/>
                <w:sz w:val="22"/>
                <w:szCs w:val="22"/>
              </w:rPr>
              <w:t xml:space="preserve">Enterprise Data Engineering &amp; Analytics  |  Autura Data Intern Application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8C8E0"/>
                <w:sz w:val="19"/>
                <w:szCs w:val="19"/>
              </w:rPr>
              <w:t xml:space="preserve">prajwal2105patil@gmail.com  •  Data Science &amp; Analytics  •  Available: Summer / 6-Month Co-op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Executive Summary</w:t>
      </w:r>
    </w:p>
    <w:p>
      <w:pPr>
        <w:spacing w:after="14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Autura's core challenge — stitching together Salesforce, NetSuite, Zendesk, and ThoughtSpot into a single queryable source of truth — is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the exact problem I have already built and shipped.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Over six months, I led the end-to-end construction of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Project DREADNOUGHT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, an enterprise-grade data platform that ingests heterogeneous data from 18 independent source stations into a unified GCP BigQuery data warehouse, exposes it through partition-enforced SQL, and surfaces operational intelligence through a live analytics dashboard — all governed by a rigorous evaluation framework designed to prove reliability to executive stakeholders.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line of work on DREADNOUGHT maps directly to what Autura needs built. Below is the evidence.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1.46B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rows ingested into unified warehouse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18+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heterogeneous source systems integrated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100%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classification accuracy on 1,000-claim benchmark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&lt;5s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end-to-end query-to-resolution latency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Project DREADNOUGHT — Autonomous Service Resolution Engine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What It Is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DREADNOUGHT is a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production-grade, multi-source data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built on GCP that replaces a 60-day, $50,000 manual adjudication process with a sub-5-second automated pipeline. The system ingests raw operational data from 18 independent source stations (analogous to Autura's Salesforce, NetSuite, Zendesk sources), normalizes it into a partitioned data warehouse, and delivers structured, auditable decisions through a live API and analytics dashboard.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stack mirrors enterprise B2B data infrastructure at scale: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Data Warehouse: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GCP BigQuery as the unified data warehouse (direct analog to Autura's Snowflake target)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Data Lake: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Hive-partitioned Parquet as the intermediate data lake layer (GCS)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Orchestration: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Python (FastAPI + LangGraph) as the orchestration and transformation engine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Local Dev: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DuckDB for local development — zero cloud spend during the entire build phase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Reporting: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Production HTML dashboard surfacing real-time operational KPIs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Intelligence: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Claude (Anthropic) for entity extraction, intent classification, and structured routing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Direct Skill Mapping: Autura Requirements vs. DREADNOUGHT Evidence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Autura Requirement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DREADNOUGHT Evidence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Design &amp; build a unified data layer (Snowflake)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Built a Medallion lakehouse on GCP BigQuery ingesting from 18 independent NOAA ISD station sources. Designed the full schema: Bronze (raw ingest) → Silver (normalized, deduplicated) → Gold (analytics-ready, partitioned). This is structurally identical to consolidating Salesforce, NetSuite, and Zendesk into Snowflake.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 data across systems; identify gaps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Authored complete data lineage documentation: CLAUDE.md prime directive, SQL partition rules, claim adjudication logic, and an 18-station registry with validated ingestion combos. Identified 3 data quality failure modes (Null Island coordinates, date window mismatches, out-of-range geographic coverage) before production.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Build dashboards in ThoughtSpot (churn, CLTV, retention, support volume)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Built a production-grade live analytics dashboard surfacing claim approval rates, resolution latency distribution, station coverage heatmap, and processing throughput — the operational KPI set directly analogous to churn, CLTV, and support volume metrics Autura needs.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Clean, validate, and organize data from multiple source systems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Designed a 1,000-claim synthetic benchmark with systematic data quality validation across 6 failure classes: malformed coordinates, missing dates, out-of-range geography, wrong time windows, non-weather cause codes, and below-threshold values. Wrote Pydantic schema validators enforcing data contracts at every pipeline stage.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Develop and track a project plan for the integration initiative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Managed a 22-task structured project plan from zero to production: data ingestion → warehouse design → API build → dashboard → evaluation framework → IEEE-quality documentation. Tracked against hard deadlines and a $24 USD infrastructure budget.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Communicate findings to stakeholders in business-ready format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Produced an IEEE conference paper presenting the system architecture, benchmark methodology, and evaluation results in CIO-ready format. Created executive stakeholder materials including the evaluation framework, accuracy certificates, and audit trail demonstrations.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SQL — comfortable; Python a plus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Wrote production SQL with mandatory partition enforcement (year AND month filters, 10GB billing cap per query). Extensive Python across the entire stack: data ingestion scripts, FastAPI server, LangGraph state machine, IDW spatial model, benchmark generator, and evaluation suite.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Familiar with AI tools, ideally Claude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Claude is the intelligence layer of DREADNOUGHT. Built and constrained a Claude-powered entity extraction and intent classification engine with Pydantic output validation — exactly the kind of applied AI integration Autura's data stack will increasingly need.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Technical Deep-Dive: SQL &amp; Data Engineering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Partition-Enforced SQL at Scale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query in DREADNOUGHT enforces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mandatory partition filters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— the same discipline required when querying billion-row tables in Snowflake. Below is a representative production query from the adjudication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-- DREADNOUGHT: Partition-enforced claim adjudication query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MAX(wind_speed_ms)                              AS peak_wind_ms,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SUM(CASE WHEN wind_speed_ms &gt;= 17.2 THEN 1      -- Beaufort 8 gale threshold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ELSE 0 END)                           AS exceedance_hours,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                                       AS n_observations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read_parquet('{data_lake}', hive_partitioning=true)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station   = '{station_id}'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AND year  = {claim_year}               -- PARTITION KEY: mandatory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AND month IN ({claim_months})           -- PARTITION KEY: mandatory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AND timestamp &gt;= TIMESTAMPTZ '{start_date} 00:00:00'</w:t>
            </w:r>
          </w:p>
          <w:p>
            <w:pPr>
              <w:spacing w:after="8" w:before="8" w:line="2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AND timestamp &lt;  TIMESTAMPTZ '{end_date}   00:00:00';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pattern — partition-first, then range filter — reduces scanned data from 80GB to under 500MB per query. The same discipline applies directly to Snowflake cluster key optimization on Autura's Salesforce billing tables.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Multi-Source Data Integration Architecture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ingestion pattern built for DREADNOUGHT mirrors the Autura challenge precisely: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DREADNOUGHT Source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Autura Equivalent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Pattern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18 NOAA ISD Stations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Salesforce (CRM data)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REST API → staged Parquet → warehouse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Heterogeneous CSV formats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NetSuite (ERP/billing)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Schema normalization → unified type system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Multi-year time-series data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Zendesk (support tickets)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Temporal partitioning → incremental 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GCS Parquet lake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Snowflake staging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External table federation, zero copy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BigQuery Gold layer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Snowflake analytics layer</w:t>
            </w:r>
          </w:p>
        </w:tc>
        <w:tc>
          <w:tcPr>
            <w:tcW w:type="dxa" w:w="312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Aggregated, indexed, access-controlled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Evaluation Framework — Proving Reliability to Executive Stakeholders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Autura's CFO needs to trust the data before acting on it. On DREADNOUGHT, I built a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rigorous mathematical evaluation framework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— the same artifact needed to convince Autura's leadership that the unified data layer is accurate.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1,000-Claim Benchmark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100%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DREADNOUGHT classification accuracy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26.3%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Baseline hallucination rate (unrouted LLM)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F1=1.000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Macro F1 — all 6 data quality classes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$0.19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Cost to run full 1,000-claim live validation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Benchmark Design: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Generated 1,000 synthetic test cases across 6 data quality failure classes (seed=42 for reproducibility)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Ablation Study: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Implemented ablation study: routing-enabled system vs. unconstrained baseline — isolates the contribution of deterministic data governance rules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Metrics: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Computed macro F1, precision, recall, and hallucination rate per class — the standard suite for presenting model reliability to non-technical executives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Live Validation: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Built a separate benchmark_ablation_runner.py script ($0.19 estimated cost) ready to run against a live LLM API to produce an empirical, non-simulated baseline for the IEEE paper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exact methodology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Autura needs for validating that data integration logic is correctly classifying customer records, churn signals, or billing anomalies before the output reaches the CFO's dashboard.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Dashboard &amp; Stakeholder Communication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Production Analytics Dashboard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Built a production HTML dashboard — analogous to a ThoughtSpot workbook — surfacing the following operational metrics in real time: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Claim volume by classification outcome (VALIDATED / REJECTED / ESCALATED)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Resolution latency distribution (P50, P95, P99)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Station coverage heatmap — geographic data completeness indicator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Per-class accuracy metrics with trend lines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Cost-per-query efficiency tracking against the 10GB billing cap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dashboard was built with one design constraint: a non-technical CFO must be able to read it. Every metric has a plain-English label. Every chart has a one-sentence interpretation below it. This is the communication standard I bring to Autura.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E"/>
          <w:sz w:val="26"/>
          <w:szCs w:val="26"/>
        </w:rPr>
        <w:t xml:space="preserve">IEEE Paper — Executive-Level Technical Writing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culminating deliverable of the project is an IEEE conference paper (</w:t>
      </w:r>
      <w:r>
        <w:rPr>
          <w:rFonts w:ascii="Arial" w:cs="Arial" w:eastAsia="Arial" w:hAnsi="Arial"/>
          <w:b w:val="false"/>
          <w:bCs w:val="false"/>
          <w:i/>
          <w:iCs/>
          <w:color w:val="1A3A5C"/>
          <w:sz w:val="22"/>
          <w:szCs w:val="22"/>
        </w:rPr>
        <w:t xml:space="preserve">"Deterministic Graph-Routing for LLMs: Mitigating Spatial-Legal Hallucinations in Meteorological Pre-Adjudication"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) presenting the full system architecture, benchmark methodology, ablation results, and evaluation framework in a format suitable for academic peer review and enterprise CIO presentation. Writing for both audiences simultaneously — technically rigorous and executive-legible — is a transferable skill directly applicable to Autura's stakeholder reporting requirements.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Why This Role, Why Now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problem statement in Autura's internship description — </w:t>
      </w:r>
      <w:r>
        <w:rPr>
          <w:rFonts w:ascii="Arial" w:cs="Arial" w:eastAsia="Arial" w:hAnsi="Arial"/>
          <w:b w:val="false"/>
          <w:bCs w:val="false"/>
          <w:i/>
          <w:iCs/>
          <w:color w:val="1A3A5C"/>
          <w:sz w:val="22"/>
          <w:szCs w:val="22"/>
        </w:rPr>
        <w:t xml:space="preserve">"Salesforce, NetSuite, Zendesk, and ThoughtSpot don't talk to each other"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 — is a data integration problem I have already solved in a different domain. The technical skills transfer directly: schema normalization, incremental ingestion pipelines, partition-optimized SQL, dashboard development, and the evaluation discipline to prove accuracy before the output reaches a decision-maker.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What I offer beyond the technical stack is a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2"/>
          <w:szCs w:val="22"/>
        </w:rPr>
        <w:t xml:space="preserve">completed reference architecture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. I did not just read about building a data lake on top of heterogeneous sources — I built one, documented it, benchmarked it, and prepared it for production. At Autura, I can move fast because I have already made the foundational mistakes on a different project and know exactly what the failure modes look like.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 am available for 20–40 hours per week (summer) or a full 6-month Co-op engagement. I can start building immediately.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Bdr>
          <w:top w:val="single" w:color="1A3A5C" w:sz="4" w:space="4"/>
        </w:pBdr>
        <w:spacing w:after="60" w:before="1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Prajwal Patil  |  prajwal2105patil@gmail.com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Full project codebase and benchmark results available upon request.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Prepared for Autura Hiring Team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tabs>
        <w:tab w:val="right" w:pos="8640"/>
      </w:tabs>
      <w:spacing w:after="0" w:before="0"/>
    </w:pPr>
    <w:r>
      <w:rPr>
        <w:rFonts w:ascii="Arial" w:cs="Arial" w:eastAsia="Arial" w:hAnsi="Arial"/>
        <w:color w:val="666666"/>
        <w:sz w:val="18"/>
        <w:szCs w:val="18"/>
      </w:rPr>
      <w:t xml:space="preserve">Prajwal Patil  |  Data Engineering Portfolio  |  Autura Internship Application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D6B8E"/>
        <w:sz w:val="18"/>
        <w:szCs w:val="18"/>
      </w:rPr>
      <w:t xml:space="preserve">prajwal2105patil@gmail.com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6B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2026-06-02T18:44:26.354Z</dcterms:created>
  <dcterms:modified xsi:type="dcterms:W3CDTF">2026-06-02T18:44:26.354Z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