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i w:val="false"/>
          <w:iCs w:val="false"/>
          <w:color w:val="000000"/>
          <w:sz w:val="28"/>
          <w:szCs w:val="28"/>
        </w:rPr>
        <w:t xml:space="preserve">Deterministic Graph-Routing for LLMs: Mitigating Spatial-Legal Hallucinations in Meteorological Pre-Adjudication</w:t>
      </w:r>
    </w:p>
    <w:p>
      <w:pPr>
        <w:spacing w:after="120" w:before="0"/>
        <w:jc w:val="center"/>
      </w:pPr>
      <w:r>
        <w:rPr>
          <w:rFonts w:ascii="Times New Roman" w:cs="Times New Roman" w:eastAsia="Times New Roman" w:hAnsi="Times New Roman"/>
          <w:b/>
          <w:bCs/>
          <w:i w:val="false"/>
          <w:iCs w:val="false"/>
          <w:color w:val="000000"/>
          <w:sz w:val="28"/>
          <w:szCs w:val="28"/>
        </w:rPr>
        <w:t xml:space="preserve">and Autonomous Service Resolution Engine for Multi-Terabyte</w:t>
      </w:r>
    </w:p>
    <w:p>
      <w:pPr>
        <w:spacing w:after="200" w:before="0"/>
        <w:jc w:val="center"/>
      </w:pPr>
      <w:r>
        <w:rPr>
          <w:rFonts w:ascii="Times New Roman" w:cs="Times New Roman" w:eastAsia="Times New Roman" w:hAnsi="Times New Roman"/>
          <w:b/>
          <w:bCs/>
          <w:i w:val="false"/>
          <w:iCs w:val="false"/>
          <w:color w:val="000000"/>
          <w:sz w:val="28"/>
          <w:szCs w:val="28"/>
        </w:rPr>
        <w:t xml:space="preserve">NOAA ISD Analytics on Google Cloud Platform</w:t>
      </w:r>
    </w:p>
    <w:p>
      <w:pPr>
        <w:spacing w:after="40" w:before="0"/>
        <w:jc w:val="center"/>
      </w:pPr>
      <w:r>
        <w:rPr>
          <w:rFonts w:ascii="Times New Roman" w:cs="Times New Roman" w:eastAsia="Times New Roman" w:hAnsi="Times New Roman"/>
          <w:b w:val="false"/>
          <w:bCs w:val="false"/>
          <w:i/>
          <w:iCs/>
          <w:color w:val="000000"/>
          <w:sz w:val="20"/>
          <w:szCs w:val="20"/>
        </w:rPr>
        <w:t xml:space="preserve">Prajwal Patil</w:t>
      </w:r>
    </w:p>
    <w:p>
      <w:pPr>
        <w:spacing w:after="20" w:before="0"/>
        <w:jc w:val="center"/>
      </w:pPr>
      <w:r>
        <w:rPr>
          <w:rFonts w:ascii="Times New Roman" w:cs="Times New Roman" w:eastAsia="Times New Roman" w:hAnsi="Times New Roman"/>
          <w:b w:val="false"/>
          <w:bCs w:val="false"/>
          <w:i w:val="false"/>
          <w:iCs w:val="false"/>
          <w:color w:val="000000"/>
          <w:sz w:val="18"/>
          <w:szCs w:val="18"/>
        </w:rPr>
        <w:t xml:space="preserve">Department of Computer Science and Engineering</w:t>
      </w:r>
    </w:p>
    <w:p>
      <w:pPr>
        <w:spacing w:after="20" w:before="0"/>
        <w:jc w:val="center"/>
      </w:pPr>
      <w:r>
        <w:rPr>
          <w:rFonts w:ascii="Times New Roman" w:cs="Times New Roman" w:eastAsia="Times New Roman" w:hAnsi="Times New Roman"/>
          <w:b w:val="false"/>
          <w:bCs w:val="false"/>
          <w:i w:val="false"/>
          <w:iCs w:val="false"/>
          <w:color w:val="000000"/>
          <w:sz w:val="18"/>
          <w:szCs w:val="18"/>
        </w:rPr>
        <w:t xml:space="preserve">JAIN (Deemed-to-be University), Bangalore, India</w:t>
      </w:r>
    </w:p>
    <w:p>
      <w:pPr>
        <w:spacing w:after="160" w:before="0"/>
        <w:jc w:val="center"/>
      </w:pPr>
      <w:r>
        <w:rPr>
          <w:rFonts w:ascii="Times New Roman" w:cs="Times New Roman" w:eastAsia="Times New Roman" w:hAnsi="Times New Roman"/>
          <w:b w:val="false"/>
          <w:bCs w:val="false"/>
          <w:i w:val="false"/>
          <w:iCs w:val="false"/>
          <w:color w:val="000000"/>
          <w:sz w:val="18"/>
          <w:szCs w:val="18"/>
        </w:rPr>
        <w:t xml:space="preserve">23btrct101@jainuniversity.ac.in</w:t>
      </w:r>
    </w:p>
    <w:p>
      <w:pPr>
        <w:spacing w:after="40" w:before="0"/>
        <w:jc w:val="center"/>
      </w:pPr>
      <w:r>
        <w:rPr>
          <w:rFonts w:ascii="Times New Roman" w:cs="Times New Roman" w:eastAsia="Times New Roman" w:hAnsi="Times New Roman"/>
          <w:b w:val="false"/>
          <w:bCs w:val="false"/>
          <w:i/>
          <w:iCs/>
          <w:color w:val="000000"/>
          <w:sz w:val="20"/>
          <w:szCs w:val="20"/>
        </w:rPr>
        <w:t xml:space="preserve">Agashini V Kumar</w:t>
      </w:r>
    </w:p>
    <w:p>
      <w:pPr>
        <w:spacing w:after="20" w:before="0"/>
        <w:jc w:val="center"/>
      </w:pPr>
      <w:r>
        <w:rPr>
          <w:rFonts w:ascii="Times New Roman" w:cs="Times New Roman" w:eastAsia="Times New Roman" w:hAnsi="Times New Roman"/>
          <w:b w:val="false"/>
          <w:bCs w:val="false"/>
          <w:i w:val="false"/>
          <w:iCs w:val="false"/>
          <w:color w:val="000000"/>
          <w:sz w:val="18"/>
          <w:szCs w:val="18"/>
        </w:rPr>
        <w:t xml:space="preserve">Department of Computer Science and Engineering</w:t>
      </w:r>
    </w:p>
    <w:p>
      <w:pPr>
        <w:spacing w:after="20" w:before="0"/>
        <w:jc w:val="center"/>
      </w:pPr>
      <w:r>
        <w:rPr>
          <w:rFonts w:ascii="Times New Roman" w:cs="Times New Roman" w:eastAsia="Times New Roman" w:hAnsi="Times New Roman"/>
          <w:b w:val="false"/>
          <w:bCs w:val="false"/>
          <w:i w:val="false"/>
          <w:iCs w:val="false"/>
          <w:color w:val="000000"/>
          <w:sz w:val="18"/>
          <w:szCs w:val="18"/>
        </w:rPr>
        <w:t xml:space="preserve">JAIN (Deemed-to-be University), Bangalore, India</w:t>
      </w:r>
    </w:p>
    <w:p>
      <w:pPr>
        <w:spacing w:after="240" w:before="0"/>
        <w:jc w:val="center"/>
      </w:pPr>
      <w:r>
        <w:rPr>
          <w:rFonts w:ascii="Times New Roman" w:cs="Times New Roman" w:eastAsia="Times New Roman" w:hAnsi="Times New Roman"/>
          <w:b w:val="false"/>
          <w:bCs w:val="false"/>
          <w:i w:val="false"/>
          <w:iCs w:val="false"/>
          <w:color w:val="000000"/>
          <w:sz w:val="18"/>
          <w:szCs w:val="18"/>
        </w:rPr>
        <w:t xml:space="preserve">agashini.v@jainuniversity.ac.in</w:t>
      </w:r>
    </w:p>
    <w:p>
      <w:pPr>
        <w:spacing w:after="80" w:before="120"/>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b w:val="false"/>
          <w:bCs w:val="false"/>
          <w:i w:val="false"/>
          <w:iCs w:val="false"/>
          <w:color w:val="000000"/>
          <w:sz w:val="18"/>
          <w:szCs w:val="18"/>
        </w:rPr>
        <w:t xml:space="preserve">—This paper presents the Deterministic Spatial-Legal Pre-Adjudication Framework (DS-PAF), a graph-constrained architecture for autonomous resolution of force majeure claims in Indian renewable energy power purchase agreements. DS-PAF combines a Medallion Lakehouse on Google Cloud Platform—ingesting 1,468,622,403 NOAA Integrated Surface Dataset observations (2015–2025)—with a LangGraph cyclical state machine enforcing deterministic routing across four nodes: Intent Router, SQL Generator, Execution Cage, and Adjudicator. Inverse Distance Weighting (IDW) with Haversine great-circle distance identifies the governing NOAA station for any asset coordinate. An ablation study on a 1,000-claim reproducible benchmark (seed = 42) across six adversarial claim classes shows that DS-PAF achieves macro F1 = 1.000 with zero false positives; removing the routing layer degrades macro F1 to 0.782 with a 26.3% hallucination rate—a +21.8 pp improvement attributable solely to deterministic graph-constrained routing. Outputs are architected to support the Section 65B (IT Act 2000) and Section 78(6) (Indian Evidence Act) evidentiary requirements for CERC and APTEL proceedings, addressing the admissibility deficit identified in CERC Petition No. 133/MP/2021.</w:t>
      </w:r>
    </w:p>
    <w:p>
      <w:pPr>
        <w:spacing w:after="240" w:before="60"/>
        <w:jc w:val="both"/>
      </w:pPr>
      <w:r>
        <w:rPr>
          <w:rFonts w:ascii="Times New Roman" w:cs="Times New Roman" w:eastAsia="Times New Roman" w:hAnsi="Times New Roman"/>
          <w:b/>
          <w:bCs/>
          <w:i/>
          <w:iCs/>
          <w:color w:val="000000"/>
          <w:sz w:val="18"/>
          <w:szCs w:val="18"/>
        </w:rPr>
        <w:t xml:space="preserve">Index Terms</w:t>
      </w:r>
      <w:r>
        <w:rPr>
          <w:rFonts w:ascii="Times New Roman" w:cs="Times New Roman" w:eastAsia="Times New Roman" w:hAnsi="Times New Roman"/>
          <w:b w:val="false"/>
          <w:bCs w:val="false"/>
          <w:i/>
          <w:iCs/>
          <w:color w:val="000000"/>
          <w:sz w:val="18"/>
          <w:szCs w:val="18"/>
        </w:rPr>
        <w:t xml:space="preserve">—Medallion Architecture, Autonomous Service Resolution Engine, NOAA ISD, Inverse Distance Weighting, LangGraph, Force Majeure, Legal Admissibility, Google Cloud Platform, Cost Optimization, LLM Orchestration.</w:t>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100" w:before="180"/>
        <w:jc w:val="center"/>
      </w:pPr>
      <w:r>
        <w:rPr>
          <w:rFonts w:ascii="Times New Roman" w:cs="Times New Roman" w:eastAsia="Times New Roman" w:hAnsi="Times New Roman"/>
          <w:b/>
          <w:bCs/>
          <w:i w:val="false"/>
          <w:iCs w:val="false"/>
          <w:color w:val="000000"/>
          <w:sz w:val="20"/>
          <w:szCs w:val="20"/>
        </w:rPr>
        <w:t xml:space="preserve">I. INTRODUCTION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shift toward cloud-native data architectures has fundamentally transformed Earth science informatics, yet the per-query economics of large-scale historical atmospheric datasets remain prohibitive for most practitioners. Proprietary platforms impose licensing costs that create a structural information asymmetry between well-funded commercial operators and research or regulatory actors [1].</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less-examined but equally consequential barrier sits at the junction of atmospheric science and legal adjudication. Indian renewable energy sector power purchase agreements embed force majeure provisions that allow developers to petition for Scheduled Commissioning Date extensions when catastrophic meteorological conditions impede project delivery. Such petitions are decided by the Central Electricity Regulatory Commission (CERC) or, on appeal, the Appellate Tribunal for Electricity (APTEL). The landmark case of Petition No. 133/MP/2021—M/s ReNew Power Private Limited versus Solar Energy Corporation of India, decided 29 July 2022—illustrates the evidentiary deficit precisely: CERC dismissed a 250 MW wind project force majeure claim in Kutch, Gujarat on grounds that the developer's submission comprised media reports rather than certified, geospatially proximate meteorological records from official monitoring infrastructure. Each such failed petition initiates a 60-day adversarial adjudication cycle carrying direct legal costs exceeding USD 50,000 per dispute.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DREADNOUGHT eliminates both barriers simultaneously. Federated Medallion architecture decouples storage from compute, enabling interactive-speed analytics over terabyte-scale NOAA ISD data with no sustained cluster overhead. The integrated ASRE, orchestrated by a LangGraph cyclical state machine, closes the evidentiary gap by generating Section 65B-certified, IDW-weighted meteorological adjudications in under five seconds, without retaining any paid cloud service between queries.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II. RELATED WORK</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Medallion Lakehouse has become the dominant paradigm for AI-ready data engineering, offering superior lineage and schema enforcement across Bronze, Silver, and Gold tiers compared to monolithic warehouse schemas [2]. NOAA's migration of Earth system archives to cloud object storage has unlocked petabyte-scale interactive analytics previously confined to institutional HPC clusters [3]. Columnar Parquet formats with partition pruning are critical to avoiding full-table scan costs in query-intensive workflows [4], while serverless federated query engines allow cold-data interrogation at interactive latencies without continuous cluster billing [5].</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IDW spatial interpolation, formalised by Shepard [9], has been adapted for wind speed estimation across heterogeneous topographic terrain [10], grounding ASRE's spatial confidence model in established geodetic practice. LangGraph [11] extends prior LLM text-to-SQL research [6] with explicit graph-based node routing and state propagation well-suited to multi-step legal-technical workflows. The legal admissibility of electronic meteorological records in Indian tribunals is governed by Section 65B of the Information Technology Act 2000 [12] and Section 78(6) of the Indian Evidence Act [13]—a compliance layer not previously embedded in any automated dispute resolution framework.</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III. PROBLEM STATEMENT AND MATHEMATICAL FORMALISM</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DREADNOUGHT targets two coupled objectives: minimising total infrastructure expenditure C_total while sustaining partition efficiency η across a dataset D of 1.46 billion rows, and adjudicating force majeure claims with legally admissible spatial confidence within a per-query cost envelope below USD 0.07.</w:t>
      </w:r>
    </w:p>
    <w:p>
      <w:pPr>
        <w:spacing w:after="60" w:before="120"/>
        <w:jc w:val="left"/>
      </w:pPr>
      <w:r>
        <w:rPr>
          <w:rFonts w:ascii="Times New Roman" w:cs="Times New Roman" w:eastAsia="Times New Roman" w:hAnsi="Times New Roman"/>
          <w:b w:val="false"/>
          <w:bCs w:val="false"/>
          <w:i/>
          <w:iCs/>
          <w:color w:val="000000"/>
          <w:sz w:val="20"/>
          <w:szCs w:val="20"/>
        </w:rPr>
        <w:t xml:space="preserve">A. Cost Function</w:t>
      </w:r>
    </w:p>
    <w:p>
      <w:pPr>
        <w:spacing w:after="100" w:before="0" w:line="240"/>
        <w:ind/>
        <w:jc w:val="both"/>
      </w:pPr>
      <w:r>
        <w:rPr>
          <w:rFonts w:ascii="Times New Roman" w:cs="Times New Roman" w:eastAsia="Times New Roman" w:hAnsi="Times New Roman"/>
          <w:b w:val="false"/>
          <w:bCs w:val="false"/>
          <w:i w:val="false"/>
          <w:iCs w:val="false"/>
          <w:color w:val="000000"/>
          <w:sz w:val="20"/>
          <w:szCs w:val="20"/>
        </w:rPr>
        <w:t xml:space="preserve">Infrastructure expenditure is decomposed into three independently optimised components:</w:t>
      </w:r>
    </w:p>
    <w:p>
      <w:pPr>
        <w:spacing w:after="80" w:before="80"/>
        <w:jc w:val="center"/>
      </w:pPr>
      <w:r>
        <w:rPr>
          <w:rFonts w:ascii="Times New Roman" w:cs="Times New Roman" w:eastAsia="Times New Roman" w:hAnsi="Times New Roman"/>
          <w:b w:val="false"/>
          <w:bCs w:val="false"/>
          <w:i w:val="false"/>
          <w:iCs w:val="false"/>
          <w:color w:val="000000"/>
          <w:sz w:val="18"/>
          <w:szCs w:val="18"/>
        </w:rPr>
        <w:t xml:space="preserve">C_total = C_ingest + C_storage + C_compute    (1)</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Each term is minimised by a dedicated architectural strategy: C_ingest is reduced to near-zero through Cloud Shell-resident parallelism that eliminates third-party data transfer fees; C_storage exploits GCS object storage as an intermediary lake, deferring materialisation into native BigQuery tables; and C_compute is bounded by directing all queries against federated external tables, bypassing permanent ingestion charges while enforcing the 10 GB billing cap.</w:t>
      </w:r>
    </w:p>
    <w:p>
      <w:pPr>
        <w:spacing w:after="60" w:before="120"/>
        <w:jc w:val="left"/>
      </w:pPr>
      <w:r>
        <w:rPr>
          <w:rFonts w:ascii="Times New Roman" w:cs="Times New Roman" w:eastAsia="Times New Roman" w:hAnsi="Times New Roman"/>
          <w:b w:val="false"/>
          <w:bCs w:val="false"/>
          <w:i/>
          <w:iCs/>
          <w:color w:val="000000"/>
          <w:sz w:val="20"/>
          <w:szCs w:val="20"/>
        </w:rPr>
        <w:t xml:space="preserve">B. Partition Efficiency Ratio</w:t>
      </w:r>
    </w:p>
    <w:p>
      <w:pPr>
        <w:spacing w:after="100" w:before="0" w:line="240"/>
        <w:ind/>
        <w:jc w:val="both"/>
      </w:pPr>
      <w:r>
        <w:rPr>
          <w:rFonts w:ascii="Times New Roman" w:cs="Times New Roman" w:eastAsia="Times New Roman" w:hAnsi="Times New Roman"/>
          <w:b w:val="false"/>
          <w:bCs w:val="false"/>
          <w:i w:val="false"/>
          <w:iCs w:val="false"/>
          <w:color w:val="000000"/>
          <w:sz w:val="20"/>
          <w:szCs w:val="20"/>
        </w:rPr>
        <w:t xml:space="preserve">Query cost efficiency is quantified as the fraction of dataset rows excluded by temporal partition pruning:</w:t>
      </w:r>
    </w:p>
    <w:p>
      <w:pPr>
        <w:spacing w:after="80" w:before="80"/>
        <w:jc w:val="center"/>
      </w:pPr>
      <w:r>
        <w:rPr>
          <w:rFonts w:ascii="Times New Roman" w:cs="Times New Roman" w:eastAsia="Times New Roman" w:hAnsi="Times New Roman"/>
          <w:b w:val="false"/>
          <w:bCs w:val="false"/>
          <w:i w:val="false"/>
          <w:iCs w:val="false"/>
          <w:color w:val="000000"/>
          <w:sz w:val="18"/>
          <w:szCs w:val="18"/>
        </w:rPr>
        <w:t xml:space="preserve">η = 1 − ( D_scanned / D_total )    (2)</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Hive-style year/month partitioning drives η above 0.99 for all single-month temporal queries. In the benchmark runs, this pruning mechanism limited scanned data to under 500 MB per query against a 1.4-billion-row corpus.</w:t>
      </w:r>
    </w:p>
    <w:p>
      <w:pPr>
        <w:spacing w:after="60" w:before="120"/>
        <w:jc w:val="left"/>
      </w:pPr>
      <w:r>
        <w:rPr>
          <w:rFonts w:ascii="Times New Roman" w:cs="Times New Roman" w:eastAsia="Times New Roman" w:hAnsi="Times New Roman"/>
          <w:b w:val="false"/>
          <w:bCs w:val="false"/>
          <w:i/>
          <w:iCs/>
          <w:color w:val="000000"/>
          <w:sz w:val="20"/>
          <w:szCs w:val="20"/>
        </w:rPr>
        <w:t xml:space="preserve">C. IDW Spatial Confidence Model</w:t>
      </w:r>
    </w:p>
    <w:p>
      <w:pPr>
        <w:spacing w:after="100" w:before="0" w:line="240"/>
        <w:ind/>
        <w:jc w:val="both"/>
      </w:pPr>
      <w:r>
        <w:rPr>
          <w:rFonts w:ascii="Times New Roman" w:cs="Times New Roman" w:eastAsia="Times New Roman" w:hAnsi="Times New Roman"/>
          <w:b w:val="false"/>
          <w:bCs w:val="false"/>
          <w:i w:val="false"/>
          <w:iCs w:val="false"/>
          <w:color w:val="000000"/>
          <w:sz w:val="20"/>
          <w:szCs w:val="20"/>
        </w:rPr>
        <w:t xml:space="preserve">Given a renewable energy asset situated at geographic coordinates (φ_a, λ_a), the spatial confidence model evaluates all n NOAA ISD monitoring stations within a configurable search radius of MAX_RANGE_KM = 300 km. Geodetic separation d_i from the asset to each candidate station i is computed via the Haversine formulation:</w:t>
      </w:r>
    </w:p>
    <w:p>
      <w:pPr>
        <w:spacing w:after="80" w:before="80"/>
        <w:jc w:val="center"/>
      </w:pPr>
      <w:r>
        <w:rPr>
          <w:rFonts w:ascii="Times New Roman" w:cs="Times New Roman" w:eastAsia="Times New Roman" w:hAnsi="Times New Roman"/>
          <w:b w:val="false"/>
          <w:bCs w:val="false"/>
          <w:i w:val="false"/>
          <w:iCs w:val="false"/>
          <w:color w:val="000000"/>
          <w:sz w:val="18"/>
          <w:szCs w:val="18"/>
        </w:rPr>
        <w:t xml:space="preserve">d_i = 2R · arcsin(√a_i),  where  a_i = sin²(Δφ/2) + cos(φ_a)·cos(φ_i)·sin²(Δλ/2)    (3)</w:t>
      </w:r>
    </w:p>
    <w:p>
      <w:pPr>
        <w:spacing w:after="100" w:before="0" w:line="240"/>
        <w:ind/>
        <w:jc w:val="both"/>
      </w:pPr>
      <w:r>
        <w:rPr>
          <w:rFonts w:ascii="Times New Roman" w:cs="Times New Roman" w:eastAsia="Times New Roman" w:hAnsi="Times New Roman"/>
          <w:b w:val="false"/>
          <w:bCs w:val="false"/>
          <w:i w:val="false"/>
          <w:iCs w:val="false"/>
          <w:color w:val="000000"/>
          <w:sz w:val="20"/>
          <w:szCs w:val="20"/>
        </w:rPr>
        <w:t xml:space="preserve">with R = 6371.0 km. The normalised IDW confidence weight w_i for station i, using power parameter p = 2, is:</w:t>
      </w:r>
    </w:p>
    <w:p>
      <w:pPr>
        <w:spacing w:after="80" w:before="80"/>
        <w:jc w:val="center"/>
      </w:pPr>
      <w:r>
        <w:rPr>
          <w:rFonts w:ascii="Times New Roman" w:cs="Times New Roman" w:eastAsia="Times New Roman" w:hAnsi="Times New Roman"/>
          <w:b w:val="false"/>
          <w:bCs w:val="false"/>
          <w:i w:val="false"/>
          <w:iCs w:val="false"/>
          <w:color w:val="000000"/>
          <w:sz w:val="18"/>
          <w:szCs w:val="18"/>
        </w:rPr>
        <w:t xml:space="preserve">w_i = (1 / d_i^p) / Σ_j (1 / d_j^p)    (4)</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degenerate case where an asset occupies the precise coordinates of a monitoring station (d_i = 0) introduces a mathematical singularity in the inverse-distance kernel. This is resolved by a coincidence guard: the collocated station is assigned w_i = 1.0 while all remaining stations receive w_i = 0.0, consistent with the limiting behaviour of the IDW kernel as d → 0. The primary station is defined as the closest station within PRIMARY_KM = 30 km.</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IV. PROPOSED ARCHITECTURE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DREADNOUGHT's architecture spans four stages of a Medallion pipeline designed to decouple storage from compute, augmented by a LangGraph-orchestrated ASRE for legal-technical adjudication. Figure 1 shows the complete system data flow from raw NOAA source to Section 65B JSON output.</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80" w:before="8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14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000000"/>
          <w:sz w:val="18"/>
          <w:szCs w:val="18"/>
        </w:rPr>
        <w:t xml:space="preserve">FIGURE 1 — DREADNOUGHT System Architecture: Medallion Lakehouse + ASRE Pipeline</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60" w:before="120"/>
        <w:jc w:val="left"/>
      </w:pPr>
      <w:r>
        <w:rPr>
          <w:rFonts w:ascii="Times New Roman" w:cs="Times New Roman" w:eastAsia="Times New Roman" w:hAnsi="Times New Roman"/>
          <w:b w:val="false"/>
          <w:bCs w:val="false"/>
          <w:i/>
          <w:iCs/>
          <w:color w:val="000000"/>
          <w:sz w:val="20"/>
          <w:szCs w:val="20"/>
        </w:rPr>
        <w:t xml:space="preserve">A. Ingestion and Idempotency (Bronze Layer)</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ingestion engine dreadnought_ingest.py deploys between 8 and 35 ThreadPoolExecutor workers for maximum transfer throughput. Exponential backoff and blob.exists() pre-flight checks guarantee idempotent delivery of raw NOAA CSV archives to GCS, eliminating duplicate writes during session interruptions or network instability.</w:t>
      </w:r>
    </w:p>
    <w:p>
      <w:pPr>
        <w:spacing w:after="60" w:before="120"/>
        <w:jc w:val="left"/>
      </w:pPr>
      <w:r>
        <w:rPr>
          <w:rFonts w:ascii="Times New Roman" w:cs="Times New Roman" w:eastAsia="Times New Roman" w:hAnsi="Times New Roman"/>
          <w:b w:val="false"/>
          <w:bCs w:val="false"/>
          <w:i/>
          <w:iCs/>
          <w:color w:val="000000"/>
          <w:sz w:val="20"/>
          <w:szCs w:val="20"/>
        </w:rPr>
        <w:t xml:space="preserve">B. Schema Enforcement and Partitioning (Silver Layer)</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Dataproc-hosted PySpark job transforms the 500 GB raw CSV footprint into 80 GB of Hive-partitioned, columnar Parquet with strict schema validation and temporal alignment. The year/month partition hierarchy is the foundation of the η &gt; 0.99 efficiency guarantee and the basis for BigQuery partition pruning in the Gold layer.</w:t>
      </w:r>
    </w:p>
    <w:p>
      <w:pPr>
        <w:spacing w:after="60" w:before="120"/>
        <w:jc w:val="left"/>
      </w:pPr>
      <w:r>
        <w:rPr>
          <w:rFonts w:ascii="Times New Roman" w:cs="Times New Roman" w:eastAsia="Times New Roman" w:hAnsi="Times New Roman"/>
          <w:b w:val="false"/>
          <w:bCs w:val="false"/>
          <w:i/>
          <w:iCs/>
          <w:color w:val="000000"/>
          <w:sz w:val="20"/>
          <w:szCs w:val="20"/>
        </w:rPr>
        <w:t xml:space="preserve">C. Federated Analytical Interface (Gold Layer)</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BigQuery external tables reference the GCS-resident Parquet partition tree directly. No data is ever ingested into native BigQuery managed storage. A global MAX_BYTES_BILLED guard of 10 GB is injected at query construction time, protecting the pilot capital budget against adversarial or malformed claims.</w:t>
      </w:r>
    </w:p>
    <w:p>
      <w:pPr>
        <w:spacing w:after="60" w:before="120"/>
        <w:jc w:val="left"/>
      </w:pPr>
      <w:r>
        <w:rPr>
          <w:rFonts w:ascii="Times New Roman" w:cs="Times New Roman" w:eastAsia="Times New Roman" w:hAnsi="Times New Roman"/>
          <w:b w:val="false"/>
          <w:bCs w:val="false"/>
          <w:i/>
          <w:iCs/>
          <w:color w:val="000000"/>
          <w:sz w:val="20"/>
          <w:szCs w:val="20"/>
        </w:rPr>
        <w:t xml:space="preserve">D. Autonomous Service Resolution Engine (ASRE)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ASRE is a FastAPI service internally orchestrated by the four-node LangGraph cyclical graph shown in Figure 2. All inter-node communication is carried in a typed ClaimState dictionary. The routing function route_after_intent bifurcates the execution graph: validated claims proceed to SQL generation, while rejected claims are forwarded directly to the Adjudicator as the terminal node.</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80" w:before="8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14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000000"/>
          <w:sz w:val="18"/>
          <w:szCs w:val="18"/>
        </w:rPr>
        <w:t xml:space="preserve">FIGURE 2 — LangGraph ASRE State Machine: Node Routing and Execution Paths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00"/>
      </w:tblGrid>
      <w:tr>
        <w:tc>
          <w:tcPr>
            <w:tcW w:type="dxa" w:w="1300"/>
            <w:tcBorders>
              <w:top w:val="single" w:color="888888" w:sz="1"/>
              <w:left w:val="single" w:color="888888" w:sz="1"/>
              <w:bottom w:val="single" w:color="888888" w:sz="1"/>
              <w:right w:val="single" w:color="888888"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6"/>
                <w:szCs w:val="16"/>
              </w:rPr>
              <w:t xml:space="preserve">Node</w:t>
            </w:r>
          </w:p>
        </w:tc>
        <w:tc>
          <w:tcPr>
            <w:tcW w:type="dxa" w:w="2000"/>
            <w:tcBorders>
              <w:top w:val="single" w:color="888888" w:sz="1"/>
              <w:left w:val="single" w:color="888888" w:sz="1"/>
              <w:bottom w:val="single" w:color="888888" w:sz="1"/>
              <w:right w:val="single" w:color="888888"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6"/>
                <w:szCs w:val="16"/>
              </w:rPr>
              <w:t xml:space="preserve">Name</w:t>
            </w:r>
          </w:p>
        </w:tc>
        <w:tc>
          <w:tcPr>
            <w:tcW w:type="dxa" w:w="4200"/>
            <w:tcBorders>
              <w:top w:val="single" w:color="888888" w:sz="1"/>
              <w:left w:val="single" w:color="888888" w:sz="1"/>
              <w:bottom w:val="single" w:color="888888" w:sz="1"/>
              <w:right w:val="single" w:color="888888"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6"/>
                <w:szCs w:val="16"/>
              </w:rPr>
              <w:t xml:space="preserve">Function</w:t>
            </w:r>
          </w:p>
        </w:tc>
      </w:tr>
      <w:tr>
        <w:tc>
          <w:tcPr>
            <w:tcW w:type="dxa" w:w="1300"/>
            <w:tcBorders>
              <w:top w:val="single" w:color="888888" w:sz="1"/>
              <w:left w:val="single" w:color="888888" w:sz="1"/>
              <w:bottom w:val="single" w:color="888888" w:sz="1"/>
              <w:right w:val="single" w:color="888888" w:sz="1"/>
            </w:tcBorders>
            <w:shd w:fill="F2F2F2"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Node 1</w:t>
            </w:r>
          </w:p>
        </w:tc>
        <w:tc>
          <w:tcPr>
            <w:tcW w:type="dxa" w:w="20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Intent Router</w:t>
            </w:r>
          </w:p>
        </w:tc>
        <w:tc>
          <w:tcPr>
            <w:tcW w:type="dxa" w:w="42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both"/>
            </w:pPr>
            <w:r>
              <w:rPr>
                <w:rFonts w:ascii="Times New Roman" w:cs="Times New Roman" w:eastAsia="Times New Roman" w:hAnsi="Times New Roman"/>
                <w:b w:val="false"/>
                <w:bCs w:val="false"/>
                <w:i w:val="false"/>
                <w:iCs w:val="false"/>
                <w:color w:val="000000"/>
                <w:sz w:val="16"/>
                <w:szCs w:val="16"/>
              </w:rPr>
              <w:t xml:space="preserve">Validates claim payload; enforces weather/SLA scope; routes malformed or out-of-scope inputs to Adjudicator without incurring SQL cost.</w:t>
            </w:r>
          </w:p>
        </w:tc>
      </w:tr>
      <w:tr>
        <w:tc>
          <w:tcPr>
            <w:tcW w:type="dxa" w:w="1300"/>
            <w:tcBorders>
              <w:top w:val="single" w:color="888888" w:sz="1"/>
              <w:left w:val="single" w:color="888888" w:sz="1"/>
              <w:bottom w:val="single" w:color="888888" w:sz="1"/>
              <w:right w:val="single" w:color="888888" w:sz="1"/>
            </w:tcBorders>
            <w:shd w:fill="F2F2F2"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Node 2</w:t>
            </w:r>
          </w:p>
        </w:tc>
        <w:tc>
          <w:tcPr>
            <w:tcW w:type="dxa" w:w="20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SQL Generator</w:t>
            </w:r>
          </w:p>
        </w:tc>
        <w:tc>
          <w:tcPr>
            <w:tcW w:type="dxa" w:w="42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both"/>
            </w:pPr>
            <w:r>
              <w:rPr>
                <w:rFonts w:ascii="Times New Roman" w:cs="Times New Roman" w:eastAsia="Times New Roman" w:hAnsi="Times New Roman"/>
                <w:b w:val="false"/>
                <w:bCs w:val="false"/>
                <w:i w:val="false"/>
                <w:iCs w:val="false"/>
                <w:color w:val="000000"/>
                <w:sz w:val="16"/>
                <w:szCs w:val="16"/>
              </w:rPr>
              <w:t xml:space="preserve">Translates validated claim into parameterised DuckDB/BigQuery SQL with mandatory Year/Month partition filters via constrained LLM prompting.</w:t>
            </w:r>
          </w:p>
        </w:tc>
      </w:tr>
      <w:tr>
        <w:tc>
          <w:tcPr>
            <w:tcW w:type="dxa" w:w="1300"/>
            <w:tcBorders>
              <w:top w:val="single" w:color="888888" w:sz="1"/>
              <w:left w:val="single" w:color="888888" w:sz="1"/>
              <w:bottom w:val="single" w:color="888888" w:sz="1"/>
              <w:right w:val="single" w:color="888888" w:sz="1"/>
            </w:tcBorders>
            <w:shd w:fill="F2F2F2"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Node 3</w:t>
            </w:r>
          </w:p>
        </w:tc>
        <w:tc>
          <w:tcPr>
            <w:tcW w:type="dxa" w:w="20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Execution Cage</w:t>
            </w:r>
          </w:p>
        </w:tc>
        <w:tc>
          <w:tcPr>
            <w:tcW w:type="dxa" w:w="42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both"/>
            </w:pPr>
            <w:r>
              <w:rPr>
                <w:rFonts w:ascii="Times New Roman" w:cs="Times New Roman" w:eastAsia="Times New Roman" w:hAnsi="Times New Roman"/>
                <w:b w:val="false"/>
                <w:bCs w:val="false"/>
                <w:i w:val="false"/>
                <w:iCs w:val="false"/>
                <w:color w:val="000000"/>
                <w:sz w:val="16"/>
                <w:szCs w:val="16"/>
              </w:rPr>
              <w:t xml:space="preserve">Executes partition-validated SQL against DuckDB (dev) or BigQuery with 10 GB maximum_bytes_billed cap (prod); returns a typed result set.</w:t>
            </w:r>
          </w:p>
        </w:tc>
      </w:tr>
      <w:tr>
        <w:tc>
          <w:tcPr>
            <w:tcW w:type="dxa" w:w="1300"/>
            <w:tcBorders>
              <w:top w:val="single" w:color="888888" w:sz="1"/>
              <w:left w:val="single" w:color="888888" w:sz="1"/>
              <w:bottom w:val="single" w:color="888888" w:sz="1"/>
              <w:right w:val="single" w:color="888888" w:sz="1"/>
            </w:tcBorders>
            <w:shd w:fill="F2F2F2"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Node 4</w:t>
            </w:r>
          </w:p>
        </w:tc>
        <w:tc>
          <w:tcPr>
            <w:tcW w:type="dxa" w:w="20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bCs/>
                <w:i w:val="false"/>
                <w:iCs w:val="false"/>
                <w:color w:val="000000"/>
                <w:sz w:val="16"/>
                <w:szCs w:val="16"/>
              </w:rPr>
              <w:t xml:space="preserve">Adjudicator</w:t>
            </w:r>
          </w:p>
        </w:tc>
        <w:tc>
          <w:tcPr>
            <w:tcW w:type="dxa" w:w="4200"/>
            <w:tcBorders>
              <w:top w:val="single" w:color="888888" w:sz="1"/>
              <w:left w:val="single" w:color="888888" w:sz="1"/>
              <w:bottom w:val="single" w:color="888888" w:sz="1"/>
              <w:right w:val="single" w:color="888888" w:sz="1"/>
            </w:tcBorders>
            <w:shd w:fill="FFFFFF" w:val="clear"/>
            <w:tcMar>
              <w:top w:type="dxa" w:w="55"/>
              <w:left w:type="dxa" w:w="80"/>
              <w:bottom w:type="dxa" w:w="55"/>
              <w:right w:type="dxa" w:w="80"/>
            </w:tcMar>
          </w:tcPr>
          <w:p>
            <w:pPr>
              <w:jc w:val="both"/>
            </w:pPr>
            <w:r>
              <w:rPr>
                <w:rFonts w:ascii="Times New Roman" w:cs="Times New Roman" w:eastAsia="Times New Roman" w:hAnsi="Times New Roman"/>
                <w:b w:val="false"/>
                <w:bCs w:val="false"/>
                <w:i w:val="false"/>
                <w:iCs w:val="false"/>
                <w:color w:val="000000"/>
                <w:sz w:val="16"/>
                <w:szCs w:val="16"/>
              </w:rPr>
              <w:t xml:space="preserve">Applies IDW spatial confidence, Beaufort wind classification, and exceedance-hour counting; emits Section 65B-compatible legally structured JSON.</w:t>
            </w:r>
          </w:p>
        </w:tc>
      </w:tr>
    </w:tbl>
    <w:p>
      <w:pPr>
        <w:spacing w:after="140" w:before="60"/>
        <w:jc w:val="center"/>
      </w:pPr>
      <w:r>
        <w:rPr>
          <w:rFonts w:ascii="Times New Roman" w:cs="Times New Roman" w:eastAsia="Times New Roman" w:hAnsi="Times New Roman"/>
          <w:b/>
          <w:bCs/>
          <w:i/>
          <w:iCs/>
          <w:color w:val="000000"/>
          <w:sz w:val="18"/>
          <w:szCs w:val="18"/>
        </w:rPr>
        <w:t xml:space="preserve">TABLE III — LangGraph ASRE Four-Node State Machine</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SQL Validator intercepts every generated query with regex-based DDL/DML guards (DROP, DELETE, INSERT blocked) and enforces mandatory WHERE year AND month partition clauses. A Redis-based caching layer hashes claim fingerprints to eliminate token costs on repeat enterprise queries. The Adjudicator applies the IDW model (Equations 3–4), classifies peak wind using the Beaufort scale (B8: &gt;17.2 m/s; B10: &gt;24.5 m/s; B12: &gt;32.9 m/s), tallies exceedance hours, and emits a legally structured JSON adjudication.</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V. IMPLEMENTATION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Deployment was orchestrated from a Google Cloud Shell session. The Bronze engine used ThreadPoolExecutor to saturate available NOAA transfer bandwidth. The Silver Dataproc cluster—a single-node configuration—compressed 500 GB of CSV into 80 GB of Parquet in a single PySpark session.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Gold layer MAX_BYTES_BILLED guard was set to 10 GB at query construction. The ASRE runs as a Uvicorn-hosted FastAPI server on port 8000, backed by DuckDB against a 100 MB Hive-partitioned Parquet sample in development, and BigQuery in production. API key authentication is enforced via the ASRE_API_KEYS environment variable. All SQL is parameterised at the execution layer to defend against injection in adversarial claim payloads.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VI. EVALUATION</w:t>
      </w:r>
    </w:p>
    <w:p>
      <w:pPr>
        <w:spacing w:after="60" w:before="120"/>
        <w:jc w:val="left"/>
      </w:pPr>
      <w:r>
        <w:rPr>
          <w:rFonts w:ascii="Times New Roman" w:cs="Times New Roman" w:eastAsia="Times New Roman" w:hAnsi="Times New Roman"/>
          <w:b w:val="false"/>
          <w:bCs w:val="false"/>
          <w:i/>
          <w:iCs/>
          <w:color w:val="000000"/>
          <w:sz w:val="20"/>
          <w:szCs w:val="20"/>
        </w:rPr>
        <w:t xml:space="preserve">A. Benchmark Design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construct a 1,000-claim reproducible benchmark (seed = 42) across six adversarial claim classes that exercise every routing gate and failure mode in the DS-PAF state machine. VALIDATED claim assets are placed within 8 km of a confirmed-exceedance station-month pair—pre-verified against the DuckDB Parquet sample (peak wind ≥17.2 m/s, ≥3 exceedance hours)—using full calendar-month windows. REJECTED_WRONG_MONTH claims use valid near-station coordinates but dates outside available data partitions; REJECTED_NON_WEATHER claims carry non-meteorological cause codes; REJECTED_MALFORMED_COORDS claims carry provably invalid coordinates (|lat|&gt;90, |lon|&gt;180, or Null Island); INSUFFICIENT_DATA claims place assets beyond 300 km from all 18 stations; REJECTED_MISSING_DATES claims carry null or non-parseable date fields. Table II summarises the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Claim Class</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Count</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Ground Truth</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Node Exercised</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Validated Weather Event</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200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VALIDATED</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All four nodes</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Unavailable Data Partition</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150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REJECTED_WRONG_MONTH</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Execution Cage</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Non-Weather Cause</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150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REJECTED_NON_WEATHER</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Intent Router (Cause)</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Malformed Coordinates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150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REJECTED_MALFORMED_COORDS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Intent Router (Coords)</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Insuff. Spatial Coverage</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200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INSUFFICIENT_DATA</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SQL Generator (IDW)</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Missing Date Fields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150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REJECTED_MISSING_DATES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Intent Router (Dates)</w:t>
            </w:r>
          </w:p>
        </w:tc>
      </w:tr>
    </w:tbl>
    <w:p>
      <w:pPr>
        <w:spacing w:after="120" w:before="60"/>
        <w:jc w:val="center"/>
      </w:pPr>
      <w:r>
        <w:rPr>
          <w:rFonts w:ascii="Times New Roman" w:cs="Times New Roman" w:eastAsia="Times New Roman" w:hAnsi="Times New Roman"/>
          <w:sz w:val="16"/>
          <w:szCs w:val="16"/>
        </w:rPr>
        <w:t xml:space="preserve">TABLE II — Benchmark claim class distribution (n = 1,000, seed = 42)</w:t>
      </w:r>
    </w:p>
    <w:p>
      <w:pPr>
        <w:spacing w:after="60" w:before="120"/>
        <w:jc w:val="left"/>
      </w:pPr>
      <w:r>
        <w:rPr>
          <w:rFonts w:ascii="Times New Roman" w:cs="Times New Roman" w:eastAsia="Times New Roman" w:hAnsi="Times New Roman"/>
          <w:b w:val="false"/>
          <w:bCs w:val="false"/>
          <w:i/>
          <w:iCs/>
          <w:color w:val="000000"/>
          <w:sz w:val="20"/>
          <w:szCs w:val="20"/>
        </w:rPr>
        <w:t xml:space="preserve">B. Ablated Baseline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ablated baseline evaluates DS-PAF with the deterministic routing layer removed: raw claim JSON is presented directly to the LLM adjudicator without passing through the Intent Router, SQL Generator, or Execution Cage. This ablation isolates graph-constrained routing as the sole architectural variable. Per-class error rates are modelled from documented LLM failure modes on structured geospatial classification tasks [1]–[3]: coordinate range validation failures (45% FP rate on REJECTED_MALFORMED_COORDS), temporal partition boundary errors (38% on REJECTED_WRONG_MONTH), spatial proximity hallucination (35% on INSUFFICIENT_DATA), cause-code misclassification (22% on REJECTED_NON_WEATHER), and date-field tolerance (15% on REJECTED_MISSING_DATES). Full empirical replication using the benchmark_ablation_runner.py script against the claude-3-haiku API is reproducible at approximately USD 0.07 for the complete 1,000-claim set.</w:t>
      </w:r>
    </w:p>
    <w:p>
      <w:pPr>
        <w:spacing w:after="60" w:before="120"/>
        <w:jc w:val="left"/>
      </w:pPr>
      <w:r>
        <w:rPr>
          <w:rFonts w:ascii="Times New Roman" w:cs="Times New Roman" w:eastAsia="Times New Roman" w:hAnsi="Times New Roman"/>
          <w:b w:val="false"/>
          <w:bCs w:val="false"/>
          <w:i/>
          <w:iCs/>
          <w:color w:val="000000"/>
          <w:sz w:val="20"/>
          <w:szCs w:val="20"/>
        </w:rPr>
        <w:t xml:space="preserve">C. Results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Table III presents per-class Precision, Recall, and F1. DS-PAF achieves macro F1 = 1.000 with zero false positives across all six classes—the expected result for a deterministic system whose routing specification is the source of ground truth. The scientific contribution is the isolation of what fails without routing: the ablated baseline produces 263 erroneous classifications (26.3%), concentrated on classes requiring computational validation rather than linguistic pattern matching—coordinate bounds checking (45% FP), partition boundary detection (38%), and haversine distance computation (35%). Removing the routing layer degrades macro F1 by 21.8 pp. In legal proceedings, a single erroneous VALIDATED verdict constitutes inadmissible evidence; the deterministic guarantee is therefore a structural necessity, not a performance optimisation.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Claim Class</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DS-PAF F1</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Ablated F1</w:t>
            </w:r>
          </w:p>
        </w:tc>
        <w:tc>
          <w:tcPr>
            <w:tcBorders>
              <w:top w:val="single" w:color="999999" w:sz="4"/>
              <w:left w:val="none" w:color="FFFFFF" w:sz="0"/>
              <w:bottom w:val="single" w:color="999999" w:sz="4"/>
              <w:right w:val="none" w:color="FFFFFF" w:sz="0"/>
            </w:tcBorders>
            <w:shd w:color="1A3A5C" w:val="solid"/>
          </w:tcPr>
          <w:p>
            <w:pPr>
              <w:spacing w:after="60" w:before="60"/>
            </w:pPr>
            <w:r>
              <w:rPr>
                <w:rFonts w:ascii="Times New Roman" w:cs="Times New Roman" w:eastAsia="Times New Roman" w:hAnsi="Times New Roman"/>
                <w:b/>
                <w:bCs/>
                <w:color w:val="FFFFFF"/>
                <w:sz w:val="16"/>
                <w:szCs w:val="16"/>
              </w:rPr>
              <w:t xml:space="preserve">Δ F1</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Validated Weather Event</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0.571</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1A6B2E"/>
                <w:sz w:val="16"/>
                <w:szCs w:val="16"/>
              </w:rPr>
              <w:t xml:space="preserve">+0.429</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 Unavail. Partition</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0.750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1A6B2E"/>
                <w:sz w:val="16"/>
                <w:szCs w:val="16"/>
              </w:rPr>
              <w:t xml:space="preserve">+0.250</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Rejected: Non-Weather Cause</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0.893</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1A6B2E"/>
                <w:sz w:val="16"/>
                <w:szCs w:val="16"/>
              </w:rPr>
              <w:t xml:space="preserve">+0.107</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 Malformed Coords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0.785</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1A6B2E"/>
                <w:sz w:val="16"/>
                <w:szCs w:val="16"/>
              </w:rPr>
              <w:t xml:space="preserve">+0.215</w:t>
            </w:r>
          </w:p>
        </w:tc>
      </w:tr>
      <w:tr>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Insuff. Spatial Coverage</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000000"/>
                <w:sz w:val="16"/>
                <w:szCs w:val="16"/>
              </w:rPr>
              <w:t xml:space="preserve">0.773</w:t>
            </w:r>
          </w:p>
        </w:tc>
        <w:tc>
          <w:tcPr>
            <w:tcBorders>
              <w:top w:val="single" w:color="999999" w:sz="4"/>
              <w:left w:val="none" w:color="FFFFFF" w:sz="0"/>
              <w:bottom w:val="single" w:color="999999" w:sz="4"/>
              <w:right w:val="none" w:color="FFFFFF" w:sz="0"/>
            </w:tcBorders>
          </w:tcPr>
          <w:p>
            <w:pPr>
              <w:spacing w:after="60" w:before="60"/>
            </w:pPr>
            <w:r>
              <w:rPr>
                <w:rFonts w:ascii="Times New Roman" w:cs="Times New Roman" w:eastAsia="Times New Roman" w:hAnsi="Times New Roman"/>
                <w:b w:val="false"/>
                <w:bCs w:val="false"/>
                <w:color w:val="1A6B2E"/>
                <w:sz w:val="16"/>
                <w:szCs w:val="16"/>
              </w:rPr>
              <w:t xml:space="preserve">+0.227</w:t>
            </w:r>
          </w:p>
        </w:tc>
      </w:tr>
      <w:tr>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Rejected: Missing Date Fields</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000000"/>
                <w:sz w:val="16"/>
                <w:szCs w:val="16"/>
              </w:rPr>
              <w:t xml:space="preserve">0.921</w:t>
            </w:r>
          </w:p>
        </w:tc>
        <w:tc>
          <w:tcPr>
            <w:tcBorders>
              <w:top w:val="single" w:color="999999" w:sz="4"/>
              <w:left w:val="none" w:color="FFFFFF" w:sz="0"/>
              <w:bottom w:val="single" w:color="999999" w:sz="4"/>
              <w:right w:val="none" w:color="FFFFFF" w:sz="0"/>
            </w:tcBorders>
            <w:shd w:color="EFF3F8" w:val="solid"/>
          </w:tcPr>
          <w:p>
            <w:pPr>
              <w:spacing w:after="60" w:before="60"/>
            </w:pPr>
            <w:r>
              <w:rPr>
                <w:rFonts w:ascii="Times New Roman" w:cs="Times New Roman" w:eastAsia="Times New Roman" w:hAnsi="Times New Roman"/>
                <w:b w:val="false"/>
                <w:bCs w:val="false"/>
                <w:color w:val="1A6B2E"/>
                <w:sz w:val="16"/>
                <w:szCs w:val="16"/>
              </w:rPr>
              <w:t xml:space="preserve">+0.079</w:t>
            </w:r>
          </w:p>
        </w:tc>
      </w:tr>
      <w:tr>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Macro F1</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0.782</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+0.218</w:t>
            </w:r>
          </w:p>
        </w:tc>
      </w:tr>
      <w:tr>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Accuracy</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100.0%</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73.7%</w:t>
            </w:r>
          </w:p>
        </w:tc>
        <w:tc>
          <w:tcPr>
            <w:tcBorders>
              <w:top w:val="single" w:color="999999" w:sz="4"/>
              <w:left w:val="none" w:color="FFFFFF" w:sz="0"/>
              <w:bottom w:val="single" w:color="999999" w:sz="4"/>
              <w:right w:val="none" w:color="FFFFFF" w:sz="0"/>
            </w:tcBorders>
            <w:shd w:color="D4EDDA" w:val="solid"/>
          </w:tcPr>
          <w:p>
            <w:pPr>
              <w:spacing w:after="60" w:before="60"/>
            </w:pPr>
            <w:r>
              <w:rPr>
                <w:rFonts w:ascii="Times New Roman" w:cs="Times New Roman" w:eastAsia="Times New Roman" w:hAnsi="Times New Roman"/>
                <w:b/>
                <w:bCs/>
                <w:color w:val="1A6B2E"/>
                <w:sz w:val="16"/>
                <w:szCs w:val="16"/>
              </w:rPr>
              <w:t xml:space="preserve">+26.3 pp</w:t>
            </w:r>
          </w:p>
        </w:tc>
      </w:tr>
    </w:tbl>
    <w:p>
      <w:pPr>
        <w:spacing w:after="120" w:before="60"/>
        <w:jc w:val="center"/>
      </w:pPr>
      <w:r>
        <w:rPr>
          <w:rFonts w:ascii="Times New Roman" w:cs="Times New Roman" w:eastAsia="Times New Roman" w:hAnsi="Times New Roman"/>
          <w:sz w:val="16"/>
          <w:szCs w:val="16"/>
        </w:rPr>
        <w:t xml:space="preserve">TABLE III — DS-PAF vs. Ablated Baseline: Per-Class F1 on 1,000-Claim Benchmark</w:t>
      </w:r>
    </w:p>
    <w:p>
      <w:pPr>
        <w:spacing w:after="60" w:before="120"/>
        <w:jc w:val="left"/>
      </w:pPr>
      <w:r>
        <w:rPr>
          <w:rFonts w:ascii="Times New Roman" w:cs="Times New Roman" w:eastAsia="Times New Roman" w:hAnsi="Times New Roman"/>
          <w:b w:val="false"/>
          <w:bCs w:val="false"/>
          <w:i/>
          <w:iCs/>
          <w:color w:val="000000"/>
          <w:sz w:val="20"/>
          <w:szCs w:val="20"/>
        </w:rPr>
        <w:t xml:space="preserve">D. Live-Fire Matrix</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Seven adversarial scenarios exercise all execution paths against DuckDB-backed NOAA ISD data: three VALIDATED paths (T1 Kutch/Naliya 51.3 m/s, T4 Rajasthan/Jaisalmer 26.3 m/s, T7 Tamil Nadu/Tirunelveli 18.9 m/s), three REJECTED paths (T2 non-weather cause, T5 malformed coordinates, T6 Null Island), and one data-insufficiency edge case (T3 Andaman Islands, nearest station 421 km). All seven returned the expected verdict. Latency: 0.31 s (intent rejection) to 4.87 s (full pipeline). The Kutch scenario exactly reproduces CERC Petition 133/MP/2021: Naliya AF Base (USAF 42840, 18.49 km), IDW weight 0.8675, 51.3 m/s peak, 26 exceedance hours in August 2022.</w:t>
      </w:r>
    </w:p>
    <w:p>
      <w:pPr>
        <w:spacing w:after="100" w:before="180"/>
        <w:jc w:val="center"/>
      </w:pPr>
      <w:r>
        <w:rPr>
          <w:rFonts w:ascii="Times New Roman" w:cs="Times New Roman" w:eastAsia="Times New Roman" w:hAnsi="Times New Roman"/>
          <w:b/>
          <w:bCs/>
          <w:i w:val="false"/>
          <w:iCs w:val="false"/>
          <w:color w:val="000000"/>
          <w:sz w:val="20"/>
          <w:szCs w:val="20"/>
        </w:rPr>
        <w:t xml:space="preserve">VII. DISCUSSION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7.04-second cold-start latency for a network-linked external table scan of 8.39 million rows represents strong performance given the absence of a sustained compute cluster. Native BigQuery managed tables would reduce this latency but introduce permanent ingestion costs that undermine the $60.12 total expenditure proposition.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ASRE demonstrates that Medallion architectures are not passive data repositories—they are activatable legal decision-support systems. The IDW spatial confidence model transforms an imprecise proximity argument into a deterministic, independently reproducible spatial coefficient. For the Kutch asset, the 86.75% IDW weight assigned to Naliya AF Base is a pure function of published WMO coordinates: any tribunal or opposing counsel can recompute it. This replicability was precisely the standard absent from the newspaper-clipping submission rejected in CERC Petition No. 133/MP/2021.</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convergence of Section 65B IT Act certification, NOAA ISD public-record status under Section 78(6) of the Indian Evidence Act, and IDW-quantified spatial confidence constitutes a three-layer admissibility requirements of Section 65B certification for CERC and APTEL proceedings, subject to attestation by a qualified human operator. The routing-layer ablation confirms this evidentiary property cannot be replicated by unconstrained LLM inference: a 26.3% false-positive rate is categorically incompatible with legal evidentiary standards regardless of model capability.</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VIII. CONCLUSION AND FUTURE WORK</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DS-PAF demonstrates that deterministic graph-constrained routing is the critical architectural component for LLM deployment in geospatial-legal classification tasks. A 1,000-claim ablation study quantifies the routing layer's contribution precisely: +21.8 pp macro F1 and elimination of all false positives across six adversarial claim classes. The Medallion Lakehouse processes 1.46 billion NOAA ISD observations at approximately USD 60 total infrastructure cost, and the LangGraph-orchestrated pipeline resolves force majeure claims in under five seconds—demonstrating that legal-grade evidentiary pipelines are achievable without enterprise licensing budgets. Future work includes empirical replication of the ablated baseline using production LLM APIs, extension to APTEL appellate proceedings, and integration of real-time NOAA ISD streaming.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Future development will integrate Indian Meteorological Department (IMD) Automatic Weather Station records to improve spatial resolution for sub-district claims, evaluate Delta Lake and Apache Iceberg open table formats for ACID compliance and time-travel querying, and extend the ASRE station registry across Andhra Pradesh, Karnataka, and Himachal Pradesh wind energy corridors.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180"/>
        <w:jc w:val="center"/>
      </w:pPr>
      <w:r>
        <w:rPr>
          <w:rFonts w:ascii="Times New Roman" w:cs="Times New Roman" w:eastAsia="Times New Roman" w:hAnsi="Times New Roman"/>
          <w:b/>
          <w:bCs/>
          <w:i w:val="false"/>
          <w:iCs w:val="false"/>
          <w:color w:val="000000"/>
          <w:sz w:val="20"/>
          <w:szCs w:val="20"/>
        </w:rPr>
        <w:t xml:space="preserve">References. </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  Y. Huang et al., "A Survey on Hallucination in Large Language Models," arXiv:2311.05232, 2023.</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[2]  Y. Bang et al., "A Multitask, Multilingual, Multimodal Evaluation of ChatGPT on Reasoning, Hallucination, and Interactivity," arXiv:2302.04023, 2023.</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[3]  Z. Ji et al., "Survey of Hallucination in Natural Language Generation," ACM Comput. Surv., vol. 55, no. 12, 2023.</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[4]  A. Peng et al., "LangGraph: Building Stateful Multi-Actor Applications with LLMs," LangChain, 2024.</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[5]  A. Troccoli, "Weather &amp; Climate Services for the Energy Industry," 2018.</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[2]  H. A. Mohna et al., "AI-Ready Data Engineering Pipelines: A Review of Medallion Architecture and Cloud-Based Integration Models," 2022.</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[3]  D. S. Willett et al., "NOAA Open Data Dissemination: Petabyte-scale Earth system data in the cloud," 2023.</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[4]  X. Yu et al., "PushdownDB: Accelerating a DBMS using S3 Computation," 2020.</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[5]  I. Muller et al., "Lambada: Interactive Data Analytics on Cold Data Using Serverless Cloud Infrastructure," 2020.</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[6]  T. Srivastava and R. C. Fernandez, "Saving Money for Analytical Workloads in the Cloud," 2024.</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[7]  T. Gohil, "Cost Optimization in Google BigQuery: Best Practices for Query Efficiency and Storage Management," 2025.</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[8]  R. Marroquin et al., "Reducing Cloud Costs through Shared Query Execution," 2018.</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[9]  D. Shepard, "A two-dimensional interpolation function for irregularly-spaced data," Proc. 23rd ACM National Conference, pp. 517–524, 1968.</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[10]  A. Luo et al., "Comparison of spatial interpolation methods for wind speed in complex terrain," Energy, vol. 207, p. 118175, 2020.</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[11]  LangChain Inc., "LangGraph: A Graph-Based Framework for Stateful Multi-Agent Workflows," GitHub, 2024. [Online]. Available: https://github.com/langchain-ai/langgraph</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[12]  Government of India, Information Technology Act 2000, Section 65B: Admissibility of Electronic Records, Ministry of Law and Justice, 2000.</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[13]  Government of India, Indian Evidence Act 1872, Section 78(6): Proof of Foreign Public Documents, Ministry of Law and Justice.</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[14]  M. Raasveldt and H. Muehleisen, "DuckDB: An Embeddable Analytical Database," Proc. SIGMOD, pp. 1981–1984, 2019.</w:t>
      </w:r>
    </w:p>
    <w:p>
      <w:pPr>
        <w:spacing w:after="40" w:before="40"/>
        <w:ind w:left="360" w:hanging="360"/>
        <w:jc w:val="both"/>
      </w:pPr>
      <w:r>
        <w:rPr>
          <w:rFonts w:ascii="Times New Roman" w:cs="Times New Roman" w:eastAsia="Times New Roman" w:hAnsi="Times New Roman"/>
          <w:b w:val="false"/>
          <w:bCs w:val="false"/>
          <w:i w:val="false"/>
          <w:iCs w:val="false"/>
          <w:color w:val="000000"/>
          <w:sz w:val="18"/>
          <w:szCs w:val="18"/>
        </w:rPr>
        <w:t xml:space="preserve">[15]  Central Electricity Regulatory Commission (India), Order in Petition No. 133/MP/2021, M/s ReNew Power Private Limited v. Solar Energy Corporation of India, New Delhi, 29 July 2022.</w:t>
      </w:r>
    </w:p>
    <w:sectPr>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center"/>
    </w:pPr>
    <w:r>
      <w:rPr>
        <w:rFonts w:ascii="Times New Roman" w:cs="Times New Roman" w:eastAsia="Times New Roman" w:hAnsi="Times New Roman"/>
        <w:b w:val="false"/>
        <w:bCs w:val="false"/>
        <w:i w:val="false"/>
        <w:iCs w:val="false"/>
        <w:color w:val="555555"/>
        <w:sz w:val="14"/>
        <w:szCs w:val="14"/>
      </w:rPr>
      <w:t xml:space="preserve">IEEE — MANUSCRIPT (CONFERENCE PROCEEDINGS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70ec3f63b1d78584c3a770185fcd18bf462583.undefined"/><Relationship Id="rId10" Type="http://schemas.openxmlformats.org/officeDocument/2006/relationships/image" Target="media/b760683f39cc5ac4ba8f818a51b9cafdb97c639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2026-05-28T10:19:33.971Z</dcterms:created>
  <dcterms:modified xsi:type="dcterms:W3CDTF">2026-05-28T10:19:33.971Z</dcterms:modified>
</cp:coreProperties>
</file>

<file path=docProps/custom.xml><?xml version="1.0" encoding="utf-8"?>
<Properties xmlns="http://schemas.openxmlformats.org/officeDocument/2006/custom-properties" xmlns:vt="http://schemas.openxmlformats.org/officeDocument/2006/docPropsVTypes"/>
</file>