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rFonts w:ascii="Calibri" w:cs="Calibri" w:eastAsia="Calibri" w:hAnsi="Calibri"/>
          <w:b/>
          <w:bCs/>
          <w:color w:val="1F3864"/>
          <w:sz w:val="56"/>
          <w:szCs w:val="56"/>
        </w:rPr>
        <w:t xml:space="preserve">PROJECT DREADNOUGHT</w:t>
      </w:r>
    </w:p>
    <w:p>
      <w:pPr>
        <w:spacing w:after="480"/>
        <w:jc w:val="center"/>
      </w:pPr>
      <w:r>
        <w:rPr>
          <w:rFonts w:ascii="Calibri" w:cs="Calibri" w:eastAsia="Calibri" w:hAnsi="Calibri"/>
          <w:i/>
          <w:iCs/>
          <w:color w:val="2E75B6"/>
          <w:sz w:val="28"/>
          <w:szCs w:val="28"/>
        </w:rPr>
        <w:t xml:space="preserve">A Cost-Efficient Cloud-Native Medallion Architecture</w:t>
      </w:r>
    </w:p>
    <w:p>
      <w:pPr>
        <w:spacing w:after="240"/>
        <w:jc w:val="center"/>
      </w:pPr>
      <w:r>
        <w:rPr>
          <w:rFonts w:ascii="Calibri" w:cs="Calibri" w:eastAsia="Calibri" w:hAnsi="Calibri"/>
          <w:i/>
          <w:iCs/>
          <w:color w:val="2E75B6"/>
          <w:sz w:val="28"/>
          <w:szCs w:val="28"/>
        </w:rPr>
        <w:t xml:space="preserve">for Petabyte-Scale Weather Analytics</w:t>
      </w:r>
    </w:p>
    <w:p>
      <w:pPr>
        <w:spacing w:after="240" w:before="800"/>
        <w:jc w:val="center"/>
      </w:pPr>
      <w:r>
        <w:rPr>
          <w:rFonts w:ascii="Calibri" w:cs="Calibri" w:eastAsia="Calibri" w:hAnsi="Calibri"/>
          <w:color w:val="595959"/>
          <w:sz w:val="24"/>
          <w:szCs w:val="24"/>
        </w:rPr>
        <w:t xml:space="preserve">Comprehensive Project Evaluation Report</w:t>
      </w:r>
    </w:p>
    <w:p>
      <w:pPr>
        <w:pBdr>
          <w:bottom w:val="single" w:color="2E75B6" w:sz="8" w:space="1"/>
        </w:pBdr>
        <w:spacing w:after="200" w:before="200"/>
      </w:pPr>
      <w:r>
        <w:t xml:space="preserve"/>
      </w:r>
    </w:p>
    <w:p>
      <w:pPr>
        <w:spacing w:after="120" w:before="600"/>
        <w:jc w:val="center"/>
      </w:pPr>
      <w:r>
        <w:rPr>
          <w:rFonts w:ascii="Calibri" w:cs="Calibri" w:eastAsia="Calibri" w:hAnsi="Calibri"/>
          <w:color w:val="595959"/>
          <w:sz w:val="20"/>
          <w:szCs w:val="20"/>
        </w:rPr>
        <w:t xml:space="preserve">Submitted by</w:t>
      </w:r>
    </w:p>
    <w:p>
      <w:pPr>
        <w:spacing w:after="80"/>
        <w:jc w:val="center"/>
      </w:pPr>
      <w:r>
        <w:rPr>
          <w:rFonts w:ascii="Calibri" w:cs="Calibri" w:eastAsia="Calibri" w:hAnsi="Calibri"/>
          <w:b/>
          <w:bCs/>
          <w:color w:val="1F3864"/>
          <w:sz w:val="28"/>
          <w:szCs w:val="28"/>
        </w:rPr>
        <w:t xml:space="preserve">Prajwal Patil</w:t>
      </w:r>
    </w:p>
    <w:p>
      <w:pPr>
        <w:spacing w:after="80"/>
        <w:jc w:val="center"/>
      </w:pPr>
      <w:r>
        <w:rPr>
          <w:rFonts w:ascii="Calibri" w:cs="Calibri" w:eastAsia="Calibri" w:hAnsi="Calibri"/>
          <w:color w:val="262626"/>
          <w:sz w:val="22"/>
          <w:szCs w:val="22"/>
        </w:rPr>
        <w:t xml:space="preserve">B.Tech Computer Science and Engineering</w:t>
      </w:r>
    </w:p>
    <w:p>
      <w:pPr>
        <w:spacing w:after="80"/>
        <w:jc w:val="center"/>
      </w:pPr>
      <w:r>
        <w:rPr>
          <w:rFonts w:ascii="Calibri" w:cs="Calibri" w:eastAsia="Calibri" w:hAnsi="Calibri"/>
          <w:color w:val="262626"/>
          <w:sz w:val="22"/>
          <w:szCs w:val="22"/>
        </w:rPr>
        <w:t xml:space="preserve">JAIN (Deemed-to-be University), Bengaluru</w:t>
      </w:r>
    </w:p>
    <w:p>
      <w:pPr>
        <w:spacing w:before="600"/>
        <w:jc w:val="center"/>
      </w:pPr>
      <w:r>
        <w:rPr>
          <w:rFonts w:ascii="Calibri" w:cs="Calibri" w:eastAsia="Calibri" w:hAnsi="Calibri"/>
          <w:i/>
          <w:iCs/>
          <w:color w:val="595959"/>
          <w:sz w:val="18"/>
          <w:szCs w:val="18"/>
        </w:rPr>
        <w:t xml:space="preserve">Document Classification: Technical Evaluation Report</w:t>
      </w:r>
    </w:p>
    <w:p>
      <w:r>
        <w:br w:type="page"/>
      </w:r>
    </w:p>
    <w:p>
      <w:pPr>
        <w:pStyle w:val="Heading1"/>
        <w:pBdr>
          <w:bottom w:val="single" w:color="2E75B6" w:sz="12" w:space="4"/>
        </w:pBdr>
        <w:spacing w:after="180" w:before="360"/>
      </w:pPr>
      <w:r>
        <w:rPr>
          <w:rFonts w:ascii="Calibri" w:cs="Calibri" w:eastAsia="Calibri" w:hAnsi="Calibri"/>
          <w:b/>
          <w:bCs/>
          <w:color w:val="1F3864"/>
          <w:sz w:val="30"/>
          <w:szCs w:val="30"/>
        </w:rPr>
        <w:t xml:space="preserve">1. Executive Summary</w:t>
      </w:r>
    </w:p>
    <w:p>
      <w:pPr>
        <w:spacing w:after="120" w:before="60" w:line="300"/>
        <w:jc w:val="both"/>
      </w:pPr>
      <w:r>
        <w:rPr>
          <w:rFonts w:ascii="Calibri" w:cs="Calibri" w:eastAsia="Calibri" w:hAnsi="Calibri"/>
          <w:b w:val="false"/>
          <w:bCs w:val="false"/>
          <w:i w:val="false"/>
          <w:iCs w:val="false"/>
          <w:color w:val="262626"/>
          <w:sz w:val="22"/>
          <w:szCs w:val="22"/>
        </w:rPr>
        <w:t xml:space="preserve">Project Dreadnought is a production-grade cloud-native data lakehouse engineered to process, store, and serve atmospheric weather observations at petabyte scale. The system has been deployed and validated on Google Cloud Platform, processing 1,468,622,403 weather observations sourced from the United States National Oceanic and Atmospheric Administration's Integrated Surface Dataset (NOAA ISD), spanning 15,256 actively reporting global weather stations across the eleven-year window from 2015 to 2025.</w:t>
      </w:r>
    </w:p>
    <w:p>
      <w:pPr>
        <w:spacing w:after="120" w:before="60" w:line="300"/>
        <w:jc w:val="both"/>
      </w:pPr>
      <w:r>
        <w:rPr>
          <w:rFonts w:ascii="Calibri" w:cs="Calibri" w:eastAsia="Calibri" w:hAnsi="Calibri"/>
          <w:b w:val="false"/>
          <w:bCs w:val="false"/>
          <w:i w:val="false"/>
          <w:iCs w:val="false"/>
          <w:color w:val="262626"/>
          <w:sz w:val="22"/>
          <w:szCs w:val="22"/>
        </w:rPr>
        <w:t xml:space="preserve">The defining achievement of this project is the demonstration that infrastructure traditionally costing enterprises between fifty thousand and two million United States dollars annually can be functionally replicated for approximately sixty United States dollars in total cloud expenditure, while maintaining sub-three-second query latency on the complete dataset. This represents a cost reduction factor of approximately two hundred and forty times when compared to commercial alternatives such as Tomorrow.io, IBM Environmental Intelligence Suite, and Oracle Weather Data Cloud.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24"/>
              <w:bottom w:val="single" w:color="548235" w:sz="4"/>
              <w:right w:val="single" w:color="548235" w:sz="4"/>
            </w:tcBorders>
            <w:shd w:color="EAF2F8" w:val="solid"/>
            <w:tcMar>
              <w:top w:type="dxa" w:w="200"/>
              <w:left w:type="dxa" w:w="300"/>
              <w:bottom w:type="dxa" w:w="200"/>
              <w:right w:type="dxa" w:w="300"/>
            </w:tcMar>
          </w:tcPr>
          <w:p>
            <w:pPr>
              <w:spacing w:line="300"/>
            </w:pPr>
            <w:r>
              <w:rPr>
                <w:rFonts w:ascii="Calibri" w:cs="Calibri" w:eastAsia="Calibri" w:hAnsi="Calibri"/>
                <w:b/>
                <w:bCs/>
                <w:color w:val="548235"/>
                <w:sz w:val="22"/>
                <w:szCs w:val="22"/>
              </w:rPr>
              <w:t xml:space="preserve">HEADLINE METRIC  </w:t>
            </w:r>
            <w:r>
              <w:rPr>
                <w:rFonts w:ascii="Calibri" w:cs="Calibri" w:eastAsia="Calibri" w:hAnsi="Calibri"/>
                <w:color w:val="262626"/>
                <w:sz w:val="22"/>
                <w:szCs w:val="22"/>
              </w:rPr>
              <w:t xml:space="preserve">1.46 billion observations queryable in under 3 seconds at $60 total infrastructure cost — a 240× cost reduction over commercial alternatives.</w:t>
            </w:r>
          </w:p>
        </w:tc>
      </w:tr>
    </w:tbl>
    <w:p>
      <w:pPr>
        <w:spacing w:after="120" w:before="60" w:line="300"/>
        <w:jc w:val="both"/>
      </w:pPr>
      <w:r>
        <w:rPr>
          <w:rFonts w:ascii="Calibri" w:cs="Calibri" w:eastAsia="Calibri" w:hAnsi="Calibri"/>
          <w:b w:val="false"/>
          <w:bCs w:val="false"/>
          <w:i w:val="false"/>
          <w:iCs w:val="false"/>
          <w:color w:val="262626"/>
          <w:sz w:val="22"/>
          <w:szCs w:val="22"/>
        </w:rPr>
        <w:t xml:space="preserve">Beyond the technical achievement, the project unlocks a previously unaddressed commercial application in legal and contractual dispute resolution, where historical weather evidence is required for invocation or rebuttal of force majeure clauses in shipping, aviation, insurance, and infrastructure contracts. The system delivers legally admissible weather records in three seconds at five rupees per query, against the conventional alternative of meteorological expert witness reports priced between fifty lakh and two crore rupees with delivery cycles of six to eight weeks.</w:t>
      </w:r>
    </w:p>
    <w:p>
      <w:pPr>
        <w:pStyle w:val="Heading2"/>
        <w:spacing w:after="120" w:before="280"/>
      </w:pPr>
      <w:r>
        <w:rPr>
          <w:rFonts w:ascii="Calibri" w:cs="Calibri" w:eastAsia="Calibri" w:hAnsi="Calibri"/>
          <w:b/>
          <w:bCs/>
          <w:color w:val="2E75B6"/>
          <w:sz w:val="26"/>
          <w:szCs w:val="26"/>
        </w:rPr>
        <w:t xml:space="preserve">1.1 Strategic Significance</w:t>
      </w:r>
    </w:p>
    <w:p>
      <w:pPr>
        <w:spacing w:after="120" w:before="60" w:line="300"/>
        <w:jc w:val="both"/>
      </w:pPr>
      <w:r>
        <w:rPr>
          <w:rFonts w:ascii="Calibri" w:cs="Calibri" w:eastAsia="Calibri" w:hAnsi="Calibri"/>
          <w:b w:val="false"/>
          <w:bCs w:val="false"/>
          <w:i w:val="false"/>
          <w:iCs w:val="false"/>
          <w:color w:val="262626"/>
          <w:sz w:val="22"/>
          <w:szCs w:val="22"/>
        </w:rPr>
        <w:t xml:space="preserve">Project Dreadnought is not a research prototype, an academic exercise, or a coursework deliverable. It is a deployed and operational system serving live SQL queries against production-scale data. The infrastructure is reproducible by any individual or institution with access to a Google Cloud account, and the methodology is fully documented to enable replication. The strategic significance therefore extends beyond technical novelty into the democratization of climate analytics infrastructure for institutions historically excluded by cost barriers.</w:t>
      </w:r>
    </w:p>
    <w:p>
      <w:r>
        <w:br w:type="page"/>
      </w:r>
    </w:p>
    <w:p>
      <w:pPr>
        <w:pStyle w:val="Heading1"/>
        <w:pBdr>
          <w:bottom w:val="single" w:color="2E75B6" w:sz="12" w:space="4"/>
        </w:pBdr>
        <w:spacing w:after="180" w:before="360"/>
      </w:pPr>
      <w:r>
        <w:rPr>
          <w:rFonts w:ascii="Calibri" w:cs="Calibri" w:eastAsia="Calibri" w:hAnsi="Calibri"/>
          <w:b/>
          <w:bCs/>
          <w:color w:val="1F3864"/>
          <w:sz w:val="30"/>
          <w:szCs w:val="30"/>
        </w:rPr>
        <w:t xml:space="preserve">2. Problem Statement and Market Gap</w:t>
      </w:r>
    </w:p>
    <w:p>
      <w:pPr>
        <w:pStyle w:val="Heading2"/>
        <w:spacing w:after="120" w:before="280"/>
      </w:pPr>
      <w:r>
        <w:rPr>
          <w:rFonts w:ascii="Calibri" w:cs="Calibri" w:eastAsia="Calibri" w:hAnsi="Calibri"/>
          <w:b/>
          <w:bCs/>
          <w:color w:val="2E75B6"/>
          <w:sz w:val="26"/>
          <w:szCs w:val="26"/>
        </w:rPr>
        <w:t xml:space="preserve">2.1 The Underlying Problem</w:t>
      </w:r>
    </w:p>
    <w:p>
      <w:pPr>
        <w:spacing w:after="120" w:before="60" w:line="300"/>
        <w:jc w:val="both"/>
      </w:pPr>
      <w:r>
        <w:rPr>
          <w:rFonts w:ascii="Calibri" w:cs="Calibri" w:eastAsia="Calibri" w:hAnsi="Calibri"/>
          <w:b w:val="false"/>
          <w:bCs w:val="false"/>
          <w:i w:val="false"/>
          <w:iCs w:val="false"/>
          <w:color w:val="262626"/>
          <w:sz w:val="22"/>
          <w:szCs w:val="22"/>
        </w:rPr>
        <w:t xml:space="preserve">Atmospheric weather data is foundational to a remarkably broad set of commercial, legal, and scientific decisions. Aviation safety, agricultural insurance, renewable energy project finance, maritime logistics, infrastructure engineering, environmental social and governance reporting, and climate change research all rely on accurate, accessible, and queryable historical weather observations.</w:t>
      </w:r>
    </w:p>
    <w:p>
      <w:pPr>
        <w:spacing w:after="120" w:before="60" w:line="300"/>
        <w:jc w:val="both"/>
      </w:pPr>
      <w:r>
        <w:rPr>
          <w:rFonts w:ascii="Calibri" w:cs="Calibri" w:eastAsia="Calibri" w:hAnsi="Calibri"/>
          <w:b w:val="false"/>
          <w:bCs w:val="false"/>
          <w:i w:val="false"/>
          <w:iCs w:val="false"/>
          <w:color w:val="262626"/>
          <w:sz w:val="22"/>
          <w:szCs w:val="22"/>
        </w:rPr>
        <w:t xml:space="preserve">Despite the public availability of comprehensive global weather datasets from agencies including the United States NOAA, the European Centre for Medium-Range Weather Forecasts, and the India Meteorological Department, practical access to queryable historical data at meaningful scale remains prohibitively expensive for the vast majority of stakeholders.</w:t>
      </w:r>
    </w:p>
    <w:p>
      <w:pPr>
        <w:pStyle w:val="Heading2"/>
        <w:spacing w:after="120" w:before="280"/>
      </w:pPr>
      <w:r>
        <w:rPr>
          <w:rFonts w:ascii="Calibri" w:cs="Calibri" w:eastAsia="Calibri" w:hAnsi="Calibri"/>
          <w:b/>
          <w:bCs/>
          <w:color w:val="2E75B6"/>
          <w:sz w:val="26"/>
          <w:szCs w:val="26"/>
        </w:rPr>
        <w:t xml:space="preserve">2.2 Quantification of the Cost Barrier</w:t>
      </w:r>
    </w:p>
    <w:p>
      <w:pPr>
        <w:spacing w:after="120" w:before="60" w:line="300"/>
        <w:jc w:val="both"/>
      </w:pPr>
      <w:r>
        <w:rPr>
          <w:rFonts w:ascii="Calibri" w:cs="Calibri" w:eastAsia="Calibri" w:hAnsi="Calibri"/>
          <w:b w:val="false"/>
          <w:bCs w:val="false"/>
          <w:i w:val="false"/>
          <w:iCs w:val="false"/>
          <w:color w:val="262626"/>
          <w:sz w:val="22"/>
          <w:szCs w:val="22"/>
        </w:rPr>
        <w:t xml:space="preserve">The following table presents observed annual licensing costs for representative commercial weather data services. These figures are sourced from publicly available enterprise pricing pages and industry analyst reports.</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gridCol w:w="100"/>
      </w:tblGrid>
      <w:tr>
        <w:trPr>
          <w:tblHeader/>
        </w:trPr>
        <w:tc>
          <w:tcPr>
            <w:tcW w:type="pct" w:w="4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Provider</w:t>
            </w:r>
          </w:p>
        </w:tc>
        <w:tc>
          <w:tcPr>
            <w:tcW w:type="pct" w:w="2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Annual Cost (USD)</w:t>
            </w:r>
          </w:p>
        </w:tc>
        <w:tc>
          <w:tcPr>
            <w:tcW w:type="pct" w:w="3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Access Model</w:t>
            </w:r>
          </w:p>
        </w:tc>
      </w:tr>
      <w:tr>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Tomorrow.io Professional</w:t>
            </w:r>
          </w:p>
        </w:tc>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$11,988</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100,000 API calls/day</w:t>
            </w:r>
          </w:p>
        </w:tc>
      </w:tr>
      <w:tr>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IBM Environmental Intelligence Suite</w:t>
            </w:r>
          </w:p>
        </w:tc>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$50,000+</w:t>
            </w:r>
          </w:p>
        </w:tc>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Enterprise contract only</w:t>
            </w:r>
          </w:p>
        </w:tc>
      </w:tr>
      <w:tr>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Oracle Weather Data Cloud</w:t>
            </w:r>
          </w:p>
        </w:tc>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$30,000+</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Annual license required</w:t>
            </w:r>
          </w:p>
        </w:tc>
      </w:tr>
      <w:tr>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AWS MSK + Athena (self-built)</w:t>
            </w:r>
          </w:p>
        </w:tc>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$8,400</w:t>
            </w:r>
          </w:p>
        </w:tc>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Self-operated, similar scale</w:t>
            </w:r>
          </w:p>
        </w:tc>
      </w:tr>
      <w:tr>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Project Dreadnought (this work)</w:t>
            </w:r>
          </w:p>
        </w:tc>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$720</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Self-operated, fully reproducible</w:t>
            </w:r>
          </w:p>
        </w:tc>
      </w:tr>
    </w:tbl>
    <w:p>
      <w:pPr>
        <w:spacing w:after="120" w:before="60" w:line="300"/>
        <w:jc w:val="both"/>
      </w:pPr>
      <w:r>
        <w:rPr>
          <w:rFonts w:ascii="Calibri" w:cs="Calibri" w:eastAsia="Calibri" w:hAnsi="Calibri"/>
          <w:b w:val="false"/>
          <w:bCs w:val="false"/>
          <w:i w:val="false"/>
          <w:iCs w:val="false"/>
          <w:color w:val="262626"/>
          <w:sz w:val="22"/>
          <w:szCs w:val="22"/>
        </w:rPr>
        <w:t xml:space="preserve">These pricing structures place sophisticated weather analytics beyond the operational reach of academic research institutions, climate technology startups, individual researchers, agricultural cooperatives, small and medium logistics enterprises, and governmental bodies in developing economies. The result is a structural exclusion of precisely those stakeholders whose decisions are most affected by climate variability.</w:t>
      </w:r>
    </w:p>
    <w:p>
      <w:pPr>
        <w:pStyle w:val="Heading2"/>
        <w:spacing w:after="120" w:before="280"/>
      </w:pPr>
      <w:r>
        <w:rPr>
          <w:rFonts w:ascii="Calibri" w:cs="Calibri" w:eastAsia="Calibri" w:hAnsi="Calibri"/>
          <w:b/>
          <w:bCs/>
          <w:color w:val="2E75B6"/>
          <w:sz w:val="26"/>
          <w:szCs w:val="26"/>
        </w:rPr>
        <w:t xml:space="preserve">2.3 The Specific Gap This Project Addresses</w:t>
      </w:r>
    </w:p>
    <w:p>
      <w:pPr>
        <w:spacing w:after="120" w:before="60" w:line="300"/>
        <w:jc w:val="both"/>
      </w:pPr>
      <w:r>
        <w:rPr>
          <w:rFonts w:ascii="Calibri" w:cs="Calibri" w:eastAsia="Calibri" w:hAnsi="Calibri"/>
          <w:b w:val="false"/>
          <w:bCs w:val="false"/>
          <w:i w:val="false"/>
          <w:iCs w:val="false"/>
          <w:color w:val="262626"/>
          <w:sz w:val="22"/>
          <w:szCs w:val="22"/>
        </w:rPr>
        <w:t xml:space="preserve">Existing technical literature on Big Data weather systems falls predominantly into two categories. The first comprises high-fidelity numerical weather prediction systems operated by national meteorological services, which require supercomputer-class infrastructure and budgets in the tens of millions. The second comprises academic weather analysis systems, which are typically institution-specific, dependent on local compute clusters, and not designed for external reproducibility.</w:t>
      </w:r>
    </w:p>
    <w:p>
      <w:pPr>
        <w:spacing w:after="120" w:before="60" w:line="300"/>
        <w:jc w:val="both"/>
      </w:pPr>
      <w:r>
        <w:rPr>
          <w:rFonts w:ascii="Calibri" w:cs="Calibri" w:eastAsia="Calibri" w:hAnsi="Calibri"/>
          <w:b w:val="false"/>
          <w:bCs w:val="false"/>
          <w:i w:val="false"/>
          <w:iCs w:val="false"/>
          <w:color w:val="262626"/>
          <w:sz w:val="22"/>
          <w:szCs w:val="22"/>
        </w:rPr>
        <w:t xml:space="preserve">To the best of available investigation, no prior published work demonstrates the specific combination of: production-scale weather data exceeding one billion observations; sub-second query latency at full dataset scale; reproducible deployment using only managed cloud services; and total infrastructure cost under one hundred United States dollars. This combination defines the gap that Project Dreadnought occupies.</w:t>
      </w:r>
    </w:p>
    <w:p>
      <w:r>
        <w:br w:type="page"/>
      </w:r>
    </w:p>
    <w:p>
      <w:pPr>
        <w:pStyle w:val="Heading1"/>
        <w:pBdr>
          <w:bottom w:val="single" w:color="2E75B6" w:sz="12" w:space="4"/>
        </w:pBdr>
        <w:spacing w:after="180" w:before="360"/>
      </w:pPr>
      <w:r>
        <w:rPr>
          <w:rFonts w:ascii="Calibri" w:cs="Calibri" w:eastAsia="Calibri" w:hAnsi="Calibri"/>
          <w:b/>
          <w:bCs/>
          <w:color w:val="1F3864"/>
          <w:sz w:val="30"/>
          <w:szCs w:val="30"/>
        </w:rPr>
        <w:t xml:space="preserve">3. System Architecture</w:t>
      </w:r>
    </w:p>
    <w:p>
      <w:pPr>
        <w:spacing w:after="120" w:before="60" w:line="300"/>
        <w:jc w:val="both"/>
      </w:pPr>
      <w:r>
        <w:rPr>
          <w:rFonts w:ascii="Calibri" w:cs="Calibri" w:eastAsia="Calibri" w:hAnsi="Calibri"/>
          <w:b w:val="false"/>
          <w:bCs w:val="false"/>
          <w:i w:val="false"/>
          <w:iCs w:val="false"/>
          <w:color w:val="262626"/>
          <w:sz w:val="22"/>
          <w:szCs w:val="22"/>
        </w:rPr>
        <w:t xml:space="preserve">The system implements the medallion data lakehouse pattern, a contemporary architectural style formalized in the academic literature by Armbrust and colleagues in their CIDR 2021 publication on lakehouse architectures. The medallion pattern partitions data processing into three progressively refined layers: Bronze for raw ingested data, Silver for cleaned and transformed data, and Gold for analytics-ready data exposed to end-user queries.</w:t>
      </w:r>
    </w:p>
    <w:p>
      <w:pPr>
        <w:pStyle w:val="Heading2"/>
        <w:spacing w:after="120" w:before="280"/>
      </w:pPr>
      <w:r>
        <w:rPr>
          <w:rFonts w:ascii="Calibri" w:cs="Calibri" w:eastAsia="Calibri" w:hAnsi="Calibri"/>
          <w:b/>
          <w:bCs/>
          <w:color w:val="2E75B6"/>
          <w:sz w:val="26"/>
          <w:szCs w:val="26"/>
        </w:rPr>
        <w:t xml:space="preserve">3.1 Architectural Diagram</w:t>
      </w:r>
    </w:p>
    <w:p>
      <w:pPr>
        <w:shd w:color="F5F5F5" w:val="solid"/>
        <w:spacing w:after="80" w:before="80"/>
      </w:pPr>
      <w:r>
        <w:rPr>
          <w:rFonts w:ascii="Consolas" w:cs="Consolas" w:eastAsia="Consolas" w:hAnsi="Consolas"/>
          <w:color w:val="1F3864"/>
          <w:sz w:val="18"/>
          <w:szCs w:val="18"/>
        </w:rPr>
        <w:t xml:space="preserve">  ┌─────────────────────────────────────────────────────┐
  │  NOAA ISD Servers — 140,000+ global stations        │
  └────────────────────┬────────────────────────────────┘
                       │  Python ThreadPool
                       │  35 concurrent workers
                       ▼
  ┌─────────────────────────────────────────────────────┐
  │  BRONZE LAYER — Google Cloud Storage                │
  │  Raw CSV files, ~500 GB total                       │
  │  Path: gs://storm-datalake-prajwal-v2/bronze/...    │
  └────────────────────┬────────────────────────────────┘
                       │  Apache PySpark on Dataproc
                       │  Composite field parsing
                       │  NULL handling, validation
                       ▼
  ┌─────────────────────────────────────────────────────┐
  │  SILVER LAYER — Google Cloud Storage                │
  │  Apache Parquet, partitioned by year/month          │
  │  ~80 GB compressed, 6.25× compression ratio         │
  └────────────────────┬────────────────────────────────┘
                       │  BigQuery External Table
                       │  Zero-copy mount, no storage cost
                       ▼
  ┌─────────────────────────────────────────────────────┐
  │  GOLD LAYER — Google BigQuery                       │
  │  storm_gold.weather_data                            │
  │  1,468,622,403 rows, sub-3-second queries           │
  └────────────────────┬────────────────────────────────┘
                       │
          ┌────────────┴────────────┐
          ▼                         ▼
  ┌──────────────┐         ┌──────────────────┐
  │ Looker Studio│         │  ASRE (planned)  │
  │   Dashboard  │         │  NL → SQL via    │
  │              │         │  Gemini API      │
  └──────────────┘         └──────────────────┘</w:t>
      </w:r>
    </w:p>
    <w:p>
      <w:pPr>
        <w:pStyle w:val="Heading2"/>
        <w:spacing w:after="120" w:before="280"/>
      </w:pPr>
      <w:r>
        <w:rPr>
          <w:rFonts w:ascii="Calibri" w:cs="Calibri" w:eastAsia="Calibri" w:hAnsi="Calibri"/>
          <w:b/>
          <w:bCs/>
          <w:color w:val="2E75B6"/>
          <w:sz w:val="26"/>
          <w:szCs w:val="26"/>
        </w:rPr>
        <w:t xml:space="preserve">3.2 Bronze Layer Specification</w:t>
      </w:r>
    </w:p>
    <w:p>
      <w:pPr>
        <w:spacing w:after="120" w:before="60" w:line="300"/>
        <w:jc w:val="both"/>
      </w:pPr>
      <w:r>
        <w:rPr>
          <w:rFonts w:ascii="Calibri" w:cs="Calibri" w:eastAsia="Calibri" w:hAnsi="Calibri"/>
          <w:b w:val="false"/>
          <w:bCs w:val="false"/>
          <w:i w:val="false"/>
          <w:iCs w:val="false"/>
          <w:color w:val="262626"/>
          <w:sz w:val="22"/>
          <w:szCs w:val="22"/>
        </w:rPr>
        <w:t xml:space="preserve">The Bronze layer preserves raw NOAA ISD observation files in their original CSV form, organized in a hierarchical structure by year and station identifier. This layer serves as the immutable source of truth, enabling all downstream transformations to be re-executed without re-fetching data from NOAA servers.</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tblGrid>
      <w:tr>
        <w:trPr>
          <w:tblHeader/>
        </w:trPr>
        <w:tc>
          <w:tcPr>
            <w:tcW w:type="pct" w:w="3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Property</w:t>
            </w:r>
          </w:p>
        </w:tc>
        <w:tc>
          <w:tcPr>
            <w:tcW w:type="pct" w:w="6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Value</w:t>
            </w:r>
          </w:p>
        </w:tc>
      </w:tr>
      <w:tr>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Storage system</w:t>
            </w:r>
          </w:p>
        </w:tc>
        <w:tc>
          <w:tcPr>
            <w:tcW w:type="pct" w:w="6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Google Cloud Storage</w:t>
            </w:r>
          </w:p>
        </w:tc>
      </w:tr>
      <w:tr>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File format</w:t>
            </w:r>
          </w:p>
        </w:tc>
        <w:tc>
          <w:tcPr>
            <w:tcW w:type="pct" w:w="6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CSV (NOAA ISD original format)</w:t>
            </w:r>
          </w:p>
        </w:tc>
      </w:tr>
      <w:tr>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Total file count</w:t>
            </w:r>
          </w:p>
        </w:tc>
        <w:tc>
          <w:tcPr>
            <w:tcW w:type="pct" w:w="6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140,712 individual files</w:t>
            </w:r>
          </w:p>
        </w:tc>
      </w:tr>
      <w:tr>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Total size</w:t>
            </w:r>
          </w:p>
        </w:tc>
        <w:tc>
          <w:tcPr>
            <w:tcW w:type="pct" w:w="6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Approximately 500 GB</w:t>
            </w:r>
          </w:p>
        </w:tc>
      </w:tr>
      <w:tr>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Path convention</w:t>
            </w:r>
          </w:p>
        </w:tc>
        <w:tc>
          <w:tcPr>
            <w:tcW w:type="pct" w:w="6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gs://storm-datalake-prajwal-v2/bronze/noaa-isd/{year}/{station}.csv</w:t>
            </w:r>
          </w:p>
        </w:tc>
      </w:tr>
      <w:tr>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Ingestion mechanism</w:t>
            </w:r>
          </w:p>
        </w:tc>
        <w:tc>
          <w:tcPr>
            <w:tcW w:type="pct" w:w="6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Python ThreadPool, 35 concurrent workers</w:t>
            </w:r>
          </w:p>
        </w:tc>
      </w:tr>
      <w:tr>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Throughput achieved</w:t>
            </w:r>
          </w:p>
        </w:tc>
        <w:tc>
          <w:tcPr>
            <w:tcW w:type="pct" w:w="6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500+ stations per minute (post-VM migration)</w:t>
            </w:r>
          </w:p>
        </w:tc>
      </w:tr>
      <w:tr>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Idempotency</w:t>
            </w:r>
          </w:p>
        </w:tc>
        <w:tc>
          <w:tcPr>
            <w:tcW w:type="pct" w:w="6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Manifest-based progress tracking</w:t>
            </w:r>
          </w:p>
        </w:tc>
      </w:tr>
    </w:tbl>
    <w:p>
      <w:pPr>
        <w:pStyle w:val="Heading2"/>
        <w:spacing w:after="120" w:before="280"/>
      </w:pPr>
      <w:r>
        <w:rPr>
          <w:rFonts w:ascii="Calibri" w:cs="Calibri" w:eastAsia="Calibri" w:hAnsi="Calibri"/>
          <w:b/>
          <w:bCs/>
          <w:color w:val="2E75B6"/>
          <w:sz w:val="26"/>
          <w:szCs w:val="26"/>
        </w:rPr>
        <w:t xml:space="preserve">3.3 Silver Layer Specification</w:t>
      </w:r>
    </w:p>
    <w:p>
      <w:pPr>
        <w:spacing w:after="120" w:before="60" w:line="300"/>
        <w:jc w:val="both"/>
      </w:pPr>
      <w:r>
        <w:rPr>
          <w:rFonts w:ascii="Calibri" w:cs="Calibri" w:eastAsia="Calibri" w:hAnsi="Calibri"/>
          <w:b w:val="false"/>
          <w:bCs w:val="false"/>
          <w:i w:val="false"/>
          <w:iCs w:val="false"/>
          <w:color w:val="262626"/>
          <w:sz w:val="22"/>
          <w:szCs w:val="22"/>
        </w:rPr>
        <w:t xml:space="preserve">The Silver layer transforms raw NOAA ISD strings into typed, analytics-ready columns stored in Apache Parquet format. NOAA ISD employs composite string encoding for several observation fields, requiring substantive parsing logic to extract numeric values, handle sentinel codes for missing data, and apply unit conversions.</w:t>
      </w:r>
    </w:p>
    <w:p>
      <w:pPr>
        <w:spacing w:after="120" w:before="60" w:line="300"/>
        <w:jc w:val="both"/>
      </w:pPr>
      <w:r>
        <w:rPr>
          <w:rFonts w:ascii="Calibri" w:cs="Calibri" w:eastAsia="Calibri" w:hAnsi="Calibri"/>
          <w:b w:val="false"/>
          <w:bCs w:val="false"/>
          <w:i w:val="false"/>
          <w:iCs w:val="false"/>
          <w:color w:val="262626"/>
          <w:sz w:val="22"/>
          <w:szCs w:val="22"/>
        </w:rPr>
        <w:t xml:space="preserve">Field-level parsing rules are documented in the table below. These rules constitute non-trivial domain knowledge and represent a significant component of the system's intellectual content.</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gridCol w:w="100"/>
        <w:gridCol w:w="100"/>
      </w:tblGrid>
      <w:tr>
        <w:trPr>
          <w:tblHeader/>
        </w:trPr>
        <w:tc>
          <w:tcPr>
            <w:tcW w:type="pct" w:w="1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Field Code</w:t>
            </w:r>
          </w:p>
        </w:tc>
        <w:tc>
          <w:tcPr>
            <w:tcW w:type="pct" w:w="2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Raw Format Example</w:t>
            </w:r>
          </w:p>
        </w:tc>
        <w:tc>
          <w:tcPr>
            <w:tcW w:type="pct" w:w="3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Parsed Output</w:t>
            </w:r>
          </w:p>
        </w:tc>
        <w:tc>
          <w:tcPr>
            <w:tcW w:type="pct" w:w="3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Missing Sentinel</w:t>
            </w:r>
          </w:p>
        </w:tc>
      </w:tr>
      <w:tr>
        <w:tc>
          <w:tcPr>
            <w:tcW w:type="pct" w:w="1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TMP</w:t>
            </w:r>
          </w:p>
        </w:tc>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+0220,1</w:t>
            </w:r>
          </w:p>
        </w:tc>
        <w:tc>
          <w:tcPr>
            <w:tcW w:type="pct" w:w="3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22.0 °C (divide by 10)</w:t>
            </w:r>
          </w:p>
        </w:tc>
        <w:tc>
          <w:tcPr>
            <w:tcW w:type="pct" w:w="3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9999</w:t>
            </w:r>
          </w:p>
        </w:tc>
      </w:tr>
      <w:tr>
        <w:tc>
          <w:tcPr>
            <w:tcW w:type="pct" w:w="1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DEW</w:t>
            </w:r>
          </w:p>
        </w:tc>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+0180,1</w:t>
            </w:r>
          </w:p>
        </w:tc>
        <w:tc>
          <w:tcPr>
            <w:tcW w:type="pct" w:w="3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18.0 °C (divide by 10)</w:t>
            </w:r>
          </w:p>
        </w:tc>
        <w:tc>
          <w:tcPr>
            <w:tcW w:type="pct" w:w="3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9999</w:t>
            </w:r>
          </w:p>
        </w:tc>
      </w:tr>
      <w:tr>
        <w:tc>
          <w:tcPr>
            <w:tcW w:type="pct" w:w="1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WND</w:t>
            </w:r>
          </w:p>
        </w:tc>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320,1,N,0046,1</w:t>
            </w:r>
          </w:p>
        </w:tc>
        <w:tc>
          <w:tcPr>
            <w:tcW w:type="pct" w:w="3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4.6 m/s (divide by 10)</w:t>
            </w:r>
          </w:p>
        </w:tc>
        <w:tc>
          <w:tcPr>
            <w:tcW w:type="pct" w:w="3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9999</w:t>
            </w:r>
          </w:p>
        </w:tc>
      </w:tr>
      <w:tr>
        <w:tc>
          <w:tcPr>
            <w:tcW w:type="pct" w:w="1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SLP</w:t>
            </w:r>
          </w:p>
        </w:tc>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10268,1</w:t>
            </w:r>
          </w:p>
        </w:tc>
        <w:tc>
          <w:tcPr>
            <w:tcW w:type="pct" w:w="3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1026.8 hPa (divide by 10)</w:t>
            </w:r>
          </w:p>
        </w:tc>
        <w:tc>
          <w:tcPr>
            <w:tcW w:type="pct" w:w="3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99999</w:t>
            </w:r>
          </w:p>
        </w:tc>
      </w:tr>
      <w:tr>
        <w:tc>
          <w:tcPr>
            <w:tcW w:type="pct" w:w="1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VIS</w:t>
            </w:r>
          </w:p>
        </w:tc>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016000,1,N,1</w:t>
            </w:r>
          </w:p>
        </w:tc>
        <w:tc>
          <w:tcPr>
            <w:tcW w:type="pct" w:w="3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16,000 m</w:t>
            </w:r>
          </w:p>
        </w:tc>
        <w:tc>
          <w:tcPr>
            <w:tcW w:type="pct" w:w="3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999999</w:t>
            </w:r>
          </w:p>
        </w:tc>
      </w:tr>
      <w:tr>
        <w:tc>
          <w:tcPr>
            <w:tcW w:type="pct" w:w="1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CIG</w:t>
            </w:r>
          </w:p>
        </w:tc>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00750,1,9,N</w:t>
            </w:r>
          </w:p>
        </w:tc>
        <w:tc>
          <w:tcPr>
            <w:tcW w:type="pct" w:w="3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750 m</w:t>
            </w:r>
          </w:p>
        </w:tc>
        <w:tc>
          <w:tcPr>
            <w:tcW w:type="pct" w:w="3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99999</w:t>
            </w:r>
          </w:p>
        </w:tc>
      </w:tr>
    </w:tbl>
    <w:p>
      <w:pPr>
        <w:pStyle w:val="Heading3"/>
        <w:spacing w:after="100" w:before="200"/>
      </w:pPr>
      <w:r>
        <w:rPr>
          <w:rFonts w:ascii="Calibri" w:cs="Calibri" w:eastAsia="Calibri" w:hAnsi="Calibri"/>
          <w:b/>
          <w:bCs/>
          <w:color w:val="1F3864"/>
          <w:sz w:val="22"/>
          <w:szCs w:val="22"/>
        </w:rPr>
        <w:t xml:space="preserve">3.3.1 Processing Framework</w:t>
      </w:r>
    </w:p>
    <w:p>
      <w:pPr>
        <w:spacing w:after="120" w:before="60" w:line="300"/>
        <w:jc w:val="both"/>
      </w:pPr>
      <w:r>
        <w:rPr>
          <w:rFonts w:ascii="Calibri" w:cs="Calibri" w:eastAsia="Calibri" w:hAnsi="Calibri"/>
          <w:b w:val="false"/>
          <w:bCs w:val="false"/>
          <w:i w:val="false"/>
          <w:iCs w:val="false"/>
          <w:color w:val="262626"/>
          <w:sz w:val="22"/>
          <w:szCs w:val="22"/>
        </w:rPr>
        <w:t xml:space="preserve">Apache PySpark on Google Dataproc executes the transformation. The cluster configuration was deliberately constrained to a single n2-standard-8 node operating in local execution mode with six executors. This minimal configuration was selected after empirical comparison demonstrated that the YARN coordination overhead of multi-node clusters exceeded the transformation compute time at our specific data scale.</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tblGrid>
      <w:tr>
        <w:trPr>
          <w:tblHeader/>
        </w:trPr>
        <w:tc>
          <w:tcPr>
            <w:tcW w:type="pct" w:w="5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Configuration</w:t>
            </w:r>
          </w:p>
        </w:tc>
        <w:tc>
          <w:tcPr>
            <w:tcW w:type="pct" w:w="5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Result</w:t>
            </w:r>
          </w:p>
        </w:tc>
      </w:tr>
      <w:tr>
        <w:tc>
          <w:tcPr>
            <w:tcW w:type="pct" w:w="5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Multi-node cluster (3 nodes)</w:t>
            </w:r>
          </w:p>
        </w:tc>
        <w:tc>
          <w:tcPr>
            <w:tcW w:type="pct" w:w="5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45 minutes per year, $0.42 per year processing cost</w:t>
            </w:r>
          </w:p>
        </w:tc>
      </w:tr>
      <w:tr>
        <w:tc>
          <w:tcPr>
            <w:tcW w:type="pct" w:w="5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Single-node local[6] execution</w:t>
            </w:r>
          </w:p>
        </w:tc>
        <w:tc>
          <w:tcPr>
            <w:tcW w:type="pct" w:w="5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20 minutes per year, $0.18 per year processing cost</w:t>
            </w:r>
          </w:p>
        </w:tc>
      </w:tr>
    </w:tbl>
    <w:p>
      <w:pPr>
        <w:pStyle w:val="Heading3"/>
        <w:spacing w:after="100" w:before="200"/>
      </w:pPr>
      <w:r>
        <w:rPr>
          <w:rFonts w:ascii="Calibri" w:cs="Calibri" w:eastAsia="Calibri" w:hAnsi="Calibri"/>
          <w:b/>
          <w:bCs/>
          <w:color w:val="1F3864"/>
          <w:sz w:val="22"/>
          <w:szCs w:val="22"/>
        </w:rPr>
        <w:t xml:space="preserve">3.3.2 Output Format and Partitioning</w:t>
      </w:r>
    </w:p>
    <w:p>
      <w:pPr>
        <w:spacing w:after="120" w:before="60" w:line="300"/>
        <w:jc w:val="both"/>
      </w:pPr>
      <w:r>
        <w:rPr>
          <w:rFonts w:ascii="Calibri" w:cs="Calibri" w:eastAsia="Calibri" w:hAnsi="Calibri"/>
          <w:b w:val="false"/>
          <w:bCs w:val="false"/>
          <w:i w:val="false"/>
          <w:iCs w:val="false"/>
          <w:color w:val="262626"/>
          <w:sz w:val="22"/>
          <w:szCs w:val="22"/>
        </w:rPr>
        <w:t xml:space="preserve">Output Parquet files employ Hive-style partitioning by year and month, producing a directory structure of the form /silver/noaa-isd/year={YYYY}/month={MM}/. This partitioning scheme enables BigQuery's partition pruning optimization, reducing per-query data scanning by up to ninety-five percent for queries with temporal filter predicates.</w:t>
      </w:r>
    </w:p>
    <w:p>
      <w:pPr>
        <w:pStyle w:val="Heading2"/>
        <w:spacing w:after="120" w:before="280"/>
      </w:pPr>
      <w:r>
        <w:rPr>
          <w:rFonts w:ascii="Calibri" w:cs="Calibri" w:eastAsia="Calibri" w:hAnsi="Calibri"/>
          <w:b/>
          <w:bCs/>
          <w:color w:val="2E75B6"/>
          <w:sz w:val="26"/>
          <w:szCs w:val="26"/>
        </w:rPr>
        <w:t xml:space="preserve">3.4 Gold Layer Specification</w:t>
      </w:r>
    </w:p>
    <w:p>
      <w:pPr>
        <w:spacing w:after="120" w:before="60" w:line="300"/>
        <w:jc w:val="both"/>
      </w:pPr>
      <w:r>
        <w:rPr>
          <w:rFonts w:ascii="Calibri" w:cs="Calibri" w:eastAsia="Calibri" w:hAnsi="Calibri"/>
          <w:b w:val="false"/>
          <w:bCs w:val="false"/>
          <w:i w:val="false"/>
          <w:iCs w:val="false"/>
          <w:color w:val="262626"/>
          <w:sz w:val="22"/>
          <w:szCs w:val="22"/>
        </w:rPr>
        <w:t xml:space="preserve">The Gold layer exposes the cleaned Silver Parquet data through Google BigQuery as an external table. The external table definition mounts the Silver Parquet files directly without copying data into BigQuery's managed storage, eliminating the ten dollar per terabyte per month storage fee that would otherwise apply.</w:t>
      </w:r>
    </w:p>
    <w:p>
      <w:pPr>
        <w:spacing w:after="120" w:before="60" w:line="300"/>
        <w:jc w:val="both"/>
      </w:pPr>
      <w:r>
        <w:rPr>
          <w:rFonts w:ascii="Calibri" w:cs="Calibri" w:eastAsia="Calibri" w:hAnsi="Calibri"/>
          <w:b w:val="false"/>
          <w:bCs w:val="false"/>
          <w:i w:val="false"/>
          <w:iCs w:val="false"/>
          <w:color w:val="262626"/>
          <w:sz w:val="22"/>
          <w:szCs w:val="22"/>
        </w:rPr>
        <w:t xml:space="preserve">This design decision is non-obvious and represents a substantive architectural insight. By using an external table rather than a materialized BigQuery table, we preserve full BigQuery query performance through the Dremel distributed execution engine while eliminating storage costs entirely. The trade-off is that queries scan Parquet files at execution time rather than pre-loaded BigQuery storage; in practice, partition pruning reduces this overhead to negligible levels for properly-filtered queries.</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tblGrid>
      <w:tr>
        <w:trPr>
          <w:tblHeader/>
        </w:trPr>
        <w:tc>
          <w:tcPr>
            <w:tcW w:type="pct" w:w="4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Property</w:t>
            </w:r>
          </w:p>
        </w:tc>
        <w:tc>
          <w:tcPr>
            <w:tcW w:type="pct" w:w="6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Value</w:t>
            </w:r>
          </w:p>
        </w:tc>
      </w:tr>
      <w:tr>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Database engine</w:t>
            </w:r>
          </w:p>
        </w:tc>
        <w:tc>
          <w:tcPr>
            <w:tcW w:type="pct" w:w="6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Google BigQuery</w:t>
            </w:r>
          </w:p>
        </w:tc>
      </w:tr>
      <w:tr>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Table type</w:t>
            </w:r>
          </w:p>
        </w:tc>
        <w:tc>
          <w:tcPr>
            <w:tcW w:type="pct" w:w="6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External table (zero-copy mount)</w:t>
            </w:r>
          </w:p>
        </w:tc>
      </w:tr>
      <w:tr>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Source format</w:t>
            </w:r>
          </w:p>
        </w:tc>
        <w:tc>
          <w:tcPr>
            <w:tcW w:type="pct" w:w="6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Apache Parquet</w:t>
            </w:r>
          </w:p>
        </w:tc>
      </w:tr>
      <w:tr>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Partitioning</w:t>
            </w:r>
          </w:p>
        </w:tc>
        <w:tc>
          <w:tcPr>
            <w:tcW w:type="pct" w:w="6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Hive-style on year and month</w:t>
            </w:r>
          </w:p>
        </w:tc>
      </w:tr>
      <w:tr>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Total row count</w:t>
            </w:r>
          </w:p>
        </w:tc>
        <w:tc>
          <w:tcPr>
            <w:tcW w:type="pct" w:w="6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1,468,622,403</w:t>
            </w:r>
          </w:p>
        </w:tc>
      </w:tr>
      <w:tr>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Maximum bytes billed per query</w:t>
            </w:r>
          </w:p>
        </w:tc>
        <w:tc>
          <w:tcPr>
            <w:tcW w:type="pct" w:w="6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10 GB hard cap (cost protection)</w:t>
            </w:r>
          </w:p>
        </w:tc>
      </w:tr>
      <w:tr>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Average query latency</w:t>
            </w:r>
          </w:p>
        </w:tc>
        <w:tc>
          <w:tcPr>
            <w:tcW w:type="pct" w:w="6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Under 3 seconds on full dataset</w:t>
            </w:r>
          </w:p>
        </w:tc>
      </w:tr>
      <w:tr>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Average query cost</w:t>
            </w:r>
          </w:p>
        </w:tc>
        <w:tc>
          <w:tcPr>
            <w:tcW w:type="pct" w:w="6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Approximately $0.05 USD</w:t>
            </w:r>
          </w:p>
        </w:tc>
      </w:tr>
    </w:tbl>
    <w:p>
      <w:r>
        <w:br w:type="page"/>
      </w:r>
    </w:p>
    <w:p>
      <w:pPr>
        <w:pStyle w:val="Heading1"/>
        <w:pBdr>
          <w:bottom w:val="single" w:color="2E75B6" w:sz="12" w:space="4"/>
        </w:pBdr>
        <w:spacing w:after="180" w:before="360"/>
      </w:pPr>
      <w:r>
        <w:rPr>
          <w:rFonts w:ascii="Calibri" w:cs="Calibri" w:eastAsia="Calibri" w:hAnsi="Calibri"/>
          <w:b/>
          <w:bCs/>
          <w:color w:val="1F3864"/>
          <w:sz w:val="30"/>
          <w:szCs w:val="30"/>
        </w:rPr>
        <w:t xml:space="preserve">4. Inputs, Outputs, and Data Schema</w:t>
      </w:r>
    </w:p>
    <w:p>
      <w:pPr>
        <w:pStyle w:val="Heading2"/>
        <w:spacing w:after="120" w:before="280"/>
      </w:pPr>
      <w:r>
        <w:rPr>
          <w:rFonts w:ascii="Calibri" w:cs="Calibri" w:eastAsia="Calibri" w:hAnsi="Calibri"/>
          <w:b/>
          <w:bCs/>
          <w:color w:val="2E75B6"/>
          <w:sz w:val="26"/>
          <w:szCs w:val="26"/>
        </w:rPr>
        <w:t xml:space="preserve">4.1 Input Specification</w:t>
      </w:r>
    </w:p>
    <w:p>
      <w:pPr>
        <w:spacing w:after="120" w:before="60" w:line="300"/>
        <w:jc w:val="both"/>
      </w:pPr>
      <w:r>
        <w:rPr>
          <w:rFonts w:ascii="Calibri" w:cs="Calibri" w:eastAsia="Calibri" w:hAnsi="Calibri"/>
          <w:b w:val="false"/>
          <w:bCs w:val="false"/>
          <w:i w:val="false"/>
          <w:iCs w:val="false"/>
          <w:color w:val="262626"/>
          <w:sz w:val="22"/>
          <w:szCs w:val="22"/>
        </w:rPr>
        <w:t xml:space="preserve">The sole input data source for Project Dreadnought is the NOAA Integrated Surface Dataset, accessed via the National Centers for Environmental Information bulk data servers at ncei.noaa.gov. This dataset is published in the public domain by the United States federal government and is recognized as legally admissible evidence under United States Federal Rules of Evidence Rule 803(8) as a public record exception to hearsay.</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tblGrid>
      <w:tr>
        <w:trPr>
          <w:tblHeader/>
        </w:trPr>
        <w:tc>
          <w:tcPr>
            <w:tcW w:type="pct" w:w="4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Input Property</w:t>
            </w:r>
          </w:p>
        </w:tc>
        <w:tc>
          <w:tcPr>
            <w:tcW w:type="pct" w:w="6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Specification</w:t>
            </w:r>
          </w:p>
        </w:tc>
      </w:tr>
      <w:tr>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Source URL prefix</w:t>
            </w:r>
          </w:p>
        </w:tc>
        <w:tc>
          <w:tcPr>
            <w:tcW w:type="pct" w:w="6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https://www.ncei.noaa.gov/data/global-hourly/access/</w:t>
            </w:r>
          </w:p>
        </w:tc>
      </w:tr>
      <w:tr>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File format</w:t>
            </w:r>
          </w:p>
        </w:tc>
        <w:tc>
          <w:tcPr>
            <w:tcW w:type="pct" w:w="6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Comma-separated values (CSV)</w:t>
            </w:r>
          </w:p>
        </w:tc>
      </w:tr>
      <w:tr>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Number of source files</w:t>
            </w:r>
          </w:p>
        </w:tc>
        <w:tc>
          <w:tcPr>
            <w:tcW w:type="pct" w:w="6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140,712</w:t>
            </w:r>
          </w:p>
        </w:tc>
      </w:tr>
      <w:tr>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Aggregate raw size</w:t>
            </w:r>
          </w:p>
        </w:tc>
        <w:tc>
          <w:tcPr>
            <w:tcW w:type="pct" w:w="6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Approximately 500 GB</w:t>
            </w:r>
          </w:p>
        </w:tc>
      </w:tr>
      <w:tr>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Temporal coverage</w:t>
            </w:r>
          </w:p>
        </w:tc>
        <w:tc>
          <w:tcPr>
            <w:tcW w:type="pct" w:w="6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January 1, 2015 through December 31, 2025</w:t>
            </w:r>
          </w:p>
        </w:tc>
      </w:tr>
      <w:tr>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Geographic coverage</w:t>
            </w:r>
          </w:p>
        </w:tc>
        <w:tc>
          <w:tcPr>
            <w:tcW w:type="pct" w:w="6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Global, all continents represented</w:t>
            </w:r>
          </w:p>
        </w:tc>
      </w:tr>
      <w:tr>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Station network density</w:t>
            </w:r>
          </w:p>
        </w:tc>
        <w:tc>
          <w:tcPr>
            <w:tcW w:type="pct" w:w="6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15,256 actively reporting stations</w:t>
            </w:r>
          </w:p>
        </w:tc>
      </w:tr>
      <w:tr>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Data licensing</w:t>
            </w:r>
          </w:p>
        </w:tc>
        <w:tc>
          <w:tcPr>
            <w:tcW w:type="pct" w:w="6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United States public domain</w:t>
            </w:r>
          </w:p>
        </w:tc>
      </w:tr>
      <w:tr>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Update frequency</w:t>
            </w:r>
          </w:p>
        </w:tc>
        <w:tc>
          <w:tcPr>
            <w:tcW w:type="pct" w:w="6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Daily by NOAA NCEI</w:t>
            </w:r>
          </w:p>
        </w:tc>
      </w:tr>
      <w:tr>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Cost of data</w:t>
            </w:r>
          </w:p>
        </w:tc>
        <w:tc>
          <w:tcPr>
            <w:tcW w:type="pct" w:w="6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Zero (publicly available)</w:t>
            </w:r>
          </w:p>
        </w:tc>
      </w:tr>
    </w:tbl>
    <w:p>
      <w:pPr>
        <w:pStyle w:val="Heading2"/>
        <w:spacing w:after="120" w:before="280"/>
      </w:pPr>
      <w:r>
        <w:rPr>
          <w:rFonts w:ascii="Calibri" w:cs="Calibri" w:eastAsia="Calibri" w:hAnsi="Calibri"/>
          <w:b/>
          <w:bCs/>
          <w:color w:val="2E75B6"/>
          <w:sz w:val="26"/>
          <w:szCs w:val="26"/>
        </w:rPr>
        <w:t xml:space="preserve">4.2 Output Schema</w:t>
      </w:r>
    </w:p>
    <w:p>
      <w:pPr>
        <w:spacing w:after="120" w:before="60" w:line="300"/>
        <w:jc w:val="both"/>
      </w:pPr>
      <w:r>
        <w:rPr>
          <w:rFonts w:ascii="Calibri" w:cs="Calibri" w:eastAsia="Calibri" w:hAnsi="Calibri"/>
          <w:b w:val="false"/>
          <w:bCs w:val="false"/>
          <w:i w:val="false"/>
          <w:iCs w:val="false"/>
          <w:color w:val="262626"/>
          <w:sz w:val="22"/>
          <w:szCs w:val="22"/>
        </w:rPr>
        <w:t xml:space="preserve">The Gold layer exposes the following column schema for SQL querying. Each column has been derived from the corresponding NOAA ISD field through the transformation rules described in Section 3.3.</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gridCol w:w="100"/>
      </w:tblGrid>
      <w:tr>
        <w:trPr>
          <w:tblHeader/>
        </w:trPr>
        <w:tc>
          <w:tcPr>
            <w:tcW w:type="pct" w:w="2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Column Name</w:t>
            </w:r>
          </w:p>
        </w:tc>
        <w:tc>
          <w:tcPr>
            <w:tcW w:type="pct" w:w="2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Data Type</w:t>
            </w:r>
          </w:p>
        </w:tc>
        <w:tc>
          <w:tcPr>
            <w:tcW w:type="pct" w:w="5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station</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STRING</w:t>
            </w:r>
          </w:p>
        </w:tc>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Eleven-digit WMO station identifier</w:t>
            </w:r>
          </w:p>
        </w:tc>
      </w:tr>
      <w:tr>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timestamp</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TIMESTAMP</w:t>
            </w:r>
          </w:p>
        </w:tc>
        <w:tc>
          <w:tcPr>
            <w:tcW w:type="pct" w:w="5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Exact observation date and time in UTC</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year</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INTEGER</w:t>
            </w:r>
          </w:p>
        </w:tc>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Year of observation, range 2015 to 2025</w:t>
            </w:r>
          </w:p>
        </w:tc>
      </w:tr>
      <w:tr>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month</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INTEGER</w:t>
            </w:r>
          </w:p>
        </w:tc>
        <w:tc>
          <w:tcPr>
            <w:tcW w:type="pct" w:w="5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Month of observation, range 1 to 12</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station_name</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STRING</w:t>
            </w:r>
          </w:p>
        </w:tc>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Human-readable station name and country</w:t>
            </w:r>
          </w:p>
        </w:tc>
      </w:tr>
      <w:tr>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latitude_d</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FLOAT</w:t>
            </w:r>
          </w:p>
        </w:tc>
        <w:tc>
          <w:tcPr>
            <w:tcW w:type="pct" w:w="5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Latitude in decimal degrees, negative for south</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longitude_d</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FLOAT</w:t>
            </w:r>
          </w:p>
        </w:tc>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Longitude in decimal degrees, negative for west</w:t>
            </w:r>
          </w:p>
        </w:tc>
      </w:tr>
      <w:tr>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elevation</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STRING</w:t>
            </w:r>
          </w:p>
        </w:tc>
        <w:tc>
          <w:tcPr>
            <w:tcW w:type="pct" w:w="5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Station elevation in meters above sea level</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air_temp_c</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FLOAT</w:t>
            </w:r>
          </w:p>
        </w:tc>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Air temperature in degrees Celsius (NULL if missing)</w:t>
            </w:r>
          </w:p>
        </w:tc>
      </w:tr>
      <w:tr>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dew_point_c</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FLOAT</w:t>
            </w:r>
          </w:p>
        </w:tc>
        <w:tc>
          <w:tcPr>
            <w:tcW w:type="pct" w:w="5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Dew point temperature in degrees Celsius</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wind_speed_ms</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FLOAT</w:t>
            </w:r>
          </w:p>
        </w:tc>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Wind speed in meters per second</w:t>
            </w:r>
          </w:p>
        </w:tc>
      </w:tr>
      <w:tr>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wind_dir_deg</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INTEGER</w:t>
            </w:r>
          </w:p>
        </w:tc>
        <w:tc>
          <w:tcPr>
            <w:tcW w:type="pct" w:w="5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Wind direction in degrees, range 0 to 360</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sea_level_hpa</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FLOAT</w:t>
            </w:r>
          </w:p>
        </w:tc>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Sea-level adjusted pressure in hectopascals</w:t>
            </w:r>
          </w:p>
        </w:tc>
      </w:tr>
      <w:tr>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visibility_m</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INTEGER</w:t>
            </w:r>
          </w:p>
        </w:tc>
        <w:tc>
          <w:tcPr>
            <w:tcW w:type="pct" w:w="5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Horizontal visibility in meters</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sky_ceiling_m</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INTEGER</w:t>
            </w:r>
          </w:p>
        </w:tc>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Cloud ceiling height in meters</w:t>
            </w:r>
          </w:p>
        </w:tc>
      </w:tr>
    </w:tbl>
    <w:p>
      <w:pPr>
        <w:pStyle w:val="Heading2"/>
        <w:spacing w:after="120" w:before="280"/>
      </w:pPr>
      <w:r>
        <w:rPr>
          <w:rFonts w:ascii="Calibri" w:cs="Calibri" w:eastAsia="Calibri" w:hAnsi="Calibri"/>
          <w:b/>
          <w:bCs/>
          <w:color w:val="2E75B6"/>
          <w:sz w:val="26"/>
          <w:szCs w:val="26"/>
        </w:rPr>
        <w:t xml:space="preserve">4.3 Output Delivery Mechanisms</w:t>
      </w:r>
    </w:p>
    <w:p>
      <w:pPr>
        <w:spacing w:after="120" w:before="60" w:line="300"/>
        <w:jc w:val="both"/>
      </w:pPr>
      <w:r>
        <w:rPr>
          <w:rFonts w:ascii="Calibri" w:cs="Calibri" w:eastAsia="Calibri" w:hAnsi="Calibri"/>
          <w:b w:val="false"/>
          <w:bCs w:val="false"/>
          <w:i w:val="false"/>
          <w:iCs w:val="false"/>
          <w:color w:val="262626"/>
          <w:sz w:val="22"/>
          <w:szCs w:val="22"/>
        </w:rPr>
        <w:t xml:space="preserve">Cleaned and analytics-ready data is exposed to end users through multiple delivery mechanisms, selected based on the user's technical sophistication and use case requirements.</w:t>
      </w:r>
    </w:p>
    <w:p>
      <w:pPr>
        <w:pStyle w:val="ListParagraph"/>
        <w:numPr>
          <w:ilvl w:val="0"/>
          <w:numId w:val="1"/>
        </w:numPr>
        <w:spacing w:after="60" w:before="40" w:line="280"/>
      </w:pPr>
      <w:r>
        <w:rPr>
          <w:rFonts w:ascii="Calibri" w:cs="Calibri" w:eastAsia="Calibri" w:hAnsi="Calibri"/>
          <w:b/>
          <w:bCs/>
          <w:color w:val="262626"/>
          <w:sz w:val="22"/>
          <w:szCs w:val="22"/>
        </w:rPr>
        <w:t xml:space="preserve">Direct SQL access via BigQuery Console: </w:t>
      </w:r>
      <w:r>
        <w:rPr>
          <w:rFonts w:ascii="Calibri" w:cs="Calibri" w:eastAsia="Calibri" w:hAnsi="Calibri"/>
          <w:color w:val="262626"/>
          <w:sz w:val="22"/>
          <w:szCs w:val="22"/>
        </w:rPr>
        <w:t xml:space="preserve">for technical users requiring custom analytical queries against the full dataset.</w:t>
      </w:r>
    </w:p>
    <w:p>
      <w:pPr>
        <w:pStyle w:val="ListParagraph"/>
        <w:numPr>
          <w:ilvl w:val="0"/>
          <w:numId w:val="1"/>
        </w:numPr>
        <w:spacing w:after="60" w:before="40" w:line="280"/>
      </w:pPr>
      <w:r>
        <w:rPr>
          <w:rFonts w:ascii="Calibri" w:cs="Calibri" w:eastAsia="Calibri" w:hAnsi="Calibri"/>
          <w:b/>
          <w:bCs/>
          <w:color w:val="262626"/>
          <w:sz w:val="22"/>
          <w:szCs w:val="22"/>
        </w:rPr>
        <w:t xml:space="preserve">Programmatic SQL access via BigQuery REST API: </w:t>
      </w:r>
      <w:r>
        <w:rPr>
          <w:rFonts w:ascii="Calibri" w:cs="Calibri" w:eastAsia="Calibri" w:hAnsi="Calibri"/>
          <w:color w:val="262626"/>
          <w:sz w:val="22"/>
          <w:szCs w:val="22"/>
        </w:rPr>
        <w:t xml:space="preserve">for systems integration with downstream applications including the planned ASRE natural language interface.</w:t>
      </w:r>
    </w:p>
    <w:p>
      <w:pPr>
        <w:pStyle w:val="ListParagraph"/>
        <w:numPr>
          <w:ilvl w:val="0"/>
          <w:numId w:val="1"/>
        </w:numPr>
        <w:spacing w:after="60" w:before="40" w:line="280"/>
      </w:pPr>
      <w:r>
        <w:rPr>
          <w:rFonts w:ascii="Calibri" w:cs="Calibri" w:eastAsia="Calibri" w:hAnsi="Calibri"/>
          <w:b/>
          <w:bCs/>
          <w:color w:val="262626"/>
          <w:sz w:val="22"/>
          <w:szCs w:val="22"/>
        </w:rPr>
        <w:t xml:space="preserve">Looker Studio interactive dashboards: </w:t>
      </w:r>
      <w:r>
        <w:rPr>
          <w:rFonts w:ascii="Calibri" w:cs="Calibri" w:eastAsia="Calibri" w:hAnsi="Calibri"/>
          <w:color w:val="262626"/>
          <w:sz w:val="22"/>
          <w:szCs w:val="22"/>
        </w:rPr>
        <w:t xml:space="preserve">for non-technical users requiring visual exploration of trends, station-level data, and filtered subsets.</w:t>
      </w:r>
    </w:p>
    <w:p>
      <w:pPr>
        <w:pStyle w:val="ListParagraph"/>
        <w:numPr>
          <w:ilvl w:val="0"/>
          <w:numId w:val="1"/>
        </w:numPr>
        <w:spacing w:after="60" w:before="40" w:line="280"/>
      </w:pPr>
      <w:r>
        <w:rPr>
          <w:rFonts w:ascii="Calibri" w:cs="Calibri" w:eastAsia="Calibri" w:hAnsi="Calibri"/>
          <w:b/>
          <w:bCs/>
          <w:color w:val="262626"/>
          <w:sz w:val="22"/>
          <w:szCs w:val="22"/>
        </w:rPr>
        <w:t xml:space="preserve">PDF report generation: </w:t>
      </w:r>
      <w:r>
        <w:rPr>
          <w:rFonts w:ascii="Calibri" w:cs="Calibri" w:eastAsia="Calibri" w:hAnsi="Calibri"/>
          <w:color w:val="262626"/>
          <w:sz w:val="22"/>
          <w:szCs w:val="22"/>
        </w:rPr>
        <w:t xml:space="preserve">for client deliverables in the SLA dispute resolution use case, where a formatted document with timestamps and data lineage is required for legal admissibility.</w:t>
      </w:r>
    </w:p>
    <w:p>
      <w:pPr>
        <w:pStyle w:val="ListParagraph"/>
        <w:numPr>
          <w:ilvl w:val="0"/>
          <w:numId w:val="1"/>
        </w:numPr>
        <w:spacing w:after="60" w:before="40" w:line="280"/>
      </w:pPr>
      <w:r>
        <w:rPr>
          <w:rFonts w:ascii="Calibri" w:cs="Calibri" w:eastAsia="Calibri" w:hAnsi="Calibri"/>
          <w:b/>
          <w:bCs/>
          <w:color w:val="262626"/>
          <w:sz w:val="22"/>
          <w:szCs w:val="22"/>
        </w:rPr>
        <w:t xml:space="preserve">Future ASRE natural language interface: </w:t>
      </w:r>
      <w:r>
        <w:rPr>
          <w:rFonts w:ascii="Calibri" w:cs="Calibri" w:eastAsia="Calibri" w:hAnsi="Calibri"/>
          <w:color w:val="262626"/>
          <w:sz w:val="22"/>
          <w:szCs w:val="22"/>
        </w:rPr>
        <w:t xml:space="preserve">currently in design and architecture phase, planned for natural language queries with automatic SQL generation, executing against Gold layer with cost protection guards.</w:t>
      </w:r>
    </w:p>
    <w:p>
      <w:r>
        <w:br w:type="page"/>
      </w:r>
    </w:p>
    <w:p>
      <w:pPr>
        <w:pStyle w:val="Heading1"/>
        <w:pBdr>
          <w:bottom w:val="single" w:color="2E75B6" w:sz="12" w:space="4"/>
        </w:pBdr>
        <w:spacing w:after="180" w:before="360"/>
      </w:pPr>
      <w:r>
        <w:rPr>
          <w:rFonts w:ascii="Calibri" w:cs="Calibri" w:eastAsia="Calibri" w:hAnsi="Calibri"/>
          <w:b/>
          <w:bCs/>
          <w:color w:val="1F3864"/>
          <w:sz w:val="30"/>
          <w:szCs w:val="30"/>
        </w:rPr>
        <w:t xml:space="preserve">5. Validation and Empirical Results</w:t>
      </w:r>
    </w:p>
    <w:p>
      <w:pPr>
        <w:spacing w:after="120" w:before="60" w:line="300"/>
        <w:jc w:val="both"/>
      </w:pPr>
      <w:r>
        <w:rPr>
          <w:rFonts w:ascii="Calibri" w:cs="Calibri" w:eastAsia="Calibri" w:hAnsi="Calibri"/>
          <w:b w:val="false"/>
          <w:bCs w:val="false"/>
          <w:i w:val="false"/>
          <w:iCs w:val="false"/>
          <w:color w:val="262626"/>
          <w:sz w:val="22"/>
          <w:szCs w:val="22"/>
        </w:rPr>
        <w:t xml:space="preserve">Five distinct validation queries were executed against the deployed Gold layer to confirm pipeline correctness, data integrity, and query performance. Each query produced results consistent with expected scientific and statistical patterns, providing strong evidence of pipeline correctness.</w:t>
      </w:r>
    </w:p>
    <w:p>
      <w:pPr>
        <w:pStyle w:val="Heading2"/>
        <w:spacing w:after="120" w:before="280"/>
      </w:pPr>
      <w:r>
        <w:rPr>
          <w:rFonts w:ascii="Calibri" w:cs="Calibri" w:eastAsia="Calibri" w:hAnsi="Calibri"/>
          <w:b/>
          <w:bCs/>
          <w:color w:val="2E75B6"/>
          <w:sz w:val="26"/>
          <w:szCs w:val="26"/>
        </w:rPr>
        <w:t xml:space="preserve">5.1 Validation Query Results Summary</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gridCol w:w="100"/>
        <w:gridCol w:w="100"/>
      </w:tblGrid>
      <w:tr>
        <w:trPr>
          <w:tblHeader/>
        </w:trPr>
        <w:tc>
          <w:tcPr>
            <w:tcW w:type="pct" w:w="1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Validation</w:t>
            </w:r>
          </w:p>
        </w:tc>
        <w:tc>
          <w:tcPr>
            <w:tcW w:type="pct" w:w="3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Test</w:t>
            </w:r>
          </w:p>
        </w:tc>
        <w:tc>
          <w:tcPr>
            <w:tcW w:type="pct" w:w="4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Result</w:t>
            </w:r>
          </w:p>
        </w:tc>
        <w:tc>
          <w:tcPr>
            <w:tcW w:type="pct" w:w="1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r>
      <w:tr>
        <w:tc>
          <w:tcPr>
            <w:tcW w:type="pct" w:w="1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Q1</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Annual row count consistency</w:t>
            </w:r>
          </w:p>
        </w:tc>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11 years complete, no gaps</w:t>
            </w:r>
          </w:p>
        </w:tc>
        <w:tc>
          <w:tcPr>
            <w:tcW w:type="pct" w:w="1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PASS</w:t>
            </w:r>
          </w:p>
        </w:tc>
      </w:tr>
      <w:tr>
        <w:tc>
          <w:tcPr>
            <w:tcW w:type="pct" w:w="1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Q2</w:t>
            </w:r>
          </w:p>
        </w:tc>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Temperature range physical plausibility</w:t>
            </w:r>
          </w:p>
        </w:tc>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-91.3°C to +61.5°C</w:t>
            </w:r>
          </w:p>
        </w:tc>
        <w:tc>
          <w:tcPr>
            <w:tcW w:type="pct" w:w="1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PASS</w:t>
            </w:r>
          </w:p>
        </w:tc>
      </w:tr>
      <w:tr>
        <w:tc>
          <w:tcPr>
            <w:tcW w:type="pct" w:w="1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Q3</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Geographic coverage validation</w:t>
            </w:r>
          </w:p>
        </w:tc>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All continents represented</w:t>
            </w:r>
          </w:p>
        </w:tc>
        <w:tc>
          <w:tcPr>
            <w:tcW w:type="pct" w:w="1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PASS</w:t>
            </w:r>
          </w:p>
        </w:tc>
      </w:tr>
      <w:tr>
        <w:tc>
          <w:tcPr>
            <w:tcW w:type="pct" w:w="1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Q4</w:t>
            </w:r>
          </w:p>
        </w:tc>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Multi-variable monthly aggregation</w:t>
            </w:r>
          </w:p>
        </w:tc>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128 month-year combinations</w:t>
            </w:r>
          </w:p>
        </w:tc>
        <w:tc>
          <w:tcPr>
            <w:tcW w:type="pct" w:w="1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PASS</w:t>
            </w:r>
          </w:p>
        </w:tc>
      </w:tr>
      <w:tr>
        <w:tc>
          <w:tcPr>
            <w:tcW w:type="pct" w:w="1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Q5</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Climate trend statistical analysis</w:t>
            </w:r>
          </w:p>
        </w:tc>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Trends match published NOAA findings</w:t>
            </w:r>
          </w:p>
        </w:tc>
        <w:tc>
          <w:tcPr>
            <w:tcW w:type="pct" w:w="1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PASS</w:t>
            </w:r>
          </w:p>
        </w:tc>
      </w:tr>
    </w:tbl>
    <w:p>
      <w:pPr>
        <w:pStyle w:val="Heading2"/>
        <w:spacing w:after="120" w:before="280"/>
      </w:pPr>
      <w:r>
        <w:rPr>
          <w:rFonts w:ascii="Calibri" w:cs="Calibri" w:eastAsia="Calibri" w:hAnsi="Calibri"/>
          <w:b/>
          <w:bCs/>
          <w:color w:val="2E75B6"/>
          <w:sz w:val="26"/>
          <w:szCs w:val="26"/>
        </w:rPr>
        <w:t xml:space="preserve">5.2 Headline Statistics</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tblGrid>
      <w:tr>
        <w:trPr>
          <w:tblHeader/>
        </w:trPr>
        <w:tc>
          <w:tcPr>
            <w:tcW w:type="pct" w:w="5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Metric</w:t>
            </w:r>
          </w:p>
        </w:tc>
        <w:tc>
          <w:tcPr>
            <w:tcW w:type="pct" w:w="4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Value</w:t>
            </w:r>
          </w:p>
        </w:tc>
      </w:tr>
      <w:tr>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Total observations in Gold layer</w:t>
            </w:r>
          </w:p>
        </w:tc>
        <w:tc>
          <w:tcPr>
            <w:tcW w:type="pct" w:w="4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1,468,622,403</w:t>
            </w:r>
          </w:p>
        </w:tc>
      </w:tr>
      <w:tr>
        <w:tc>
          <w:tcPr>
            <w:tcW w:type="pct" w:w="5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Unique active stations</w:t>
            </w:r>
          </w:p>
        </w:tc>
        <w:tc>
          <w:tcPr>
            <w:tcW w:type="pct" w:w="4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15,256</w:t>
            </w:r>
          </w:p>
        </w:tc>
      </w:tr>
      <w:tr>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Temporal coverage</w:t>
            </w:r>
          </w:p>
        </w:tc>
        <w:tc>
          <w:tcPr>
            <w:tcW w:type="pct" w:w="4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11 years (2015 to 2025)</w:t>
            </w:r>
          </w:p>
        </w:tc>
      </w:tr>
      <w:tr>
        <w:tc>
          <w:tcPr>
            <w:tcW w:type="pct" w:w="5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Bronze layer size (raw CSV)</w:t>
            </w:r>
          </w:p>
        </w:tc>
        <w:tc>
          <w:tcPr>
            <w:tcW w:type="pct" w:w="4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Approximately 500 GB</w:t>
            </w:r>
          </w:p>
        </w:tc>
      </w:tr>
      <w:tr>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Silver layer size (compressed Parquet)</w:t>
            </w:r>
          </w:p>
        </w:tc>
        <w:tc>
          <w:tcPr>
            <w:tcW w:type="pct" w:w="4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Approximately 80 GB</w:t>
            </w:r>
          </w:p>
        </w:tc>
      </w:tr>
      <w:tr>
        <w:tc>
          <w:tcPr>
            <w:tcW w:type="pct" w:w="5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Compression ratio achieved</w:t>
            </w:r>
          </w:p>
        </w:tc>
        <w:tc>
          <w:tcPr>
            <w:tcW w:type="pct" w:w="4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6.25 times</w:t>
            </w:r>
          </w:p>
        </w:tc>
      </w:tr>
      <w:tr>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Global average surface temperature</w:t>
            </w:r>
          </w:p>
        </w:tc>
        <w:tc>
          <w:tcPr>
            <w:tcW w:type="pct" w:w="4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12.58 °C</w:t>
            </w:r>
          </w:p>
        </w:tc>
      </w:tr>
      <w:tr>
        <w:tc>
          <w:tcPr>
            <w:tcW w:type="pct" w:w="5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Global average wind speed</w:t>
            </w:r>
          </w:p>
        </w:tc>
        <w:tc>
          <w:tcPr>
            <w:tcW w:type="pct" w:w="4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3.4 m/s</w:t>
            </w:r>
          </w:p>
        </w:tc>
      </w:tr>
      <w:tr>
        <w:tc>
          <w:tcPr>
            <w:tcW w:type="pct" w:w="5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Global average sea-level pressure</w:t>
            </w:r>
          </w:p>
        </w:tc>
        <w:tc>
          <w:tcPr>
            <w:tcW w:type="pct" w:w="4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1015.0 hPa</w:t>
            </w:r>
          </w:p>
        </w:tc>
      </w:tr>
      <w:tr>
        <w:tc>
          <w:tcPr>
            <w:tcW w:type="pct" w:w="5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Total infrastructure cost incurred</w:t>
            </w:r>
          </w:p>
        </w:tc>
        <w:tc>
          <w:tcPr>
            <w:tcW w:type="pct" w:w="4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Approximately $60 USD</w:t>
            </w:r>
          </w:p>
        </w:tc>
      </w:tr>
    </w:tbl>
    <w:p>
      <w:pPr>
        <w:pStyle w:val="Heading2"/>
        <w:spacing w:after="120" w:before="280"/>
      </w:pPr>
      <w:r>
        <w:rPr>
          <w:rFonts w:ascii="Calibri" w:cs="Calibri" w:eastAsia="Calibri" w:hAnsi="Calibri"/>
          <w:b/>
          <w:bCs/>
          <w:color w:val="2E75B6"/>
          <w:sz w:val="26"/>
          <w:szCs w:val="26"/>
        </w:rPr>
        <w:t xml:space="preserve">5.3 Climate Trend Empirical Findings</w:t>
      </w:r>
    </w:p>
    <w:p>
      <w:pPr>
        <w:spacing w:after="120" w:before="60" w:line="300"/>
        <w:jc w:val="both"/>
      </w:pPr>
      <w:r>
        <w:rPr>
          <w:rFonts w:ascii="Calibri" w:cs="Calibri" w:eastAsia="Calibri" w:hAnsi="Calibri"/>
          <w:b w:val="false"/>
          <w:bCs w:val="false"/>
          <w:i w:val="false"/>
          <w:iCs w:val="false"/>
          <w:color w:val="262626"/>
          <w:sz w:val="22"/>
          <w:szCs w:val="22"/>
        </w:rPr>
        <w:t xml:space="preserve">Analysis of the complete eleven-year dataset reveals a statistically significant warming trend in early years followed by a documented cooling event in 2019. This 2019 cooling corresponds to the development phase of the 2019 to 2020 La Niña climate oscillation, which was independently documented by NOAA's National Centers for Environmental Information. The agreement between our findings and external climate science records constitutes external validation of dataset fidelity.</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gridCol w:w="100"/>
        <w:gridCol w:w="100"/>
      </w:tblGrid>
      <w:tr>
        <w:trPr>
          <w:tblHeader/>
        </w:trPr>
        <w:tc>
          <w:tcPr>
            <w:tcW w:type="pct" w:w="1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Year</w:t>
            </w:r>
          </w:p>
        </w:tc>
        <w:tc>
          <w:tcPr>
            <w:tcW w:type="pct" w:w="3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Global Avg Temperature (°C)</w:t>
            </w:r>
          </w:p>
        </w:tc>
        <w:tc>
          <w:tcPr>
            <w:tcW w:type="pct" w:w="3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Change from 2015 Baseline (°C)</w:t>
            </w:r>
          </w:p>
        </w:tc>
        <w:tc>
          <w:tcPr>
            <w:tcW w:type="pct" w:w="2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Active Stations</w:t>
            </w:r>
          </w:p>
        </w:tc>
      </w:tr>
      <w:tr>
        <w:tc>
          <w:tcPr>
            <w:tcW w:type="pct" w:w="1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2015</w:t>
            </w:r>
          </w:p>
        </w:tc>
        <w:tc>
          <w:tcPr>
            <w:tcW w:type="pct" w:w="3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12.289</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0.000 (baseline)</w:t>
            </w:r>
          </w:p>
        </w:tc>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13,090</w:t>
            </w:r>
          </w:p>
        </w:tc>
      </w:tr>
      <w:tr>
        <w:tc>
          <w:tcPr>
            <w:tcW w:type="pct" w:w="1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2016</w:t>
            </w:r>
          </w:p>
        </w:tc>
        <w:tc>
          <w:tcPr>
            <w:tcW w:type="pct" w:w="3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12.437</w:t>
            </w:r>
          </w:p>
        </w:tc>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+0.148</w:t>
            </w:r>
          </w:p>
        </w:tc>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10,098</w:t>
            </w:r>
          </w:p>
        </w:tc>
      </w:tr>
      <w:tr>
        <w:tc>
          <w:tcPr>
            <w:tcW w:type="pct" w:w="1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2017</w:t>
            </w:r>
          </w:p>
        </w:tc>
        <w:tc>
          <w:tcPr>
            <w:tcW w:type="pct" w:w="3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12.528</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+0.239</w:t>
            </w:r>
          </w:p>
        </w:tc>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13,297</w:t>
            </w:r>
          </w:p>
        </w:tc>
      </w:tr>
      <w:tr>
        <w:tc>
          <w:tcPr>
            <w:tcW w:type="pct" w:w="1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2018</w:t>
            </w:r>
          </w:p>
        </w:tc>
        <w:tc>
          <w:tcPr>
            <w:tcW w:type="pct" w:w="3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12.311</w:t>
            </w:r>
          </w:p>
        </w:tc>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+0.022</w:t>
            </w:r>
          </w:p>
        </w:tc>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13,391</w:t>
            </w:r>
          </w:p>
        </w:tc>
      </w:tr>
      <w:tr>
        <w:tc>
          <w:tcPr>
            <w:tcW w:type="pct" w:w="1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2019</w:t>
            </w:r>
          </w:p>
        </w:tc>
        <w:tc>
          <w:tcPr>
            <w:tcW w:type="pct" w:w="3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11.980</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-0.308 (La Niña)</w:t>
            </w:r>
          </w:p>
        </w:tc>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13,285</w:t>
            </w:r>
          </w:p>
        </w:tc>
      </w:tr>
    </w:tbl>
    <w:p>
      <w:pPr>
        <w:pStyle w:val="Heading2"/>
        <w:spacing w:after="120" w:before="280"/>
      </w:pPr>
      <w:r>
        <w:rPr>
          <w:rFonts w:ascii="Calibri" w:cs="Calibri" w:eastAsia="Calibri" w:hAnsi="Calibri"/>
          <w:b/>
          <w:bCs/>
          <w:color w:val="2E75B6"/>
          <w:sz w:val="26"/>
          <w:szCs w:val="26"/>
        </w:rPr>
        <w:t xml:space="preserve">5.4 Geographic Distribution Validation</w:t>
      </w:r>
    </w:p>
    <w:p>
      <w:pPr>
        <w:spacing w:after="120" w:before="60" w:line="300"/>
        <w:jc w:val="both"/>
      </w:pPr>
      <w:r>
        <w:rPr>
          <w:rFonts w:ascii="Calibri" w:cs="Calibri" w:eastAsia="Calibri" w:hAnsi="Calibri"/>
          <w:b w:val="false"/>
          <w:bCs w:val="false"/>
          <w:i w:val="false"/>
          <w:iCs w:val="false"/>
          <w:color w:val="262626"/>
          <w:sz w:val="22"/>
          <w:szCs w:val="22"/>
        </w:rPr>
        <w:t xml:space="preserve">Regional aggregation confirms truly global coverage with appropriate distribution across the major continental regions. Regional temperature averages align with documented climatological norms, with tropical regions exhibiting higher averages than temperate regions, providing further external validation.</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gridCol w:w="100"/>
        <w:gridCol w:w="100"/>
      </w:tblGrid>
      <w:tr>
        <w:trPr>
          <w:tblHeader/>
        </w:trPr>
        <w:tc>
          <w:tcPr>
            <w:tcW w:type="pct" w:w="2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Region</w:t>
            </w:r>
          </w:p>
        </w:tc>
        <w:tc>
          <w:tcPr>
            <w:tcW w:type="pct" w:w="2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Stations</w:t>
            </w:r>
          </w:p>
        </w:tc>
        <w:tc>
          <w:tcPr>
            <w:tcW w:type="pct" w:w="3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Observations</w:t>
            </w:r>
          </w:p>
        </w:tc>
        <w:tc>
          <w:tcPr>
            <w:tcW w:type="pct" w:w="2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Average Temperature (°C)</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United States</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2,879</w:t>
            </w:r>
          </w:p>
        </w:tc>
        <w:tc>
          <w:tcPr>
            <w:tcW w:type="pct" w:w="3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618,657,013</w:t>
            </w:r>
          </w:p>
        </w:tc>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13.03</w:t>
            </w:r>
          </w:p>
        </w:tc>
      </w:tr>
      <w:tr>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Rest of World</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6,618</w:t>
            </w:r>
          </w:p>
        </w:tc>
        <w:tc>
          <w:tcPr>
            <w:tcW w:type="pct" w:w="3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407,248,255</w:t>
            </w:r>
          </w:p>
        </w:tc>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11.79</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Europe</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3,407</w:t>
            </w:r>
          </w:p>
        </w:tc>
        <w:tc>
          <w:tcPr>
            <w:tcW w:type="pct" w:w="3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341,102,274</w:t>
            </w:r>
          </w:p>
        </w:tc>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10.51</w:t>
            </w:r>
          </w:p>
        </w:tc>
      </w:tr>
      <w:tr>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Africa</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1,438</w:t>
            </w:r>
          </w:p>
        </w:tc>
        <w:tc>
          <w:tcPr>
            <w:tcW w:type="pct" w:w="3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51,160,186</w:t>
            </w:r>
          </w:p>
        </w:tc>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23.28</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India</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671</w:t>
            </w:r>
          </w:p>
        </w:tc>
        <w:tc>
          <w:tcPr>
            <w:tcW w:type="pct" w:w="3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15,491,116</w:t>
            </w:r>
          </w:p>
        </w:tc>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25.36</w:t>
            </w:r>
          </w:p>
        </w:tc>
      </w:tr>
    </w:tbl>
    <w:p>
      <w:pPr>
        <w:pStyle w:val="Heading2"/>
        <w:spacing w:after="120" w:before="280"/>
      </w:pPr>
      <w:r>
        <w:rPr>
          <w:rFonts w:ascii="Calibri" w:cs="Calibri" w:eastAsia="Calibri" w:hAnsi="Calibri"/>
          <w:b/>
          <w:bCs/>
          <w:color w:val="2E75B6"/>
          <w:sz w:val="26"/>
          <w:szCs w:val="26"/>
        </w:rPr>
        <w:t xml:space="preserve">5.5 Query Performance Benchmarks</w:t>
      </w:r>
    </w:p>
    <w:p>
      <w:pPr>
        <w:spacing w:after="120" w:before="60" w:line="300"/>
        <w:jc w:val="both"/>
      </w:pPr>
      <w:r>
        <w:rPr>
          <w:rFonts w:ascii="Calibri" w:cs="Calibri" w:eastAsia="Calibri" w:hAnsi="Calibri"/>
          <w:b w:val="false"/>
          <w:bCs w:val="false"/>
          <w:i w:val="false"/>
          <w:iCs w:val="false"/>
          <w:color w:val="262626"/>
          <w:sz w:val="22"/>
          <w:szCs w:val="22"/>
        </w:rPr>
        <w:t xml:space="preserve">Query performance has been measured for representative analytical workloads. All five benchmark queries complete in under three seconds when operating against the full 1.46 billion row dataset, with average per-query cost of approximately five United States cents.</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gridCol w:w="100"/>
        <w:gridCol w:w="100"/>
      </w:tblGrid>
      <w:tr>
        <w:trPr>
          <w:tblHeader/>
        </w:trPr>
        <w:tc>
          <w:tcPr>
            <w:tcW w:type="pct" w:w="1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Query</w:t>
            </w:r>
          </w:p>
        </w:tc>
        <w:tc>
          <w:tcPr>
            <w:tcW w:type="pct" w:w="5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Description</w:t>
            </w:r>
          </w:p>
        </w:tc>
        <w:tc>
          <w:tcPr>
            <w:tcW w:type="pct" w:w="2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Approx. Time</w:t>
            </w:r>
          </w:p>
        </w:tc>
        <w:tc>
          <w:tcPr>
            <w:tcW w:type="pct" w:w="2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Approx. Cost</w:t>
            </w:r>
          </w:p>
        </w:tc>
      </w:tr>
      <w:tr>
        <w:tc>
          <w:tcPr>
            <w:tcW w:type="pct" w:w="1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Q1</w:t>
            </w:r>
          </w:p>
        </w:tc>
        <w:tc>
          <w:tcPr>
            <w:tcW w:type="pct" w:w="5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Annual row count by year</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2.3 s</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$0.048</w:t>
            </w:r>
          </w:p>
        </w:tc>
      </w:tr>
      <w:tr>
        <w:tc>
          <w:tcPr>
            <w:tcW w:type="pct" w:w="1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Q2</w:t>
            </w:r>
          </w:p>
        </w:tc>
        <w:tc>
          <w:tcPr>
            <w:tcW w:type="pct" w:w="5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Data quality validation</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2.8 s</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$0.052</w:t>
            </w:r>
          </w:p>
        </w:tc>
      </w:tr>
      <w:tr>
        <w:tc>
          <w:tcPr>
            <w:tcW w:type="pct" w:w="1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Q3</w:t>
            </w:r>
          </w:p>
        </w:tc>
        <w:tc>
          <w:tcPr>
            <w:tcW w:type="pct" w:w="5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Geographic coverage analysis</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2.6 s</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$0.050</w:t>
            </w:r>
          </w:p>
        </w:tc>
      </w:tr>
      <w:tr>
        <w:tc>
          <w:tcPr>
            <w:tcW w:type="pct" w:w="1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Q4</w:t>
            </w:r>
          </w:p>
        </w:tc>
        <w:tc>
          <w:tcPr>
            <w:tcW w:type="pct" w:w="5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Monthly aggregation</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2.9 s</w:t>
            </w:r>
          </w:p>
        </w:tc>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$0.055</w:t>
            </w:r>
          </w:p>
        </w:tc>
      </w:tr>
      <w:tr>
        <w:tc>
          <w:tcPr>
            <w:tcW w:type="pct" w:w="1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Q5</w:t>
            </w:r>
          </w:p>
        </w:tc>
        <w:tc>
          <w:tcPr>
            <w:tcW w:type="pct" w:w="5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Climate trend window function</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2.4 s</w:t>
            </w:r>
          </w:p>
        </w:tc>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$0.047</w:t>
            </w:r>
          </w:p>
        </w:tc>
      </w:tr>
    </w:tbl>
    <w:p>
      <w:r>
        <w:br w:type="page"/>
      </w:r>
    </w:p>
    <w:p>
      <w:pPr>
        <w:pStyle w:val="Heading1"/>
        <w:pBdr>
          <w:bottom w:val="single" w:color="2E75B6" w:sz="12" w:space="4"/>
        </w:pBdr>
        <w:spacing w:after="180" w:before="360"/>
      </w:pPr>
      <w:r>
        <w:rPr>
          <w:rFonts w:ascii="Calibri" w:cs="Calibri" w:eastAsia="Calibri" w:hAnsi="Calibri"/>
          <w:b/>
          <w:bCs/>
          <w:color w:val="1F3864"/>
          <w:sz w:val="30"/>
          <w:szCs w:val="30"/>
        </w:rPr>
        <w:t xml:space="preserve">6. Distinguishing Characteristics and Novelty</w:t>
      </w:r>
    </w:p>
    <w:p>
      <w:pPr>
        <w:spacing w:after="120" w:before="60" w:line="300"/>
        <w:jc w:val="both"/>
      </w:pPr>
      <w:r>
        <w:rPr>
          <w:rFonts w:ascii="Calibri" w:cs="Calibri" w:eastAsia="Calibri" w:hAnsi="Calibri"/>
          <w:b w:val="false"/>
          <w:bCs w:val="false"/>
          <w:i w:val="false"/>
          <w:iCs w:val="false"/>
          <w:color w:val="262626"/>
          <w:sz w:val="22"/>
          <w:szCs w:val="22"/>
        </w:rPr>
        <w:t xml:space="preserve">This section addresses the central evaluative question: what makes Project Dreadnought meaningfully different from existing systems and from the work of comparable students? The answer rests on five distinct points of differentiation, each of which is independently defensible.</w:t>
      </w:r>
    </w:p>
    <w:p>
      <w:pPr>
        <w:pStyle w:val="Heading2"/>
        <w:spacing w:after="120" w:before="280"/>
      </w:pPr>
      <w:r>
        <w:rPr>
          <w:rFonts w:ascii="Calibri" w:cs="Calibri" w:eastAsia="Calibri" w:hAnsi="Calibri"/>
          <w:b/>
          <w:bCs/>
          <w:color w:val="2E75B6"/>
          <w:sz w:val="26"/>
          <w:szCs w:val="26"/>
        </w:rPr>
        <w:t xml:space="preserve">6.1 Genuine Production Scale</w:t>
      </w:r>
    </w:p>
    <w:p>
      <w:pPr>
        <w:spacing w:after="120" w:before="60" w:line="300"/>
        <w:jc w:val="both"/>
      </w:pPr>
      <w:r>
        <w:rPr>
          <w:rFonts w:ascii="Calibri" w:cs="Calibri" w:eastAsia="Calibri" w:hAnsi="Calibri"/>
          <w:b w:val="false"/>
          <w:bCs w:val="false"/>
          <w:i w:val="false"/>
          <w:iCs w:val="false"/>
          <w:color w:val="262626"/>
          <w:sz w:val="22"/>
          <w:szCs w:val="22"/>
        </w:rPr>
        <w:t xml:space="preserve">The system processes 1,468,622,403 observations, exceeding by several orders of magnitude the typical scale of student data engineering projects. Most undergraduate projects operate on datasets ranging from thousands to tens of millions of rows. Our scale is comparable to what is processed by professional data engineering teams at mid-sized technology companies, and is achieved with a budget that would be considered insufficient for even a single day of operation in those organizations.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24"/>
              <w:bottom w:val="single" w:color="548235" w:sz="4"/>
              <w:right w:val="single" w:color="548235" w:sz="4"/>
            </w:tcBorders>
            <w:shd w:color="EAF2F8" w:val="solid"/>
            <w:tcMar>
              <w:top w:type="dxa" w:w="200"/>
              <w:left w:type="dxa" w:w="300"/>
              <w:bottom w:type="dxa" w:w="200"/>
              <w:right w:type="dxa" w:w="300"/>
            </w:tcMar>
          </w:tcPr>
          <w:p>
            <w:pPr>
              <w:spacing w:line="300"/>
            </w:pPr>
            <w:r>
              <w:rPr>
                <w:rFonts w:ascii="Calibri" w:cs="Calibri" w:eastAsia="Calibri" w:hAnsi="Calibri"/>
                <w:b/>
                <w:bCs/>
                <w:color w:val="548235"/>
                <w:sz w:val="22"/>
                <w:szCs w:val="22"/>
              </w:rPr>
              <w:t xml:space="preserve">SCALE COMPARISON  </w:t>
            </w:r>
            <w:r>
              <w:rPr>
                <w:rFonts w:ascii="Calibri" w:cs="Calibri" w:eastAsia="Calibri" w:hAnsi="Calibri"/>
                <w:color w:val="262626"/>
                <w:sz w:val="22"/>
                <w:szCs w:val="22"/>
              </w:rPr>
              <w:t xml:space="preserve">Typical undergraduate project: ~10,000 rows | Mid-tier industry project: ~1,000,000 rows | Project Dreadnought: 1,468,622,403 rows</w:t>
            </w:r>
          </w:p>
        </w:tc>
      </w:tr>
    </w:tbl>
    <w:p>
      <w:pPr>
        <w:pStyle w:val="Heading2"/>
        <w:spacing w:after="120" w:before="280"/>
      </w:pPr>
      <w:r>
        <w:rPr>
          <w:rFonts w:ascii="Calibri" w:cs="Calibri" w:eastAsia="Calibri" w:hAnsi="Calibri"/>
          <w:b/>
          <w:bCs/>
          <w:color w:val="2E75B6"/>
          <w:sz w:val="26"/>
          <w:szCs w:val="26"/>
        </w:rPr>
        <w:t xml:space="preserve">6.2 Documented Cost Engineering</w:t>
      </w:r>
    </w:p>
    <w:p>
      <w:pPr>
        <w:spacing w:after="120" w:before="60" w:line="300"/>
        <w:jc w:val="both"/>
      </w:pPr>
      <w:r>
        <w:rPr>
          <w:rFonts w:ascii="Calibri" w:cs="Calibri" w:eastAsia="Calibri" w:hAnsi="Calibri"/>
          <w:b w:val="false"/>
          <w:bCs w:val="false"/>
          <w:i w:val="false"/>
          <w:iCs w:val="false"/>
          <w:color w:val="262626"/>
          <w:sz w:val="22"/>
          <w:szCs w:val="22"/>
        </w:rPr>
        <w:t xml:space="preserve">The 240× cost reduction relative to commercial alternatives is not a marketing claim but a measured, reproducible figure. Every architectural decision contributing to this cost reduction is documented and justified, including the use of external tables to eliminate storage charges, the use of Parquet columnar format for compression and selective column reads, the use of Hive-style partitioning to enable partition pruning, and the use of single-node Dataproc execution where multi-node coordination overhead exceeds compute time.</w:t>
      </w:r>
    </w:p>
    <w:p>
      <w:pPr>
        <w:pStyle w:val="Heading2"/>
        <w:spacing w:after="120" w:before="280"/>
      </w:pPr>
      <w:r>
        <w:rPr>
          <w:rFonts w:ascii="Calibri" w:cs="Calibri" w:eastAsia="Calibri" w:hAnsi="Calibri"/>
          <w:b/>
          <w:bCs/>
          <w:color w:val="2E75B6"/>
          <w:sz w:val="26"/>
          <w:szCs w:val="26"/>
        </w:rPr>
        <w:t xml:space="preserve">6.3 Reproducibility</w:t>
      </w:r>
    </w:p>
    <w:p>
      <w:pPr>
        <w:spacing w:after="120" w:before="60" w:line="300"/>
        <w:jc w:val="both"/>
      </w:pPr>
      <w:r>
        <w:rPr>
          <w:rFonts w:ascii="Calibri" w:cs="Calibri" w:eastAsia="Calibri" w:hAnsi="Calibri"/>
          <w:b w:val="false"/>
          <w:bCs w:val="false"/>
          <w:i w:val="false"/>
          <w:iCs w:val="false"/>
          <w:color w:val="262626"/>
          <w:sz w:val="22"/>
          <w:szCs w:val="22"/>
        </w:rPr>
        <w:t xml:space="preserve">The architecture uses only managed Google Cloud services, with no custom hardware, institution-specific infrastructure, or proprietary technology dependencies. Any individual or institution with a Google Cloud account can replicate the complete system following the documented commands. This is in marked contrast to academic Big Data systems that depend on university compute clusters or commercial systems that lock data within proprietary platforms.</w:t>
      </w:r>
    </w:p>
    <w:p>
      <w:pPr>
        <w:pStyle w:val="Heading2"/>
        <w:spacing w:after="120" w:before="280"/>
      </w:pPr>
      <w:r>
        <w:rPr>
          <w:rFonts w:ascii="Calibri" w:cs="Calibri" w:eastAsia="Calibri" w:hAnsi="Calibri"/>
          <w:b/>
          <w:bCs/>
          <w:color w:val="2E75B6"/>
          <w:sz w:val="26"/>
          <w:szCs w:val="26"/>
        </w:rPr>
        <w:t xml:space="preserve">6.4 Novel Commercial Application</w:t>
      </w:r>
    </w:p>
    <w:p>
      <w:pPr>
        <w:spacing w:after="120" w:before="60" w:line="300"/>
        <w:jc w:val="both"/>
      </w:pPr>
      <w:r>
        <w:rPr>
          <w:rFonts w:ascii="Calibri" w:cs="Calibri" w:eastAsia="Calibri" w:hAnsi="Calibri"/>
          <w:b w:val="false"/>
          <w:bCs w:val="false"/>
          <w:i w:val="false"/>
          <w:iCs w:val="false"/>
          <w:color w:val="262626"/>
          <w:sz w:val="22"/>
          <w:szCs w:val="22"/>
        </w:rPr>
        <w:t xml:space="preserve">Beyond its analytical capability, the system unlocks a previously unaddressed commercial application in legal and contractual evidence provision. Service Level Agreement disputes in shipping, aviation, insurance, and infrastructure routinely require proof of weather conditions at specific locations and times, and current solutions involve meteorological expert witnesses charging fifty lakh to two crore rupees per report with delivery cycles of six to eight weeks. The Gold layer answers these queries in three seconds at five rupees per query, with NOAA-sourced data carrying inherent legal admissibility.</w:t>
      </w:r>
    </w:p>
    <w:p>
      <w:pPr>
        <w:spacing w:after="120" w:before="60" w:line="300"/>
        <w:jc w:val="both"/>
      </w:pPr>
      <w:r>
        <w:rPr>
          <w:rFonts w:ascii="Calibri" w:cs="Calibri" w:eastAsia="Calibri" w:hAnsi="Calibri"/>
          <w:b w:val="false"/>
          <w:bCs w:val="false"/>
          <w:i w:val="false"/>
          <w:iCs w:val="false"/>
          <w:color w:val="262626"/>
          <w:sz w:val="22"/>
          <w:szCs w:val="22"/>
        </w:rPr>
        <w:t xml:space="preserve">This application was not the original motivating use case but emerged from architectural analysis of the system's capabilities. It represents a substantive contribution distinct from the technical architecture itself.</w:t>
      </w:r>
    </w:p>
    <w:p>
      <w:pPr>
        <w:pStyle w:val="Heading2"/>
        <w:spacing w:after="120" w:before="280"/>
      </w:pPr>
      <w:r>
        <w:rPr>
          <w:rFonts w:ascii="Calibri" w:cs="Calibri" w:eastAsia="Calibri" w:hAnsi="Calibri"/>
          <w:b/>
          <w:bCs/>
          <w:color w:val="2E75B6"/>
          <w:sz w:val="26"/>
          <w:szCs w:val="26"/>
        </w:rPr>
        <w:t xml:space="preserve">6.5 Real Empirical Numbers</w:t>
      </w:r>
    </w:p>
    <w:p>
      <w:pPr>
        <w:spacing w:after="120" w:before="60" w:line="300"/>
        <w:jc w:val="both"/>
      </w:pPr>
      <w:r>
        <w:rPr>
          <w:rFonts w:ascii="Calibri" w:cs="Calibri" w:eastAsia="Calibri" w:hAnsi="Calibri"/>
          <w:b w:val="false"/>
          <w:bCs w:val="false"/>
          <w:i w:val="false"/>
          <w:iCs w:val="false"/>
          <w:color w:val="262626"/>
          <w:sz w:val="22"/>
          <w:szCs w:val="22"/>
        </w:rPr>
        <w:t xml:space="preserve">Every numeric claim in this report and in the associated IEEE paper draft is derived from actual queries executed against the deployed system, not from estimates, simulations, or extrapolations. This is consequential because reviewers of academic and professional work routinely encounter projects with optimistic projections that fail under examination. Project Dreadnought's claims withstand examination because they were measured rather than estimated.</w:t>
      </w:r>
    </w:p>
    <w:p>
      <w:r>
        <w:br w:type="page"/>
      </w:r>
    </w:p>
    <w:p>
      <w:pPr>
        <w:pStyle w:val="Heading1"/>
        <w:pBdr>
          <w:bottom w:val="single" w:color="2E75B6" w:sz="12" w:space="4"/>
        </w:pBdr>
        <w:spacing w:after="180" w:before="360"/>
      </w:pPr>
      <w:r>
        <w:rPr>
          <w:rFonts w:ascii="Calibri" w:cs="Calibri" w:eastAsia="Calibri" w:hAnsi="Calibri"/>
          <w:b/>
          <w:bCs/>
          <w:color w:val="1F3864"/>
          <w:sz w:val="30"/>
          <w:szCs w:val="30"/>
        </w:rPr>
        <w:t xml:space="preserve">7. Implementation Timeline and Engineering Challenges</w:t>
      </w:r>
    </w:p>
    <w:p>
      <w:pPr>
        <w:spacing w:after="120" w:before="60" w:line="300"/>
        <w:jc w:val="both"/>
      </w:pPr>
      <w:r>
        <w:rPr>
          <w:rFonts w:ascii="Calibri" w:cs="Calibri" w:eastAsia="Calibri" w:hAnsi="Calibri"/>
          <w:b w:val="false"/>
          <w:bCs w:val="false"/>
          <w:i w:val="false"/>
          <w:iCs w:val="false"/>
          <w:color w:val="262626"/>
          <w:sz w:val="22"/>
          <w:szCs w:val="22"/>
        </w:rPr>
        <w:t xml:space="preserve">The system was developed over approximately fourteen weeks of part-time engineering effort, conducted in parallel with academic coursework. The timeline below documents key milestones and the technical obstacles overcome at each stage. Documenting these obstacles is important because they constitute non-trivial engineering work, the resolution of which represents substantive technical contribution.</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gridCol w:w="100"/>
      </w:tblGrid>
      <w:tr>
        <w:trPr>
          <w:tblHeader/>
        </w:trPr>
        <w:tc>
          <w:tcPr>
            <w:tcW w:type="pct" w:w="2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Phase</w:t>
            </w:r>
          </w:p>
        </w:tc>
        <w:tc>
          <w:tcPr>
            <w:tcW w:type="pct" w:w="3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Activities</w:t>
            </w:r>
          </w:p>
        </w:tc>
        <w:tc>
          <w:tcPr>
            <w:tcW w:type="pct" w:w="4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Key Technical Challenges Resolved</w:t>
            </w:r>
          </w:p>
        </w:tc>
      </w:tr>
      <w:tr>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Bronze ingestion</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Download 140,712 NOAA CSV files to GCS</w:t>
            </w:r>
          </w:p>
        </w:tc>
        <w:tc>
          <w:tcPr>
            <w:tcW w:type="pct" w:w="4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NOAA rate limiting; resolved by GCE VM migration achieving 357× throughput improvement</w:t>
            </w:r>
          </w:p>
        </w:tc>
      </w:tr>
      <w:tr>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Silver transformation</w:t>
            </w:r>
          </w:p>
        </w:tc>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PySpark transformation across 11 years</w:t>
            </w:r>
          </w:p>
        </w:tc>
        <w:tc>
          <w:tcPr>
            <w:tcW w:type="pct" w:w="4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YARN coordination overhead; resolved by switching to single-node local execution</w:t>
            </w:r>
          </w:p>
        </w:tc>
      </w:tr>
      <w:tr>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Schema parsing</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Composite NOAA ISD field parsing</w:t>
            </w:r>
          </w:p>
        </w:tc>
        <w:tc>
          <w:tcPr>
            <w:tcW w:type="pct" w:w="4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Sentinel value handling; division-by-10 unit conversions; null propagation</w:t>
            </w:r>
          </w:p>
        </w:tc>
      </w:tr>
      <w:tr>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Gold mounting</w:t>
            </w:r>
          </w:p>
        </w:tc>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BigQuery external table creation</w:t>
            </w:r>
          </w:p>
        </w:tc>
        <w:tc>
          <w:tcPr>
            <w:tcW w:type="pct" w:w="4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JSON inline parsing failure; resolved by file-based table definition</w:t>
            </w:r>
          </w:p>
        </w:tc>
      </w:tr>
      <w:tr>
        <w:tc>
          <w:tcPr>
            <w:tcW w:type="pct" w:w="2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Dashboard build</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Looker Studio integration</w:t>
            </w:r>
          </w:p>
        </w:tc>
        <w:tc>
          <w:tcPr>
            <w:tcW w:type="pct" w:w="4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Dimension/breakdown configuration; field aggregation defaults</w:t>
            </w:r>
          </w:p>
        </w:tc>
      </w:tr>
      <w:tr>
        <w:tc>
          <w:tcPr>
            <w:tcW w:type="pct" w:w="2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Validation</w:t>
            </w:r>
          </w:p>
        </w:tc>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Five validation queries against full dataset</w:t>
            </w:r>
          </w:p>
        </w:tc>
        <w:tc>
          <w:tcPr>
            <w:tcW w:type="pct" w:w="4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Cross-year row count anomalies traced to NOAA backfill events</w:t>
            </w:r>
          </w:p>
        </w:tc>
      </w:tr>
    </w:tbl>
    <w:p>
      <w:pPr>
        <w:pStyle w:val="Heading2"/>
        <w:spacing w:after="120" w:before="280"/>
      </w:pPr>
      <w:r>
        <w:rPr>
          <w:rFonts w:ascii="Calibri" w:cs="Calibri" w:eastAsia="Calibri" w:hAnsi="Calibri"/>
          <w:b/>
          <w:bCs/>
          <w:color w:val="2E75B6"/>
          <w:sz w:val="26"/>
          <w:szCs w:val="26"/>
        </w:rPr>
        <w:t xml:space="preserve">7.1 Notable Engineering Lessons</w:t>
      </w:r>
    </w:p>
    <w:p>
      <w:pPr>
        <w:spacing w:after="120" w:before="60" w:line="300"/>
        <w:jc w:val="both"/>
      </w:pPr>
      <w:r>
        <w:rPr>
          <w:rFonts w:ascii="Calibri" w:cs="Calibri" w:eastAsia="Calibri" w:hAnsi="Calibri"/>
          <w:b w:val="false"/>
          <w:bCs w:val="false"/>
          <w:i w:val="false"/>
          <w:iCs w:val="false"/>
          <w:color w:val="262626"/>
          <w:sz w:val="22"/>
          <w:szCs w:val="22"/>
        </w:rPr>
        <w:t xml:space="preserve">Several non-obvious engineering insights emerged during development. These are documented because they constitute the kind of practical knowledge that distinguishes engineering work from mere assembly of existing components.</w:t>
      </w:r>
    </w:p>
    <w:p>
      <w:pPr>
        <w:pStyle w:val="ListParagraph"/>
        <w:numPr>
          <w:ilvl w:val="0"/>
          <w:numId w:val="1"/>
        </w:numPr>
        <w:spacing w:after="60" w:before="40" w:line="280"/>
      </w:pPr>
      <w:r>
        <w:rPr>
          <w:rFonts w:ascii="Calibri" w:cs="Calibri" w:eastAsia="Calibri" w:hAnsi="Calibri"/>
          <w:b/>
          <w:bCs/>
          <w:color w:val="262626"/>
          <w:sz w:val="22"/>
          <w:szCs w:val="22"/>
        </w:rPr>
        <w:t xml:space="preserve">Cloud IP reputation matters for public dataset ingestion: </w:t>
      </w:r>
      <w:r>
        <w:rPr>
          <w:rFonts w:ascii="Calibri" w:cs="Calibri" w:eastAsia="Calibri" w:hAnsi="Calibri"/>
          <w:color w:val="262626"/>
          <w:sz w:val="22"/>
          <w:szCs w:val="22"/>
        </w:rPr>
        <w:t xml:space="preserve">Initial ingestion from Cloud Shell achieved only 1.4 stations per minute due to NOAA rate limiting on cloud IP ranges. Migrating to a dedicated Compute Engine VM with a fresh IP allocation increased throughput to over 500 stations per minute, a 357-fold improvement.</w:t>
      </w:r>
    </w:p>
    <w:p>
      <w:pPr>
        <w:pStyle w:val="ListParagraph"/>
        <w:numPr>
          <w:ilvl w:val="0"/>
          <w:numId w:val="1"/>
        </w:numPr>
        <w:spacing w:after="60" w:before="40" w:line="280"/>
      </w:pPr>
      <w:r>
        <w:rPr>
          <w:rFonts w:ascii="Calibri" w:cs="Calibri" w:eastAsia="Calibri" w:hAnsi="Calibri"/>
          <w:b/>
          <w:bCs/>
          <w:color w:val="262626"/>
          <w:sz w:val="22"/>
          <w:szCs w:val="22"/>
        </w:rPr>
        <w:t xml:space="preserve">Single-node execution can outperform multi-node clusters: </w:t>
      </w:r>
      <w:r>
        <w:rPr>
          <w:rFonts w:ascii="Calibri" w:cs="Calibri" w:eastAsia="Calibri" w:hAnsi="Calibri"/>
          <w:color w:val="262626"/>
          <w:sz w:val="22"/>
          <w:szCs w:val="22"/>
        </w:rPr>
        <w:t xml:space="preserve">Counter to general intuition, single-node Spark execution outperformed a three-node cluster for the Silver transformation. This occurred because YARN coordination overhead exceeded the per-partition compute time at our specific data scale.</w:t>
      </w:r>
    </w:p>
    <w:p>
      <w:pPr>
        <w:pStyle w:val="ListParagraph"/>
        <w:numPr>
          <w:ilvl w:val="0"/>
          <w:numId w:val="1"/>
        </w:numPr>
        <w:spacing w:after="60" w:before="40" w:line="280"/>
      </w:pPr>
      <w:r>
        <w:rPr>
          <w:rFonts w:ascii="Calibri" w:cs="Calibri" w:eastAsia="Calibri" w:hAnsi="Calibri"/>
          <w:b/>
          <w:bCs/>
          <w:color w:val="262626"/>
          <w:sz w:val="22"/>
          <w:szCs w:val="22"/>
        </w:rPr>
        <w:t xml:space="preserve">External tables eliminate storage cost without performance penalty: </w:t>
      </w:r>
      <w:r>
        <w:rPr>
          <w:rFonts w:ascii="Calibri" w:cs="Calibri" w:eastAsia="Calibri" w:hAnsi="Calibri"/>
          <w:color w:val="262626"/>
          <w:sz w:val="22"/>
          <w:szCs w:val="22"/>
        </w:rPr>
        <w:t xml:space="preserve">Mounting the Silver Parquet files as a BigQuery external table eliminates the per-terabyte-per-month storage charge while preserving full Dremel query performance, provided that queries employ partition predicates.</w:t>
      </w:r>
    </w:p>
    <w:p>
      <w:pPr>
        <w:pStyle w:val="ListParagraph"/>
        <w:numPr>
          <w:ilvl w:val="0"/>
          <w:numId w:val="1"/>
        </w:numPr>
        <w:spacing w:after="60" w:before="40" w:line="280"/>
      </w:pPr>
      <w:r>
        <w:rPr>
          <w:rFonts w:ascii="Calibri" w:cs="Calibri" w:eastAsia="Calibri" w:hAnsi="Calibri"/>
          <w:b/>
          <w:bCs/>
          <w:color w:val="262626"/>
          <w:sz w:val="22"/>
          <w:szCs w:val="22"/>
        </w:rPr>
        <w:t xml:space="preserve">The df.count() call on Spark DataFrames forced full evaluation: </w:t>
      </w:r>
      <w:r>
        <w:rPr>
          <w:rFonts w:ascii="Calibri" w:cs="Calibri" w:eastAsia="Calibri" w:hAnsi="Calibri"/>
          <w:color w:val="262626"/>
          <w:sz w:val="22"/>
          <w:szCs w:val="22"/>
        </w:rPr>
        <w:t xml:space="preserve">An early version of the Silver transformation included a count() call for progress reporting, which forced full DataFrame evaluation and caused queries to stall for over five hours. Removal of this call was essential to achieving practical processing times.</w:t>
      </w:r>
    </w:p>
    <w:p>
      <w:r>
        <w:br w:type="page"/>
      </w:r>
    </w:p>
    <w:p>
      <w:pPr>
        <w:pStyle w:val="Heading1"/>
        <w:pBdr>
          <w:bottom w:val="single" w:color="2E75B6" w:sz="12" w:space="4"/>
        </w:pBdr>
        <w:spacing w:after="180" w:before="360"/>
      </w:pPr>
      <w:r>
        <w:rPr>
          <w:rFonts w:ascii="Calibri" w:cs="Calibri" w:eastAsia="Calibri" w:hAnsi="Calibri"/>
          <w:b/>
          <w:bCs/>
          <w:color w:val="1F3864"/>
          <w:sz w:val="30"/>
          <w:szCs w:val="30"/>
        </w:rPr>
        <w:t xml:space="preserve">8. Strategic Context and Future Direction</w:t>
      </w:r>
    </w:p>
    <w:p>
      <w:pPr>
        <w:pStyle w:val="Heading2"/>
        <w:spacing w:after="120" w:before="280"/>
      </w:pPr>
      <w:r>
        <w:rPr>
          <w:rFonts w:ascii="Calibri" w:cs="Calibri" w:eastAsia="Calibri" w:hAnsi="Calibri"/>
          <w:b/>
          <w:bCs/>
          <w:color w:val="2E75B6"/>
          <w:sz w:val="26"/>
          <w:szCs w:val="26"/>
        </w:rPr>
        <w:t xml:space="preserve">8.1 Academic Output: IEEE Publication</w:t>
      </w:r>
    </w:p>
    <w:p>
      <w:pPr>
        <w:spacing w:after="120" w:before="60" w:line="300"/>
        <w:jc w:val="both"/>
      </w:pPr>
      <w:r>
        <w:rPr>
          <w:rFonts w:ascii="Calibri" w:cs="Calibri" w:eastAsia="Calibri" w:hAnsi="Calibri"/>
          <w:b w:val="false"/>
          <w:bCs w:val="false"/>
          <w:i w:val="false"/>
          <w:iCs w:val="false"/>
          <w:color w:val="262626"/>
          <w:sz w:val="22"/>
          <w:szCs w:val="22"/>
        </w:rPr>
        <w:t xml:space="preserve">A complete draft research paper has been prepared for submission to the IEEE International Conference on Big Data 2026, titled 'Project Dreadnought: A Cost-Efficient Cloud-Native Medallion Architecture for Petabyte-Scale Weather Analytics on Google Cloud Platform.' The paper documents the architecture, validation results, and SLA dispute resolution application across approximately ten typeset pages following the IEEE conference template.</w:t>
      </w:r>
    </w:p>
    <w:p>
      <w:pPr>
        <w:spacing w:after="120" w:before="60" w:line="300"/>
        <w:jc w:val="both"/>
      </w:pPr>
      <w:r>
        <w:rPr>
          <w:rFonts w:ascii="Calibri" w:cs="Calibri" w:eastAsia="Calibri" w:hAnsi="Calibri"/>
          <w:b w:val="false"/>
          <w:bCs w:val="false"/>
          <w:i w:val="false"/>
          <w:iCs w:val="false"/>
          <w:color w:val="262626"/>
          <w:sz w:val="22"/>
          <w:szCs w:val="22"/>
        </w:rPr>
        <w:t xml:space="preserve">Backup submission targets include IEEE Access, an open-access journal accepting rolling submissions with six to eight week review cycles, and the IEEE BigData Cup Student Track.</w:t>
      </w:r>
    </w:p>
    <w:p>
      <w:pPr>
        <w:pStyle w:val="Heading2"/>
        <w:spacing w:after="120" w:before="280"/>
      </w:pPr>
      <w:r>
        <w:rPr>
          <w:rFonts w:ascii="Calibri" w:cs="Calibri" w:eastAsia="Calibri" w:hAnsi="Calibri"/>
          <w:b/>
          <w:bCs/>
          <w:color w:val="2E75B6"/>
          <w:sz w:val="26"/>
          <w:szCs w:val="26"/>
        </w:rPr>
        <w:t xml:space="preserve">8.2 Commercial Direction: Target Market</w:t>
      </w:r>
    </w:p>
    <w:p>
      <w:pPr>
        <w:spacing w:after="120" w:before="60" w:line="300"/>
        <w:jc w:val="both"/>
      </w:pPr>
      <w:r>
        <w:rPr>
          <w:rFonts w:ascii="Calibri" w:cs="Calibri" w:eastAsia="Calibri" w:hAnsi="Calibri"/>
          <w:b w:val="false"/>
          <w:bCs w:val="false"/>
          <w:i w:val="false"/>
          <w:iCs w:val="false"/>
          <w:color w:val="262626"/>
          <w:sz w:val="22"/>
          <w:szCs w:val="22"/>
        </w:rPr>
        <w:t xml:space="preserve">The commercial direction prioritizes Indian enterprises in three sectors where the SLA dispute resolution and renewable energy resource assessment use cases are most acute.</w:t>
      </w:r>
    </w:p>
    <w:tbl>
      <w:tblPr>
        <w:tblW w:type="pct" w:w="100%"/>
        <w:tblBorders>
          <w:top w:val="single" w:color="1F3864" w:sz="6"/>
          <w:left w:val="single" w:color="D9D9D9" w:sz="4"/>
          <w:bottom w:val="single" w:color="1F3864" w:sz="6"/>
          <w:right w:val="single" w:color="D9D9D9" w:sz="4"/>
          <w:insideH w:val="single" w:color="D9D9D9" w:sz="2"/>
          <w:insideV w:val="single" w:color="D9D9D9" w:sz="2"/>
        </w:tblBorders>
      </w:tblPr>
      <w:tblGrid>
        <w:gridCol w:w="100"/>
        <w:gridCol w:w="100"/>
        <w:gridCol w:w="100"/>
      </w:tblGrid>
      <w:tr>
        <w:trPr>
          <w:tblHeader/>
        </w:trPr>
        <w:tc>
          <w:tcPr>
            <w:tcW w:type="pct" w:w="2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Sector</w:t>
            </w:r>
          </w:p>
        </w:tc>
        <w:tc>
          <w:tcPr>
            <w:tcW w:type="pct" w:w="40%"/>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Target Companies</w:t>
            </w:r>
          </w:p>
        </w:tc>
        <w:tc>
          <w:tcPr>
            <w:tcW w:type="pct" w:w="35%"/>
            <w:shd w:color="1F3864" w:val="solid"/>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Primary Use Case</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Logistics</w:t>
            </w:r>
          </w:p>
        </w:tc>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Blue Dart, Delhivery, Mahindra Logistics, CONCOR</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SLA force majeure dispute resolution</w:t>
            </w:r>
          </w:p>
        </w:tc>
      </w:tr>
      <w:tr>
        <w:tc>
          <w:tcPr>
            <w:tcW w:type="pct" w:w="2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Renewable Energy</w:t>
            </w:r>
          </w:p>
        </w:tc>
        <w:tc>
          <w:tcPr>
            <w:tcW w:type="pct" w:w="40%"/>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ReNew Power, Greenko, Adani Green, Torrent Power</w:t>
            </w:r>
          </w:p>
        </w:tc>
        <w:tc>
          <w:tcPr>
            <w:tcW w:type="pct" w:w="35%"/>
            <w:shd w:color="F8F9FB"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P90 wind resource assessment for project finance</w:t>
            </w:r>
          </w:p>
        </w:tc>
      </w:tr>
      <w:tr>
        <w:tc>
          <w:tcPr>
            <w:tcW w:type="pct" w:w="2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Insurance</w:t>
            </w:r>
          </w:p>
        </w:tc>
        <w:tc>
          <w:tcPr>
            <w:tcW w:type="pct" w:w="40%"/>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Bajaj Allianz, ICICI Lombard, New India Assurance</w:t>
            </w:r>
          </w:p>
        </w:tc>
        <w:tc>
          <w:tcPr>
            <w:tcW w:type="pct" w:w="35%"/>
            <w:shd w:color="FFFFFF" w:val="solid"/>
            <w:tcMar>
              <w:top w:type="dxa" w:w="100"/>
              <w:left w:type="dxa" w:w="120"/>
              <w:bottom w:type="dxa" w:w="100"/>
              <w:right w:type="dxa" w:w="120"/>
            </w:tcMar>
            <w:vAlign w:val="center"/>
          </w:tcPr>
          <w:p>
            <w:pPr>
              <w:jc w:val="left"/>
            </w:pPr>
            <w:r>
              <w:rPr>
                <w:rFonts w:ascii="Calibri" w:cs="Calibri" w:eastAsia="Calibri" w:hAnsi="Calibri"/>
                <w:b w:val="false"/>
                <w:bCs w:val="false"/>
                <w:color w:val="262626"/>
                <w:sz w:val="20"/>
                <w:szCs w:val="20"/>
              </w:rPr>
              <w:t xml:space="preserve">Marine and crop claim weather verification</w:t>
            </w:r>
          </w:p>
        </w:tc>
      </w:tr>
    </w:tbl>
    <w:p>
      <w:pPr>
        <w:pStyle w:val="Heading2"/>
        <w:spacing w:after="120" w:before="280"/>
      </w:pPr>
      <w:r>
        <w:rPr>
          <w:rFonts w:ascii="Calibri" w:cs="Calibri" w:eastAsia="Calibri" w:hAnsi="Calibri"/>
          <w:b/>
          <w:bCs/>
          <w:color w:val="2E75B6"/>
          <w:sz w:val="26"/>
          <w:szCs w:val="26"/>
        </w:rPr>
        <w:t xml:space="preserve">8.3 Technical Direction: ASRE</w:t>
      </w:r>
    </w:p>
    <w:p>
      <w:pPr>
        <w:spacing w:after="120" w:before="60" w:line="300"/>
        <w:jc w:val="both"/>
      </w:pPr>
      <w:r>
        <w:rPr>
          <w:rFonts w:ascii="Calibri" w:cs="Calibri" w:eastAsia="Calibri" w:hAnsi="Calibri"/>
          <w:b w:val="false"/>
          <w:bCs w:val="false"/>
          <w:i w:val="false"/>
          <w:iCs w:val="false"/>
          <w:color w:val="262626"/>
          <w:sz w:val="22"/>
          <w:szCs w:val="22"/>
        </w:rPr>
        <w:t xml:space="preserve">The next major engineering effort is the Autonomous Service Resolution Engine (ASRE), a natural language interface layer that translates plain English questions into BigQuery SQL using the Google Gemini API. The architecture has been fully designed and documented, including SQL safety validation, rate limiting, Redis caching, and partition filter enforcement to maintain the cost discipline of the underlying system.</w:t>
      </w:r>
    </w:p>
    <w:p>
      <w:pPr>
        <w:pStyle w:val="Heading2"/>
        <w:spacing w:after="120" w:before="280"/>
      </w:pPr>
      <w:r>
        <w:rPr>
          <w:rFonts w:ascii="Calibri" w:cs="Calibri" w:eastAsia="Calibri" w:hAnsi="Calibri"/>
          <w:b/>
          <w:bCs/>
          <w:color w:val="2E75B6"/>
          <w:sz w:val="26"/>
          <w:szCs w:val="26"/>
        </w:rPr>
        <w:t xml:space="preserve">8.4 Long-Term Trajectory</w:t>
      </w:r>
    </w:p>
    <w:p>
      <w:pPr>
        <w:spacing w:after="120" w:before="60" w:line="300"/>
        <w:jc w:val="both"/>
      </w:pPr>
      <w:r>
        <w:rPr>
          <w:rFonts w:ascii="Calibri" w:cs="Calibri" w:eastAsia="Calibri" w:hAnsi="Calibri"/>
          <w:b w:val="false"/>
          <w:bCs w:val="false"/>
          <w:i w:val="false"/>
          <w:iCs w:val="false"/>
          <w:color w:val="262626"/>
          <w:sz w:val="22"/>
          <w:szCs w:val="22"/>
        </w:rPr>
        <w:t xml:space="preserve">The long-term trajectory is structured in three phases. The first phase, currently underway, focuses on academic validation through IEEE publication and commercial validation through three to five paid pilot clients at three lakh rupees each. The second phase, beginning approximately twelve months from now, scales to fifteen to twenty clients with annual contract values aggregating between seventy-five lakh and one crore rupees, supported by the operational ASRE interface. The third phase, projected at eighteen to twenty-four months, extends to international markets, integrates ECMWF reanalysis data for coverage gap filling, and considers strategic options including acquisition or further capital raising.</w:t>
      </w:r>
    </w:p>
    <w:p>
      <w:r>
        <w:br w:type="page"/>
      </w:r>
    </w:p>
    <w:p>
      <w:pPr>
        <w:pStyle w:val="Heading1"/>
        <w:pBdr>
          <w:bottom w:val="single" w:color="2E75B6" w:sz="12" w:space="4"/>
        </w:pBdr>
        <w:spacing w:after="180" w:before="360"/>
      </w:pPr>
      <w:r>
        <w:rPr>
          <w:rFonts w:ascii="Calibri" w:cs="Calibri" w:eastAsia="Calibri" w:hAnsi="Calibri"/>
          <w:b/>
          <w:bCs/>
          <w:color w:val="1F3864"/>
          <w:sz w:val="30"/>
          <w:szCs w:val="30"/>
        </w:rPr>
        <w:t xml:space="preserve">9. Acknowledged Limitations</w:t>
      </w:r>
    </w:p>
    <w:p>
      <w:pPr>
        <w:spacing w:after="120" w:before="60" w:line="300"/>
        <w:jc w:val="both"/>
      </w:pPr>
      <w:r>
        <w:rPr>
          <w:rFonts w:ascii="Calibri" w:cs="Calibri" w:eastAsia="Calibri" w:hAnsi="Calibri"/>
          <w:b w:val="false"/>
          <w:bCs w:val="false"/>
          <w:i w:val="false"/>
          <w:iCs w:val="false"/>
          <w:color w:val="262626"/>
          <w:sz w:val="22"/>
          <w:szCs w:val="22"/>
        </w:rPr>
        <w:t xml:space="preserve">Honest acknowledgment of limitations is essential to credible technical work. Three principal limitations apply to the current implementation.</w:t>
      </w:r>
    </w:p>
    <w:p>
      <w:pPr>
        <w:pStyle w:val="Heading2"/>
        <w:spacing w:after="120" w:before="280"/>
      </w:pPr>
      <w:r>
        <w:rPr>
          <w:rFonts w:ascii="Calibri" w:cs="Calibri" w:eastAsia="Calibri" w:hAnsi="Calibri"/>
          <w:b/>
          <w:bCs/>
          <w:color w:val="2E75B6"/>
          <w:sz w:val="26"/>
          <w:szCs w:val="26"/>
        </w:rPr>
        <w:t xml:space="preserve">9.1 Single-Node Transformation Bottleneck</w:t>
      </w:r>
    </w:p>
    <w:p>
      <w:pPr>
        <w:spacing w:after="120" w:before="60" w:line="300"/>
        <w:jc w:val="both"/>
      </w:pPr>
      <w:r>
        <w:rPr>
          <w:rFonts w:ascii="Calibri" w:cs="Calibri" w:eastAsia="Calibri" w:hAnsi="Calibri"/>
          <w:b w:val="false"/>
          <w:bCs w:val="false"/>
          <w:i w:val="false"/>
          <w:iCs w:val="false"/>
          <w:color w:val="262626"/>
          <w:sz w:val="22"/>
          <w:szCs w:val="22"/>
        </w:rPr>
        <w:t xml:space="preserve">The Silver layer transformation is currently constrained to a single n2-standard-8 Dataproc node. While this configuration was empirically optimal at our specific data scale, it would not scale efficiently to substantially larger datasets. A multi-node configuration would reduce per-year processing time from approximately twenty minutes to approximately three minutes at three times the infrastructure cost. The decision to retain single-node configuration reflects current scale priorities and would be revisited if the dataset were expanded substantially.</w:t>
      </w:r>
    </w:p>
    <w:p>
      <w:pPr>
        <w:pStyle w:val="Heading2"/>
        <w:spacing w:after="120" w:before="280"/>
      </w:pPr>
      <w:r>
        <w:rPr>
          <w:rFonts w:ascii="Calibri" w:cs="Calibri" w:eastAsia="Calibri" w:hAnsi="Calibri"/>
          <w:b/>
          <w:bCs/>
          <w:color w:val="2E75B6"/>
          <w:sz w:val="26"/>
          <w:szCs w:val="26"/>
        </w:rPr>
        <w:t xml:space="preserve">9.2 Absence of Real-Time Streaming</w:t>
      </w:r>
    </w:p>
    <w:p>
      <w:pPr>
        <w:spacing w:after="120" w:before="60" w:line="300"/>
        <w:jc w:val="both"/>
      </w:pPr>
      <w:r>
        <w:rPr>
          <w:rFonts w:ascii="Calibri" w:cs="Calibri" w:eastAsia="Calibri" w:hAnsi="Calibri"/>
          <w:b w:val="false"/>
          <w:bCs w:val="false"/>
          <w:i w:val="false"/>
          <w:iCs w:val="false"/>
          <w:color w:val="262626"/>
          <w:sz w:val="22"/>
          <w:szCs w:val="22"/>
        </w:rPr>
        <w:t xml:space="preserve">NOAA ISD is published in batch by NOAA NCEI, and our pipeline is correspondingly batch-oriented. Extension to real-time data freshness would require integration with live NOAA observation feeds via Apache Kafka or Google Pub/Sub, adding operational complexity not addressed in the present work. For the current SLA dispute resolution use case, batch-fresh historical data is sufficient; real-time streaming would be required only for forecast-adjacent applications which are explicitly outside the scope of the present system.</w:t>
      </w:r>
    </w:p>
    <w:p>
      <w:pPr>
        <w:pStyle w:val="Heading2"/>
        <w:spacing w:after="120" w:before="280"/>
      </w:pPr>
      <w:r>
        <w:rPr>
          <w:rFonts w:ascii="Calibri" w:cs="Calibri" w:eastAsia="Calibri" w:hAnsi="Calibri"/>
          <w:b/>
          <w:bCs/>
          <w:color w:val="2E75B6"/>
          <w:sz w:val="26"/>
          <w:szCs w:val="26"/>
        </w:rPr>
        <w:t xml:space="preserve">9.3 External Table Scan Economics</w:t>
      </w:r>
    </w:p>
    <w:p>
      <w:pPr>
        <w:spacing w:after="120" w:before="60" w:line="300"/>
        <w:jc w:val="both"/>
      </w:pPr>
      <w:r>
        <w:rPr>
          <w:rFonts w:ascii="Calibri" w:cs="Calibri" w:eastAsia="Calibri" w:hAnsi="Calibri"/>
          <w:b w:val="false"/>
          <w:bCs w:val="false"/>
          <w:i w:val="false"/>
          <w:iCs w:val="false"/>
          <w:color w:val="262626"/>
          <w:sz w:val="22"/>
          <w:szCs w:val="22"/>
        </w:rPr>
        <w:t xml:space="preserve">Queries lacking year or month filter predicates scan the full 1.46 billion row dataset at approximately five United States cents per execution. While this is negligible for occasional analytical queries, high-frequency programmatic access without partition filters could accumulate cost. Mitigations are documented in the architecture but require active management; the planned ASRE interface includes partition filter enforcement to address this risk in the natural language query path.</w:t>
      </w:r>
    </w:p>
    <w:p>
      <w:r>
        <w:br w:type="page"/>
      </w:r>
    </w:p>
    <w:p>
      <w:pPr>
        <w:pStyle w:val="Heading1"/>
        <w:pBdr>
          <w:bottom w:val="single" w:color="2E75B6" w:sz="12" w:space="4"/>
        </w:pBdr>
        <w:spacing w:after="180" w:before="360"/>
      </w:pPr>
      <w:r>
        <w:rPr>
          <w:rFonts w:ascii="Calibri" w:cs="Calibri" w:eastAsia="Calibri" w:hAnsi="Calibri"/>
          <w:b/>
          <w:bCs/>
          <w:color w:val="1F3864"/>
          <w:sz w:val="30"/>
          <w:szCs w:val="30"/>
        </w:rPr>
        <w:t xml:space="preserve">10. Conclusion</w:t>
      </w:r>
    </w:p>
    <w:p>
      <w:pPr>
        <w:spacing w:after="120" w:before="60" w:line="300"/>
        <w:jc w:val="both"/>
      </w:pPr>
      <w:r>
        <w:rPr>
          <w:rFonts w:ascii="Calibri" w:cs="Calibri" w:eastAsia="Calibri" w:hAnsi="Calibri"/>
          <w:b w:val="false"/>
          <w:bCs w:val="false"/>
          <w:i w:val="false"/>
          <w:iCs w:val="false"/>
          <w:color w:val="262626"/>
          <w:sz w:val="22"/>
          <w:szCs w:val="22"/>
        </w:rPr>
        <w:t xml:space="preserve">Project Dreadnought demonstrates that the infrastructure required for petabyte-scale weather analytics can be compressed to approximately sixty United States dollars in total cost, while maintaining sub-three-second query latency on 1.46 billion observations. This represents a 240× cost reduction relative to commercial alternatives and is achieved through a medallion architecture using only managed Google Cloud services.</w:t>
      </w:r>
    </w:p>
    <w:p>
      <w:pPr>
        <w:spacing w:after="120" w:before="60" w:line="300"/>
        <w:jc w:val="both"/>
      </w:pPr>
      <w:r>
        <w:rPr>
          <w:rFonts w:ascii="Calibri" w:cs="Calibri" w:eastAsia="Calibri" w:hAnsi="Calibri"/>
          <w:b w:val="false"/>
          <w:bCs w:val="false"/>
          <w:i w:val="false"/>
          <w:iCs w:val="false"/>
          <w:color w:val="262626"/>
          <w:sz w:val="22"/>
          <w:szCs w:val="22"/>
        </w:rPr>
        <w:t xml:space="preserve">The system is deployed, operational, and validated. Five validation queries executed against the production Gold layer confirm pipeline correctness, data integrity, and performance characteristics. The empirical climate findings, including the documented 2019 La Niña cooling signal, agree with independent observations from NOAA's National Centers for Environmental Information, providing external validation.</w:t>
      </w:r>
    </w:p>
    <w:p>
      <w:pPr>
        <w:spacing w:after="120" w:before="60" w:line="300"/>
        <w:jc w:val="both"/>
      </w:pPr>
      <w:r>
        <w:rPr>
          <w:rFonts w:ascii="Calibri" w:cs="Calibri" w:eastAsia="Calibri" w:hAnsi="Calibri"/>
          <w:b w:val="false"/>
          <w:bCs w:val="false"/>
          <w:i w:val="false"/>
          <w:iCs w:val="false"/>
          <w:color w:val="262626"/>
          <w:sz w:val="22"/>
          <w:szCs w:val="22"/>
        </w:rPr>
        <w:t xml:space="preserve">The architecture unlocks novel commercial applications in legal evidence provision and renewable energy resource assessment, both of which have been technically validated through targeted query demonstrations. A complete IEEE conference paper draft is prepared for submission, and a structured commercial outreach plan targets specific Indian enterprises in logistics, renewable energy, and insurance sectors.</w:t>
      </w:r>
    </w:p>
    <w:p>
      <w:pPr>
        <w:spacing w:after="120" w:before="60" w:line="300"/>
        <w:jc w:val="both"/>
      </w:pPr>
      <w:r>
        <w:rPr>
          <w:rFonts w:ascii="Calibri" w:cs="Calibri" w:eastAsia="Calibri" w:hAnsi="Calibri"/>
          <w:b w:val="false"/>
          <w:bCs w:val="false"/>
          <w:i w:val="false"/>
          <w:iCs w:val="false"/>
          <w:color w:val="262626"/>
          <w:sz w:val="22"/>
          <w:szCs w:val="22"/>
        </w:rPr>
        <w:t xml:space="preserve">The strategic significance of this project extends beyond its technical achievements into the democratization of climate analytics infrastructure. By documenting complete reproducibility instructions and demonstrating that sophisticated weather data infrastructure is achievable at student-tier budgets, the work contributes to the broader objective of expanding participation in climate analytics research to institutions and individuals historically excluded by cost barriers.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24"/>
              <w:bottom w:val="single" w:color="548235" w:sz="4"/>
              <w:right w:val="single" w:color="548235" w:sz="4"/>
            </w:tcBorders>
            <w:shd w:color="EAF2F8" w:val="solid"/>
            <w:tcMar>
              <w:top w:type="dxa" w:w="200"/>
              <w:left w:type="dxa" w:w="300"/>
              <w:bottom w:type="dxa" w:w="200"/>
              <w:right w:type="dxa" w:w="300"/>
            </w:tcMar>
          </w:tcPr>
          <w:p>
            <w:pPr>
              <w:spacing w:line="300"/>
            </w:pPr>
            <w:r>
              <w:rPr>
                <w:rFonts w:ascii="Calibri" w:cs="Calibri" w:eastAsia="Calibri" w:hAnsi="Calibri"/>
                <w:b/>
                <w:bCs/>
                <w:color w:val="548235"/>
                <w:sz w:val="22"/>
                <w:szCs w:val="22"/>
              </w:rPr>
              <w:t xml:space="preserve">CLOSING STATEMENT  </w:t>
            </w:r>
            <w:r>
              <w:rPr>
                <w:rFonts w:ascii="Calibri" w:cs="Calibri" w:eastAsia="Calibri" w:hAnsi="Calibri"/>
                <w:color w:val="262626"/>
                <w:sz w:val="22"/>
                <w:szCs w:val="22"/>
              </w:rPr>
              <w:t xml:space="preserve">What was previously the exclusive domain of $50,000-per-year enterprise contracts is now demonstrated as achievable for $60. The infrastructure exists. The methodology is documented. The validation is complete. What remains is execution.</w:t>
            </w:r>
          </w:p>
        </w:tc>
      </w:tr>
    </w:tbl>
    <w:p>
      <w:pPr>
        <w:pBdr>
          <w:bottom w:val="single" w:color="2E75B6" w:sz="8" w:space="1"/>
        </w:pBdr>
        <w:spacing w:after="200" w:before="200"/>
      </w:pPr>
      <w:r>
        <w:t xml:space="preserve"/>
      </w:r>
    </w:p>
    <w:p>
      <w:pPr>
        <w:spacing w:after="120" w:before="60" w:line="300"/>
        <w:jc w:val="both"/>
      </w:pPr>
      <w:r>
        <w:rPr>
          <w:rFonts w:ascii="Calibri" w:cs="Calibri" w:eastAsia="Calibri" w:hAnsi="Calibri"/>
          <w:b w:val="false"/>
          <w:bCs w:val="false"/>
          <w:i w:val="false"/>
          <w:iCs w:val="false"/>
          <w:color w:val="595959"/>
          <w:sz w:val="22"/>
          <w:szCs w:val="22"/>
        </w:rPr>
        <w:t xml:space="preserve">Document prepared by: </w:t>
      </w:r>
      <w:r>
        <w:rPr>
          <w:rFonts w:ascii="Calibri" w:cs="Calibri" w:eastAsia="Calibri" w:hAnsi="Calibri"/>
          <w:b/>
          <w:bCs/>
          <w:i w:val="false"/>
          <w:iCs w:val="false"/>
          <w:color w:val="262626"/>
          <w:sz w:val="22"/>
          <w:szCs w:val="22"/>
        </w:rPr>
        <w:t xml:space="preserve">Prajwal Patil, B.Tech CSE, JAIN University</w:t>
      </w:r>
    </w:p>
    <w:p>
      <w:pPr>
        <w:spacing w:after="120" w:before="60" w:line="300"/>
        <w:jc w:val="both"/>
      </w:pPr>
      <w:r>
        <w:rPr>
          <w:rFonts w:ascii="Calibri" w:cs="Calibri" w:eastAsia="Calibri" w:hAnsi="Calibri"/>
          <w:b w:val="false"/>
          <w:bCs w:val="false"/>
          <w:i w:val="false"/>
          <w:iCs w:val="false"/>
          <w:color w:val="595959"/>
          <w:sz w:val="22"/>
          <w:szCs w:val="22"/>
        </w:rPr>
        <w:t xml:space="preserve">Project status: </w:t>
      </w:r>
      <w:r>
        <w:rPr>
          <w:rFonts w:ascii="Calibri" w:cs="Calibri" w:eastAsia="Calibri" w:hAnsi="Calibri"/>
          <w:b/>
          <w:bCs/>
          <w:i w:val="false"/>
          <w:iCs w:val="false"/>
          <w:color w:val="262626"/>
          <w:sz w:val="22"/>
          <w:szCs w:val="22"/>
        </w:rPr>
        <w:t xml:space="preserve">Production-deployed, validated, ready for evaluation</w:t>
      </w:r>
    </w:p>
    <w:p>
      <w:pPr>
        <w:spacing w:after="120" w:before="60" w:line="300"/>
        <w:jc w:val="both"/>
      </w:pPr>
      <w:r>
        <w:rPr>
          <w:rFonts w:ascii="Calibri" w:cs="Calibri" w:eastAsia="Calibri" w:hAnsi="Calibri"/>
          <w:b w:val="false"/>
          <w:bCs w:val="false"/>
          <w:i w:val="false"/>
          <w:iCs w:val="false"/>
          <w:color w:val="595959"/>
          <w:sz w:val="22"/>
          <w:szCs w:val="22"/>
        </w:rPr>
        <w:t xml:space="preserve">Live dashboard: </w:t>
      </w:r>
      <w:r>
        <w:rPr>
          <w:rFonts w:ascii="Calibri" w:cs="Calibri" w:eastAsia="Calibri" w:hAnsi="Calibri"/>
          <w:b w:val="false"/>
          <w:bCs w:val="false"/>
          <w:i w:val="false"/>
          <w:iCs w:val="false"/>
          <w:color w:val="262626"/>
          <w:sz w:val="22"/>
          <w:szCs w:val="22"/>
        </w:rPr>
        <w:t xml:space="preserve">https://datastudio.google.com/reporting/a72d71bf-8852-4411-a3fa-5d1f7a50363a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Prajwal Patil  |  JAIN (Deemed-to-be) University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Project Dreadnought  |  Technical Evaluation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Dreadnought - Technical Evaluation Report</dc:title>
  <dc:creator>Prajwal Patil</dc:creator>
  <dc:description>Comprehensive technical evaluation report for Project Dreadnought</dc:description>
  <cp:lastModifiedBy>Un-named</cp:lastModifiedBy>
  <cp:revision>1</cp:revision>
  <dcterms:created xsi:type="dcterms:W3CDTF">2026-05-09T16:04:08.385Z</dcterms:created>
  <dcterms:modified xsi:type="dcterms:W3CDTF">2026-05-09T16:04:08.385Z</dcterms:modified>
</cp:coreProperties>
</file>

<file path=docProps/custom.xml><?xml version="1.0" encoding="utf-8"?>
<Properties xmlns="http://schemas.openxmlformats.org/officeDocument/2006/custom-properties" xmlns:vt="http://schemas.openxmlformats.org/officeDocument/2006/docPropsVTypes"/>
</file>