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07DB1" w:rsidR="00BC2903" w:rsidRDefault="002327E0" w14:paraId="39771849" w14:textId="44DD1AED">
      <w:pPr>
        <w:pStyle w:val="Heading3"/>
        <w:keepNext w:val="0"/>
        <w:keepLine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after="200" w:line="384" w:lineRule="auto"/>
        <w:rPr>
          <w:rFonts w:asciiTheme="majorHAnsi" w:hAnsiTheme="majorHAnsi" w:cstheme="majorHAnsi"/>
          <w:b/>
          <w:color w:val="000000"/>
          <w:sz w:val="33"/>
          <w:szCs w:val="33"/>
        </w:rPr>
      </w:pPr>
      <w:bookmarkStart w:name="_mdreg2mzsk1s" w:colFirst="0" w:colLast="0" w:id="0"/>
      <w:bookmarkEnd w:id="0"/>
      <w:r w:rsidRPr="00C07DB1">
        <w:rPr>
          <w:rFonts w:asciiTheme="majorHAnsi" w:hAnsiTheme="majorHAnsi" w:cstheme="majorHAnsi"/>
          <w:b/>
          <w:color w:val="000000"/>
          <w:sz w:val="33"/>
          <w:szCs w:val="33"/>
        </w:rPr>
        <w:t xml:space="preserve">1. </w:t>
      </w:r>
      <w:r w:rsidRPr="00C07DB1" w:rsidR="00A72A92">
        <w:rPr>
          <w:rFonts w:asciiTheme="majorHAnsi" w:hAnsiTheme="majorHAnsi" w:cstheme="majorHAnsi"/>
          <w:b/>
          <w:color w:val="000000"/>
          <w:sz w:val="33"/>
          <w:szCs w:val="33"/>
        </w:rPr>
        <w:t>Data Analytics</w:t>
      </w:r>
      <w:r w:rsidRPr="00C07DB1">
        <w:rPr>
          <w:rFonts w:asciiTheme="majorHAnsi" w:hAnsiTheme="majorHAnsi" w:cstheme="majorHAnsi"/>
          <w:b/>
          <w:color w:val="000000"/>
          <w:sz w:val="33"/>
          <w:szCs w:val="33"/>
        </w:rPr>
        <w:t xml:space="preserve"> </w:t>
      </w:r>
      <w:r w:rsidRPr="00C07DB1" w:rsidR="00A72A92">
        <w:rPr>
          <w:rFonts w:asciiTheme="majorHAnsi" w:hAnsiTheme="majorHAnsi" w:cstheme="majorHAnsi"/>
          <w:b/>
          <w:color w:val="000000"/>
          <w:sz w:val="33"/>
          <w:szCs w:val="33"/>
        </w:rPr>
        <w:t>–</w:t>
      </w:r>
      <w:r w:rsidRPr="00C07DB1">
        <w:rPr>
          <w:rFonts w:asciiTheme="majorHAnsi" w:hAnsiTheme="majorHAnsi" w:cstheme="majorHAnsi"/>
          <w:b/>
          <w:color w:val="000000"/>
          <w:sz w:val="33"/>
          <w:szCs w:val="33"/>
        </w:rPr>
        <w:t xml:space="preserve"> </w:t>
      </w:r>
      <w:r w:rsidRPr="00C07DB1" w:rsidR="00A72A92">
        <w:rPr>
          <w:rFonts w:asciiTheme="majorHAnsi" w:hAnsiTheme="majorHAnsi" w:cstheme="majorHAnsi"/>
          <w:b/>
          <w:color w:val="000000"/>
          <w:sz w:val="33"/>
          <w:szCs w:val="33"/>
        </w:rPr>
        <w:t>Revenue Extrapolation by Territory</w:t>
      </w:r>
    </w:p>
    <w:p w:rsidRPr="00C07DB1" w:rsidR="00BC2903" w:rsidP="4B2E52FF" w:rsidRDefault="002327E0" w14:paraId="3977184A" w14:textId="363E8E67">
      <w:p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after="300" w:line="259" w:lineRule="auto"/>
        <w:jc w:val="both"/>
        <w:rPr>
          <w:rFonts w:ascii="Calibri" w:hAnsi="Calibri" w:cs="Calibri" w:asciiTheme="majorAscii" w:hAnsiTheme="majorAscii" w:cstheme="majorAscii"/>
          <w:color w:val="374151"/>
          <w:sz w:val="24"/>
          <w:szCs w:val="24"/>
          <w:lang w:val="en-US"/>
        </w:rPr>
      </w:pPr>
      <w:r w:rsidRPr="4B2E52FF" w:rsidR="002327E0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lang w:val="en-US"/>
        </w:rPr>
        <w:t>Overview:</w:t>
      </w:r>
      <w:r w:rsidRPr="4B2E52FF" w:rsidR="002327E0">
        <w:rPr>
          <w:rFonts w:ascii="Calibri" w:hAnsi="Calibri" w:cs="Calibri" w:asciiTheme="majorAscii" w:hAnsiTheme="majorAscii" w:cstheme="majorAscii"/>
          <w:color w:val="374151"/>
          <w:sz w:val="24"/>
          <w:szCs w:val="24"/>
          <w:lang w:val="en-US"/>
        </w:rPr>
        <w:t xml:space="preserve"> </w:t>
      </w:r>
      <w:r w:rsidRPr="4B2E52FF" w:rsidR="16E08619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>P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 xml:space="preserve">roactively managing revenue at the territory level is critical. This project aims to develop a </w:t>
      </w:r>
      <w:r w:rsidRPr="4B2E52FF" w:rsidR="00C07DB1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</w:rPr>
        <w:t>predictive and prescriptive analytics framework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 xml:space="preserve"> that 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>identifies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 xml:space="preserve"> territories at risk of underperforming against </w:t>
      </w:r>
      <w:r w:rsidRPr="4B2E52FF" w:rsidR="114213EE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 xml:space="preserve">the defined 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 xml:space="preserve">revenue goals. By 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>leveraging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</w:rPr>
        <w:t xml:space="preserve"> a combination of operational, financial, and behavioral data, the initiative will not only forecast potential revenue shortfalls but also recommend actionable strategies to mitigate risks and drive performance improvements.</w:t>
      </w:r>
    </w:p>
    <w:p w:rsidRPr="00C07DB1" w:rsidR="00BC2903" w:rsidP="4B2E52FF" w:rsidRDefault="002327E0" w14:paraId="3977184B" w14:textId="41AB67BE" w14:noSpellErr="1">
      <w:p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cs="Calibri" w:asciiTheme="majorAscii" w:hAnsiTheme="majorAscii" w:cstheme="majorAscii"/>
          <w:color w:val="374151"/>
          <w:sz w:val="24"/>
          <w:szCs w:val="24"/>
          <w:lang w:val="en-US"/>
        </w:rPr>
      </w:pPr>
      <w:r w:rsidRPr="4B2E52FF" w:rsidR="002327E0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lang w:val="en-US"/>
        </w:rPr>
        <w:t xml:space="preserve">Key </w:t>
      </w:r>
      <w:r w:rsidRPr="4B2E52FF" w:rsidR="00C07DB1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lang w:val="en-US"/>
        </w:rPr>
        <w:t xml:space="preserve">Data Components 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lang w:val="en-US"/>
        </w:rPr>
        <w:t xml:space="preserve">which can be 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lang w:val="en-US"/>
        </w:rPr>
        <w:t>utilized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lang w:val="en-US"/>
        </w:rPr>
        <w:t xml:space="preserve"> for this framework:</w:t>
      </w:r>
    </w:p>
    <w:p w:rsidRPr="00C07DB1" w:rsidR="00C07DB1" w:rsidP="00C07DB1" w:rsidRDefault="00C07DB1" w14:paraId="22343391" w14:textId="77777777">
      <w:pPr>
        <w:pStyle w:val="ListParagraph"/>
        <w:numPr>
          <w:ilvl w:val="0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Current Revenue Performance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: </w:t>
      </w:r>
    </w:p>
    <w:p w:rsidRPr="00C07DB1" w:rsidR="00C07DB1" w:rsidP="00C07DB1" w:rsidRDefault="00C07DB1" w14:paraId="3B8AB1A1" w14:textId="2DF2FF15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Baseline data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 for the current month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 to assess progress against targets. </w:t>
      </w:r>
    </w:p>
    <w:p w:rsidRPr="00C07DB1" w:rsidR="00C07DB1" w:rsidP="00C07DB1" w:rsidRDefault="00C07DB1" w14:paraId="4C67E8A5" w14:textId="77777777">
      <w:pPr>
        <w:pStyle w:val="ListParagraph"/>
        <w:numPr>
          <w:ilvl w:val="0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List of Write-Off Territories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: </w:t>
      </w:r>
    </w:p>
    <w:p w:rsidRPr="00C07DB1" w:rsidR="00C07DB1" w:rsidP="00C07DB1" w:rsidRDefault="00C07DB1" w14:paraId="52CD2FF3" w14:textId="22EE44ED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Mapping of Territories which get impacted due to Billing</w:t>
      </w:r>
    </w:p>
    <w:p w:rsidRPr="00C07DB1" w:rsidR="00C07DB1" w:rsidP="00C07DB1" w:rsidRDefault="00C07DB1" w14:paraId="58C52AB7" w14:textId="77777777">
      <w:pPr>
        <w:pStyle w:val="ListParagraph"/>
        <w:numPr>
          <w:ilvl w:val="0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Missing or Delayed Time Entries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: </w:t>
      </w:r>
    </w:p>
    <w:p w:rsidRPr="00C07DB1" w:rsidR="00C07DB1" w:rsidP="0007541F" w:rsidRDefault="00C07DB1" w14:paraId="1C6D2B30" w14:textId="0A6294C7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Hours which are still pending to be logged by the staff</w:t>
      </w:r>
    </w:p>
    <w:p w:rsidRPr="00C07DB1" w:rsidR="00C07DB1" w:rsidP="00C07DB1" w:rsidRDefault="00C07DB1" w14:paraId="0B112D6C" w14:textId="26AE1D97">
      <w:pPr>
        <w:pStyle w:val="ListParagraph"/>
        <w:numPr>
          <w:ilvl w:val="0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Hourly Rates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: </w:t>
      </w:r>
    </w:p>
    <w:p w:rsidRPr="00C07DB1" w:rsidR="00C07DB1" w:rsidP="00C07DB1" w:rsidRDefault="00C07DB1" w14:paraId="5E966C24" w14:textId="42D1EAAE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Revenue potential and pricing dynamics. 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 VVN and In-Territory rates/hour</w:t>
      </w:r>
    </w:p>
    <w:p w:rsidRPr="00C07DB1" w:rsidR="00C07DB1" w:rsidP="00C07DB1" w:rsidRDefault="00C07DB1" w14:paraId="3165D597" w14:textId="77777777">
      <w:pPr>
        <w:pStyle w:val="ListParagraph"/>
        <w:numPr>
          <w:ilvl w:val="0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Utilization Metrics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: </w:t>
      </w:r>
    </w:p>
    <w:p w:rsidRPr="00C07DB1" w:rsidR="00C07DB1" w:rsidP="00C07DB1" w:rsidRDefault="00C07DB1" w14:paraId="4BBF9CDC" w14:textId="1D45E803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Productivity and resource efficiency within each territory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 for In-Territory and VVN</w:t>
      </w:r>
    </w:p>
    <w:p w:rsidRPr="00C07DB1" w:rsidR="00C07DB1" w:rsidP="00C07DB1" w:rsidRDefault="00C07DB1" w14:paraId="1BA44120" w14:textId="1DE2710A">
      <w:pPr>
        <w:pStyle w:val="ListParagraph"/>
        <w:numPr>
          <w:ilvl w:val="0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Billing Details</w:t>
      </w: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 xml:space="preserve">: </w:t>
      </w:r>
    </w:p>
    <w:p w:rsidRPr="00C07DB1" w:rsidR="00C07DB1" w:rsidP="00297CB9" w:rsidRDefault="00C07DB1" w14:paraId="5852F3D9" w14:textId="3EC4395E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Billing details by Territory by date which impacts the revenue for Write off territories.</w:t>
      </w:r>
    </w:p>
    <w:p w:rsidRPr="00C07DB1" w:rsidR="00C07DB1" w:rsidP="00C07DB1" w:rsidRDefault="00C07DB1" w14:paraId="1ECE07D6" w14:textId="46236E80">
      <w:p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Expected Outcomes</w:t>
      </w:r>
    </w:p>
    <w:p w:rsidRPr="00C07DB1" w:rsidR="00C07DB1" w:rsidP="00C07DB1" w:rsidRDefault="00C07DB1" w14:paraId="610F7275" w14:textId="363EAB36">
      <w:pPr>
        <w:pStyle w:val="ListParagraph"/>
        <w:numPr>
          <w:ilvl w:val="0"/>
          <w:numId w:val="1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ind w:left="810" w:hanging="450"/>
        <w:jc w:val="both"/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Risk Prediction Framework</w:t>
      </w:r>
    </w:p>
    <w:p w:rsidRPr="00C07DB1" w:rsidR="00C07DB1" w:rsidP="00C07DB1" w:rsidRDefault="00C07DB1" w14:paraId="28A6EAEA" w14:textId="77777777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Early identification of high-risk territories based on historical and real-time indicators.</w:t>
      </w:r>
    </w:p>
    <w:p w:rsidRPr="00C07DB1" w:rsidR="00C07DB1" w:rsidP="00C07DB1" w:rsidRDefault="00C07DB1" w14:paraId="268EE8E1" w14:textId="77777777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Territory-level risk scoring to prioritize attention and resources.</w:t>
      </w:r>
    </w:p>
    <w:p w:rsidRPr="00C07DB1" w:rsidR="00C07DB1" w:rsidP="00C07DB1" w:rsidRDefault="00C07DB1" w14:paraId="5388B95B" w14:textId="7BF940EF">
      <w:pPr>
        <w:pStyle w:val="ListParagraph"/>
        <w:numPr>
          <w:ilvl w:val="0"/>
          <w:numId w:val="1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ind w:left="810" w:hanging="450"/>
        <w:jc w:val="both"/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Prescriptive Recommendations</w:t>
      </w:r>
    </w:p>
    <w:p w:rsidRPr="00C07DB1" w:rsidR="00C07DB1" w:rsidP="00C07DB1" w:rsidRDefault="00C07DB1" w14:paraId="3F3BCC0C" w14:textId="77777777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Tailored interventions to address specific risk factors (e.g., low utilization, delayed billing).</w:t>
      </w:r>
    </w:p>
    <w:p w:rsidRPr="00C07DB1" w:rsidR="00C07DB1" w:rsidP="00C07DB1" w:rsidRDefault="00C07DB1" w14:paraId="740FC917" w14:textId="77777777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Actionable insights to support revenue recovery and goal attainment.</w:t>
      </w:r>
    </w:p>
    <w:p w:rsidRPr="00C07DB1" w:rsidR="00C07DB1" w:rsidP="00C07DB1" w:rsidRDefault="00C07DB1" w14:paraId="1CA2644E" w14:textId="5527D246">
      <w:pPr>
        <w:pStyle w:val="ListParagraph"/>
        <w:numPr>
          <w:ilvl w:val="0"/>
          <w:numId w:val="1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ind w:left="810" w:hanging="450"/>
        <w:jc w:val="both"/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b/>
          <w:bCs/>
          <w:color w:val="374151"/>
          <w:sz w:val="24"/>
          <w:szCs w:val="24"/>
          <w:lang w:val="en-US"/>
        </w:rPr>
        <w:t>Strategic Decision Support</w:t>
      </w:r>
    </w:p>
    <w:p w:rsidRPr="00C07DB1" w:rsidR="00C07DB1" w:rsidP="00C07DB1" w:rsidRDefault="00C07DB1" w14:paraId="1CEEBC03" w14:textId="77777777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Data-driven insights to inform leadership decisions on resource allocation, territory planning, and performance management.</w:t>
      </w:r>
    </w:p>
    <w:p w:rsidRPr="00C07DB1" w:rsidR="00C07DB1" w:rsidP="00C07DB1" w:rsidRDefault="00C07DB1" w14:paraId="0DAF70FF" w14:textId="77777777">
      <w:pPr>
        <w:pStyle w:val="ListParagraph"/>
        <w:numPr>
          <w:ilvl w:val="1"/>
          <w:numId w:val="5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  <w:lang w:val="en-US"/>
        </w:rPr>
      </w:pPr>
      <w:r w:rsidRPr="00C07DB1">
        <w:rPr>
          <w:rFonts w:asciiTheme="majorHAnsi" w:hAnsiTheme="majorHAnsi" w:cstheme="majorHAnsi"/>
          <w:color w:val="374151"/>
          <w:sz w:val="24"/>
          <w:szCs w:val="24"/>
          <w:lang w:val="en-US"/>
        </w:rPr>
        <w:t>Enhanced visibility into the root causes of underperformance.</w:t>
      </w:r>
    </w:p>
    <w:p w:rsidRPr="00C07DB1" w:rsidR="00C07DB1" w:rsidP="00C07DB1" w:rsidRDefault="00C07DB1" w14:paraId="02A9A70F" w14:textId="77777777">
      <w:p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</w:rPr>
      </w:pPr>
    </w:p>
    <w:p w:rsidRPr="00C07DB1" w:rsidR="00C07DB1" w:rsidP="00C07DB1" w:rsidRDefault="00C07DB1" w14:paraId="6CC30CCF" w14:textId="77777777">
      <w:p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/>
        <w:spacing w:before="300" w:after="300" w:line="259" w:lineRule="auto"/>
        <w:jc w:val="both"/>
        <w:rPr>
          <w:rFonts w:asciiTheme="majorHAnsi" w:hAnsiTheme="majorHAnsi" w:cstheme="majorHAnsi"/>
          <w:color w:val="374151"/>
          <w:sz w:val="24"/>
          <w:szCs w:val="24"/>
        </w:rPr>
      </w:pPr>
    </w:p>
    <w:p w:rsidRPr="00C07DB1" w:rsidR="00BC2903" w:rsidP="4B2E52FF" w:rsidRDefault="002327E0" w14:paraId="39771867" w14:textId="05E69EAA" w14:noSpellErr="1">
      <w:p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cs="Calibri" w:asciiTheme="majorAscii" w:hAnsiTheme="majorAscii" w:cstheme="majorAscii"/>
          <w:color w:val="374151"/>
          <w:sz w:val="24"/>
          <w:szCs w:val="24"/>
          <w:lang w:val="en-US"/>
        </w:rPr>
      </w:pPr>
      <w:r w:rsidRPr="4B2E52FF" w:rsidR="002327E0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highlight w:val="white"/>
          <w:lang w:val="en-US"/>
        </w:rPr>
        <w:t xml:space="preserve">Conclusion: 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highlight w:val="white"/>
          <w:lang w:val="en-US"/>
        </w:rPr>
        <w:t xml:space="preserve">This initiative will empower the organization with a </w:t>
      </w:r>
      <w:r w:rsidRPr="4B2E52FF" w:rsidR="00C07DB1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highlight w:val="white"/>
          <w:lang w:val="en-US"/>
        </w:rPr>
        <w:t>forward-looking, data-driven approach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highlight w:val="white"/>
          <w:lang w:val="en-US"/>
        </w:rPr>
        <w:t xml:space="preserve"> to revenue management. By combining predictive insights with prescriptive actions, the model will serve as a strategic tool to </w:t>
      </w:r>
      <w:r w:rsidRPr="4B2E52FF" w:rsidR="00C07DB1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highlight w:val="white"/>
          <w:lang w:val="en-US"/>
        </w:rPr>
        <w:t>maximize revenue potential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highlight w:val="white"/>
          <w:lang w:val="en-US"/>
        </w:rPr>
        <w:t xml:space="preserve">, </w:t>
      </w:r>
      <w:r w:rsidRPr="4B2E52FF" w:rsidR="00C07DB1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highlight w:val="white"/>
          <w:lang w:val="en-US"/>
        </w:rPr>
        <w:t>minimize risk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highlight w:val="white"/>
          <w:lang w:val="en-US"/>
        </w:rPr>
        <w:t xml:space="preserve">, and </w:t>
      </w:r>
      <w:r w:rsidRPr="4B2E52FF" w:rsidR="00C07DB1">
        <w:rPr>
          <w:rFonts w:ascii="Calibri" w:hAnsi="Calibri" w:cs="Calibri" w:asciiTheme="majorAscii" w:hAnsiTheme="majorAscii" w:cstheme="majorAscii"/>
          <w:b w:val="1"/>
          <w:bCs w:val="1"/>
          <w:color w:val="374151"/>
          <w:sz w:val="24"/>
          <w:szCs w:val="24"/>
          <w:highlight w:val="white"/>
          <w:lang w:val="en-US"/>
        </w:rPr>
        <w:t>drive accountability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highlight w:val="white"/>
          <w:lang w:val="en-US"/>
        </w:rPr>
        <w:t xml:space="preserve"> across territories. 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highlight w:val="white"/>
          <w:lang w:val="en-US"/>
        </w:rPr>
        <w:t>Ultimately, it</w:t>
      </w:r>
      <w:r w:rsidRPr="4B2E52FF" w:rsidR="00C07DB1">
        <w:rPr>
          <w:rFonts w:ascii="Calibri" w:hAnsi="Calibri" w:cs="Calibri" w:asciiTheme="majorAscii" w:hAnsiTheme="majorAscii" w:cstheme="majorAscii"/>
          <w:color w:val="374151"/>
          <w:sz w:val="24"/>
          <w:szCs w:val="24"/>
          <w:highlight w:val="white"/>
          <w:lang w:val="en-US"/>
        </w:rPr>
        <w:t xml:space="preserve"> will enable more agile and informed decision-making, ensuring that every territory is equipped to meet or exceed its financial goals.</w:t>
      </w:r>
    </w:p>
    <w:sectPr w:rsidRPr="00C07DB1" w:rsidR="00BC290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F6371"/>
    <w:multiLevelType w:val="hybridMultilevel"/>
    <w:tmpl w:val="5240BFCA"/>
    <w:lvl w:ilvl="0" w:tplc="04800E6A">
      <w:numFmt w:val="bullet"/>
      <w:lvlText w:val="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EA00C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670C64"/>
    <w:multiLevelType w:val="multilevel"/>
    <w:tmpl w:val="120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0122FB"/>
    <w:multiLevelType w:val="hybridMultilevel"/>
    <w:tmpl w:val="3F4A74F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4B17D9"/>
    <w:multiLevelType w:val="multilevel"/>
    <w:tmpl w:val="4C2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10A389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1204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E91F4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066385"/>
    <w:multiLevelType w:val="hybridMultilevel"/>
    <w:tmpl w:val="5548353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657803"/>
    <w:multiLevelType w:val="multilevel"/>
    <w:tmpl w:val="AC0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B023F0B"/>
    <w:multiLevelType w:val="hybridMultilevel"/>
    <w:tmpl w:val="639608AA"/>
    <w:lvl w:ilvl="0" w:tplc="04800E6A">
      <w:numFmt w:val="bullet"/>
      <w:lvlText w:val="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3623604">
    <w:abstractNumId w:val="7"/>
  </w:num>
  <w:num w:numId="2" w16cid:durableId="949047401">
    <w:abstractNumId w:val="6"/>
  </w:num>
  <w:num w:numId="3" w16cid:durableId="1308626468">
    <w:abstractNumId w:val="1"/>
  </w:num>
  <w:num w:numId="4" w16cid:durableId="2058158656">
    <w:abstractNumId w:val="5"/>
  </w:num>
  <w:num w:numId="5" w16cid:durableId="1186864791">
    <w:abstractNumId w:val="3"/>
  </w:num>
  <w:num w:numId="6" w16cid:durableId="175779185">
    <w:abstractNumId w:val="10"/>
  </w:num>
  <w:num w:numId="7" w16cid:durableId="1711227522">
    <w:abstractNumId w:val="4"/>
  </w:num>
  <w:num w:numId="8" w16cid:durableId="607468840">
    <w:abstractNumId w:val="2"/>
  </w:num>
  <w:num w:numId="9" w16cid:durableId="455834516">
    <w:abstractNumId w:val="9"/>
  </w:num>
  <w:num w:numId="10" w16cid:durableId="226570440">
    <w:abstractNumId w:val="0"/>
  </w:num>
  <w:num w:numId="11" w16cid:durableId="2326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03"/>
    <w:rsid w:val="002327E0"/>
    <w:rsid w:val="0024167A"/>
    <w:rsid w:val="006D6FDF"/>
    <w:rsid w:val="00A72A92"/>
    <w:rsid w:val="00A93160"/>
    <w:rsid w:val="00BC2903"/>
    <w:rsid w:val="00C07DB1"/>
    <w:rsid w:val="00DF7BD3"/>
    <w:rsid w:val="114213EE"/>
    <w:rsid w:val="16E08619"/>
    <w:rsid w:val="4688D8FE"/>
    <w:rsid w:val="4B2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1849"/>
  <w15:docId w15:val="{4FC0AB20-94D7-45BB-848D-EBA3F5B2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7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4169d7-fccb-4f8f-bfe6-6157f0b0f01d">
      <Terms xmlns="http://schemas.microsoft.com/office/infopath/2007/PartnerControls"/>
    </lcf76f155ced4ddcb4097134ff3c332f>
    <TaxCatchAll xmlns="d21a65ed-c4ac-4962-b7e1-dd7aecee04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7B216E4432F4EBAE355CEDD55E3A9" ma:contentTypeVersion="14" ma:contentTypeDescription="Create a new document." ma:contentTypeScope="" ma:versionID="a23d338740595f0a8484f9c99eee3760">
  <xsd:schema xmlns:xsd="http://www.w3.org/2001/XMLSchema" xmlns:xs="http://www.w3.org/2001/XMLSchema" xmlns:p="http://schemas.microsoft.com/office/2006/metadata/properties" xmlns:ns2="e84169d7-fccb-4f8f-bfe6-6157f0b0f01d" xmlns:ns3="d21a65ed-c4ac-4962-b7e1-dd7aecee04a2" targetNamespace="http://schemas.microsoft.com/office/2006/metadata/properties" ma:root="true" ma:fieldsID="839060909468e6440e25e6e2c126ea30" ns2:_="" ns3:_="">
    <xsd:import namespace="e84169d7-fccb-4f8f-bfe6-6157f0b0f01d"/>
    <xsd:import namespace="d21a65ed-c4ac-4962-b7e1-dd7aecee04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169d7-fccb-4f8f-bfe6-6157f0b0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6fb0909-170e-4c00-b290-f2e95fd892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a65ed-c4ac-4962-b7e1-dd7aecee04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b75d906-56b3-4c4c-9f5d-9429052bbe57}" ma:internalName="TaxCatchAll" ma:showField="CatchAllData" ma:web="d21a65ed-c4ac-4962-b7e1-dd7aecee0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7A1D7-2FF4-41F1-88C4-05B6834A25F2}">
  <ds:schemaRefs>
    <ds:schemaRef ds:uri="http://schemas.microsoft.com/office/2006/metadata/properties"/>
    <ds:schemaRef ds:uri="http://schemas.microsoft.com/office/infopath/2007/PartnerControls"/>
    <ds:schemaRef ds:uri="e84169d7-fccb-4f8f-bfe6-6157f0b0f01d"/>
    <ds:schemaRef ds:uri="d21a65ed-c4ac-4962-b7e1-dd7aecee04a2"/>
  </ds:schemaRefs>
</ds:datastoreItem>
</file>

<file path=customXml/itemProps2.xml><?xml version="1.0" encoding="utf-8"?>
<ds:datastoreItem xmlns:ds="http://schemas.openxmlformats.org/officeDocument/2006/customXml" ds:itemID="{680ED04C-3142-4955-B3EE-D9DBF0B81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169d7-fccb-4f8f-bfe6-6157f0b0f01d"/>
    <ds:schemaRef ds:uri="d21a65ed-c4ac-4962-b7e1-dd7aecee04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FBA9AA-93E4-42DA-B16E-E9DEF33AF19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Nagendra Kancharla</lastModifiedBy>
  <revision>4</revision>
  <dcterms:created xsi:type="dcterms:W3CDTF">2025-09-12T15:32:00.0000000Z</dcterms:created>
  <dcterms:modified xsi:type="dcterms:W3CDTF">2025-09-12T17:36:17.0866782Z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0x010100C067B216E4432F4EBAE355CEDD55E3A9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2025-09-12T15:21:36Z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69f771c0-d738-4696-98b5-f80034acc77a</vt:lpwstr>
  </property>
  <property fmtid="{D5CDD505-2E9C-101B-9397-08002B2CF9AE}" pid="9" name="MSIP_Label_defa4170-0d19-0005-0004-bc88714345d2_ActionId">
    <vt:lpwstr>6e062eba-5e69-4cfe-8a35-16a222ea4e71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SIP_Label_defa4170-0d19-0005-0004-bc88714345d2_Tag">
    <vt:lpwstr>10, 3, 0, 1</vt:lpwstr>
  </property>
</Properties>
</file>