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Bdr>
          <w:bottom w:val="single" w:sz="12" w:space="4" w:color="000000"/>
        </w:pBdr>
      </w:pPr>
      <w:r>
        <w:rPr>
          <w:rFonts w:ascii="Times New Roman" w:hAnsi="Times New Roman" w:eastAsia="Times New Roman" w:cs="Times New Roman"/>
          <w:b/>
          <w:i w:val="0"/>
          <w:color w:val="000000"/>
          <w:sz w:val="32"/>
        </w:rPr>
        <w:t>SOFTWARE DEVELOPMENT AGREEMENT</w:t>
      </w:r>
    </w:p>
    <w:p>
      <w:pPr>
        <w:spacing w:after="40" w:before="0" w:line="276" w:lineRule="auto"/>
        <w:jc w:val="center"/>
      </w:pPr>
      <w:r>
        <w:rPr>
          <w:rFonts w:ascii="Times New Roman" w:hAnsi="Times New Roman" w:eastAsia="Times New Roman" w:cs="Times New Roman"/>
          <w:b w:val="0"/>
          <w:i/>
          <w:color w:val="000000"/>
          <w:sz w:val="22"/>
        </w:rPr>
        <w:t>Project: NAJIK — Local Marketplace Mobile Application and Desktop Admin Panel</w:t>
      </w:r>
    </w:p>
    <w:p>
      <w:pPr>
        <w:spacing w:after="280" w:before="0" w:line="276" w:lineRule="auto"/>
        <w:jc w:val="center"/>
      </w:pPr>
      <w:r>
        <w:rPr>
          <w:rFonts w:ascii="Times New Roman" w:hAnsi="Times New Roman" w:eastAsia="Times New Roman" w:cs="Times New Roman"/>
          <w:b w:val="0"/>
          <w:i w:val="0"/>
          <w:color w:val="000000"/>
          <w:sz w:val="20"/>
        </w:rPr>
        <w:t>Agreement Date: 16 August 2026     |     Governing Law: Nepal</w:t>
      </w:r>
    </w:p>
    <w:p>
      <w:pPr>
        <w:spacing w:after="200" w:before="0" w:line="276" w:lineRule="auto"/>
        <w:jc w:val="both"/>
      </w:pPr>
      <w:r>
        <w:rPr>
          <w:rFonts w:ascii="Times New Roman" w:hAnsi="Times New Roman" w:eastAsia="Times New Roman" w:cs="Times New Roman"/>
          <w:b w:val="0"/>
          <w:i w:val="0"/>
          <w:color w:val="000000"/>
          <w:sz w:val="22"/>
        </w:rPr>
        <w:t>This Software Development Agreement (“Agreement”) is entered into as of the Agreement Date stated above by and between the parties identified below (each a “Party” and together the “Parties”).</w:t>
      </w:r>
    </w:p>
    <w:p>
      <w:pPr>
        <w:spacing w:after="120" w:before="240" w:line="276" w:lineRule="auto"/>
      </w:pPr>
      <w:r>
        <w:rPr>
          <w:rFonts w:ascii="Times New Roman" w:hAnsi="Times New Roman" w:eastAsia="Times New Roman" w:cs="Times New Roman"/>
          <w:b/>
          <w:i w:val="0"/>
          <w:color w:val="000000"/>
          <w:sz w:val="24"/>
        </w:rPr>
        <w:t>1. PARTIES</w:t>
      </w:r>
    </w:p>
    <w:p>
      <w:pPr>
        <w:spacing w:after="120" w:before="0" w:line="276" w:lineRule="auto"/>
        <w:jc w:val="both"/>
      </w:pPr>
      <w:r>
        <w:rPr>
          <w:rFonts w:ascii="Times New Roman" w:hAnsi="Times New Roman" w:eastAsia="Times New Roman" w:cs="Times New Roman"/>
          <w:b w:val="0"/>
          <w:i w:val="0"/>
          <w:color w:val="000000"/>
          <w:sz w:val="22"/>
        </w:rPr>
        <w:t>1.1  Service Provider. NepTech Solutions, a technology services firm organized and operating in Nepal, with notice email info@neptech.online (hereinafter “Developer” / “NepTech”).</w:t>
      </w:r>
    </w:p>
    <w:p>
      <w:pPr>
        <w:spacing w:after="120" w:before="0" w:line="276" w:lineRule="auto"/>
        <w:jc w:val="both"/>
      </w:pPr>
      <w:r>
        <w:rPr>
          <w:rFonts w:ascii="Times New Roman" w:hAnsi="Times New Roman" w:eastAsia="Times New Roman" w:cs="Times New Roman"/>
          <w:b w:val="0"/>
          <w:i w:val="0"/>
          <w:color w:val="000000"/>
          <w:sz w:val="22"/>
        </w:rPr>
        <w:t>1.2  Client. Kalash Financial Solution Pvt. Ltd., a private limited company incorporated in Nepal (hereinafter “Client” / “Kalash”).</w:t>
      </w:r>
    </w:p>
    <w:p>
      <w:pPr>
        <w:spacing w:after="120" w:before="0" w:line="276" w:lineRule="auto"/>
        <w:jc w:val="both"/>
      </w:pPr>
      <w:r>
        <w:rPr>
          <w:rFonts w:ascii="Times New Roman" w:hAnsi="Times New Roman" w:eastAsia="Times New Roman" w:cs="Times New Roman"/>
          <w:b w:val="0"/>
          <w:i w:val="0"/>
          <w:color w:val="000000"/>
          <w:sz w:val="22"/>
        </w:rPr>
        <w:t>1.3  Notices. Formal notices under this Agreement shall be sent to the addresses, emails, or registered offices notified in writing by each Party. Until updated, notices may be delivered in person, by email, or by courier with written acknowledgement.</w:t>
      </w:r>
    </w:p>
    <w:p>
      <w:pPr>
        <w:spacing w:after="120" w:before="240" w:line="276" w:lineRule="auto"/>
      </w:pPr>
      <w:r>
        <w:rPr>
          <w:rFonts w:ascii="Times New Roman" w:hAnsi="Times New Roman" w:eastAsia="Times New Roman" w:cs="Times New Roman"/>
          <w:b/>
          <w:i w:val="0"/>
          <w:color w:val="000000"/>
          <w:sz w:val="24"/>
        </w:rPr>
        <w:t>2. RECITALS</w:t>
      </w:r>
    </w:p>
    <w:p>
      <w:pPr>
        <w:spacing w:after="120" w:before="0" w:line="276" w:lineRule="auto"/>
        <w:jc w:val="both"/>
      </w:pPr>
      <w:r>
        <w:rPr>
          <w:rFonts w:ascii="Times New Roman" w:hAnsi="Times New Roman" w:eastAsia="Times New Roman" w:cs="Times New Roman"/>
          <w:b w:val="0"/>
          <w:i w:val="0"/>
          <w:color w:val="000000"/>
          <w:sz w:val="22"/>
        </w:rPr>
        <w:t>The Client wishes to engage the Developer to design, develop, and deliver a Nepal-focused local marketplace product known as “NAJIK” (tagline: Everything Near You), comprising a user-facing mobile application and a desktop-controlled administrative panel. The Developer has the skill to perform such work. The Parties agree to the terms below.</w:t>
      </w:r>
    </w:p>
    <w:p>
      <w:pPr>
        <w:spacing w:after="120" w:before="240" w:line="276" w:lineRule="auto"/>
      </w:pPr>
      <w:r>
        <w:rPr>
          <w:rFonts w:ascii="Times New Roman" w:hAnsi="Times New Roman" w:eastAsia="Times New Roman" w:cs="Times New Roman"/>
          <w:b/>
          <w:i w:val="0"/>
          <w:color w:val="000000"/>
          <w:sz w:val="24"/>
        </w:rPr>
        <w:t>3. DEFINITIONS</w:t>
      </w:r>
    </w:p>
    <w:p>
      <w:pPr>
        <w:spacing w:after="80" w:before="0" w:line="276" w:lineRule="auto"/>
        <w:jc w:val="both"/>
      </w:pPr>
      <w:r>
        <w:rPr>
          <w:rFonts w:ascii="Times New Roman" w:hAnsi="Times New Roman" w:eastAsia="Times New Roman" w:cs="Times New Roman"/>
          <w:b w:val="0"/>
          <w:i w:val="0"/>
          <w:color w:val="000000"/>
          <w:sz w:val="22"/>
        </w:rPr>
        <w:t>In this Agreement, unless the context requires otherwise:</w:t>
      </w:r>
    </w:p>
    <w:p>
      <w:pPr>
        <w:pStyle w:val="ListBullet"/>
        <w:spacing w:after="60"/>
        <w:ind w:left="425"/>
        <w:jc w:val="both"/>
      </w:pPr>
      <w:r>
        <w:rPr>
          <w:rFonts w:ascii="Times New Roman" w:hAnsi="Times New Roman" w:eastAsia="Times New Roman" w:cs="Times New Roman"/>
          <w:b w:val="0"/>
          <w:i w:val="0"/>
          <w:color w:val="000000"/>
          <w:sz w:val="22"/>
        </w:rPr>
        <w:t>“Software” means the NAJIK user application, desktop admin panel, and related backend application programming interface (API) developed under this Agreement, within the Agreed Scope.</w:t>
      </w:r>
    </w:p>
    <w:p>
      <w:pPr>
        <w:pStyle w:val="ListBullet"/>
        <w:spacing w:after="60"/>
        <w:ind w:left="425"/>
        <w:jc w:val="both"/>
      </w:pPr>
      <w:r>
        <w:rPr>
          <w:rFonts w:ascii="Times New Roman" w:hAnsi="Times New Roman" w:eastAsia="Times New Roman" w:cs="Times New Roman"/>
          <w:b w:val="0"/>
          <w:i w:val="0"/>
          <w:color w:val="000000"/>
          <w:sz w:val="22"/>
        </w:rPr>
        <w:t>“Agreed Scope” means the deliverables listed in Clause 5 only, and excludes items listed in Clause 6.</w:t>
      </w:r>
    </w:p>
    <w:p>
      <w:pPr>
        <w:pStyle w:val="ListBullet"/>
        <w:spacing w:after="60"/>
        <w:ind w:left="425"/>
        <w:jc w:val="both"/>
      </w:pPr>
      <w:r>
        <w:rPr>
          <w:rFonts w:ascii="Times New Roman" w:hAnsi="Times New Roman" w:eastAsia="Times New Roman" w:cs="Times New Roman"/>
          <w:b w:val="0"/>
          <w:i w:val="0"/>
          <w:color w:val="000000"/>
          <w:sz w:val="22"/>
        </w:rPr>
        <w:t>“Admin Panel” means a web-based control system used from a desktop or laptop computer browser, for the Client’s owners and authorised staff.</w:t>
      </w:r>
    </w:p>
    <w:p>
      <w:pPr>
        <w:pStyle w:val="ListBullet"/>
        <w:spacing w:after="60"/>
        <w:ind w:left="425"/>
        <w:jc w:val="both"/>
      </w:pPr>
      <w:r>
        <w:rPr>
          <w:rFonts w:ascii="Times New Roman" w:hAnsi="Times New Roman" w:eastAsia="Times New Roman" w:cs="Times New Roman"/>
          <w:b w:val="0"/>
          <w:i w:val="0"/>
          <w:color w:val="000000"/>
          <w:sz w:val="22"/>
        </w:rPr>
        <w:t>“User App” means the mobile application used by the public to post listings, search, and communicate with other users.</w:t>
      </w:r>
    </w:p>
    <w:p>
      <w:pPr>
        <w:pStyle w:val="ListBullet"/>
        <w:spacing w:after="60"/>
        <w:ind w:left="425"/>
        <w:jc w:val="both"/>
      </w:pPr>
      <w:r>
        <w:rPr>
          <w:rFonts w:ascii="Times New Roman" w:hAnsi="Times New Roman" w:eastAsia="Times New Roman" w:cs="Times New Roman"/>
          <w:b w:val="0"/>
          <w:i w:val="0"/>
          <w:color w:val="000000"/>
          <w:sz w:val="22"/>
        </w:rPr>
        <w:t>“Confidential Information” means non-public business, technical, and user data of either Party.</w:t>
      </w:r>
    </w:p>
    <w:p>
      <w:pPr>
        <w:pStyle w:val="ListBullet"/>
        <w:spacing w:after="60"/>
        <w:ind w:left="425"/>
        <w:jc w:val="both"/>
      </w:pPr>
      <w:r>
        <w:rPr>
          <w:rFonts w:ascii="Times New Roman" w:hAnsi="Times New Roman" w:eastAsia="Times New Roman" w:cs="Times New Roman"/>
          <w:b w:val="0"/>
          <w:i w:val="0"/>
          <w:color w:val="000000"/>
          <w:sz w:val="22"/>
        </w:rPr>
        <w:t>“Change Request” means any feature, screen, integration, or category not listed in Clause 5.</w:t>
      </w:r>
    </w:p>
    <w:p>
      <w:pPr>
        <w:spacing w:after="120" w:before="240" w:line="276" w:lineRule="auto"/>
      </w:pPr>
      <w:r>
        <w:rPr>
          <w:rFonts w:ascii="Times New Roman" w:hAnsi="Times New Roman" w:eastAsia="Times New Roman" w:cs="Times New Roman"/>
          <w:b/>
          <w:i w:val="0"/>
          <w:color w:val="000000"/>
          <w:sz w:val="24"/>
        </w:rPr>
        <w:t>4. NATURE OF THE PRODUCT</w:t>
      </w:r>
    </w:p>
    <w:p>
      <w:pPr>
        <w:spacing w:after="120" w:before="0" w:line="276" w:lineRule="auto"/>
        <w:jc w:val="both"/>
      </w:pPr>
      <w:r>
        <w:rPr>
          <w:rFonts w:ascii="Times New Roman" w:hAnsi="Times New Roman" w:eastAsia="Times New Roman" w:cs="Times New Roman"/>
          <w:b w:val="0"/>
          <w:i w:val="0"/>
          <w:color w:val="000000"/>
          <w:sz w:val="22"/>
        </w:rPr>
        <w:t>4.1  NAJIK is a local classifieds / marketplace platform (similar in concept to a Nepal buy–sell–rent–hire notice board). Members of the public may post listings (for example rooms, vehicles, used items). Other users may view listings and contact the poster by in-app chat (and call where enabled). Selected users may display a verified badge after staff review. The Client’s owners and staff manage users, listings, and reports from the Admin Panel on desktop.</w:t>
      </w:r>
    </w:p>
    <w:p>
      <w:pPr>
        <w:spacing w:after="120" w:before="0" w:line="276" w:lineRule="auto"/>
        <w:jc w:val="both"/>
      </w:pPr>
      <w:r>
        <w:rPr>
          <w:rFonts w:ascii="Times New Roman" w:hAnsi="Times New Roman" w:eastAsia="Times New Roman" w:cs="Times New Roman"/>
          <w:b w:val="0"/>
          <w:i w:val="0"/>
          <w:color w:val="000000"/>
          <w:sz w:val="22"/>
        </w:rPr>
        <w:t>4.2  The Software is not a full e-commerce checkout store (no shopping cart, warehouse fulfilment, or guaranteed in-app payment for each item sale unless later agreed in a Change Request). Transactions between buyer and seller may occur outside the Software.</w:t>
      </w:r>
    </w:p>
    <w:p>
      <w:pPr>
        <w:spacing w:after="120" w:before="0" w:line="276" w:lineRule="auto"/>
        <w:jc w:val="both"/>
      </w:pPr>
      <w:r>
        <w:rPr>
          <w:rFonts w:ascii="Times New Roman" w:hAnsi="Times New Roman" w:eastAsia="Times New Roman" w:cs="Times New Roman"/>
          <w:b w:val="0"/>
          <w:i w:val="0"/>
          <w:color w:val="000000"/>
          <w:sz w:val="22"/>
        </w:rPr>
        <w:t>4.3  The Admin Panel is intended solely for the Client (app owners) and the Client’s employed or contracted staff. Ordinary buyers and sellers shall not receive Admin Panel access.</w:t>
      </w:r>
    </w:p>
    <w:p>
      <w:pPr>
        <w:spacing w:after="120" w:before="240" w:line="276" w:lineRule="auto"/>
      </w:pPr>
      <w:r>
        <w:rPr>
          <w:rFonts w:ascii="Times New Roman" w:hAnsi="Times New Roman" w:eastAsia="Times New Roman" w:cs="Times New Roman"/>
          <w:b/>
          <w:i w:val="0"/>
          <w:color w:val="000000"/>
          <w:sz w:val="24"/>
        </w:rPr>
        <w:t>5. AGREED SCOPE OF WORK (INCLUDED)</w:t>
      </w:r>
    </w:p>
    <w:p>
      <w:pPr>
        <w:spacing w:after="120" w:before="0" w:line="276" w:lineRule="auto"/>
        <w:jc w:val="both"/>
      </w:pPr>
      <w:r>
        <w:rPr>
          <w:rFonts w:ascii="Times New Roman" w:hAnsi="Times New Roman" w:eastAsia="Times New Roman" w:cs="Times New Roman"/>
          <w:b w:val="0"/>
          <w:i w:val="0"/>
          <w:color w:val="000000"/>
          <w:sz w:val="22"/>
        </w:rPr>
        <w:t>For the Contract Price in Clause 8, the Developer shall deliver the following first production version (“Phase 1”). The Client’s longer product documentation may describe a future vision; only the items in this Clause 5 are included in this price.</w:t>
      </w:r>
    </w:p>
    <w:p>
      <w:pPr>
        <w:spacing w:after="80" w:before="0" w:line="276" w:lineRule="auto"/>
      </w:pPr>
      <w:r>
        <w:rPr>
          <w:rFonts w:ascii="Times New Roman" w:hAnsi="Times New Roman" w:eastAsia="Times New Roman" w:cs="Times New Roman"/>
          <w:b/>
          <w:i w:val="0"/>
          <w:color w:val="000000"/>
          <w:sz w:val="22"/>
        </w:rPr>
        <w:t>5.1  User Mobile Application (Android first)</w:t>
      </w:r>
    </w:p>
    <w:p>
      <w:pPr>
        <w:pStyle w:val="ListBullet"/>
        <w:spacing w:after="60"/>
        <w:ind w:left="425"/>
        <w:jc w:val="both"/>
      </w:pPr>
      <w:r>
        <w:rPr>
          <w:rFonts w:ascii="Times New Roman" w:hAnsi="Times New Roman" w:eastAsia="Times New Roman" w:cs="Times New Roman"/>
          <w:b w:val="0"/>
          <w:i w:val="0"/>
          <w:color w:val="000000"/>
          <w:sz w:val="22"/>
        </w:rPr>
        <w:t>Registration / login (phone or email as technically agreed).</w:t>
      </w:r>
    </w:p>
    <w:p>
      <w:pPr>
        <w:pStyle w:val="ListBullet"/>
        <w:spacing w:after="60"/>
        <w:ind w:left="425"/>
        <w:jc w:val="both"/>
      </w:pPr>
      <w:r>
        <w:rPr>
          <w:rFonts w:ascii="Times New Roman" w:hAnsi="Times New Roman" w:eastAsia="Times New Roman" w:cs="Times New Roman"/>
          <w:b w:val="0"/>
          <w:i w:val="0"/>
          <w:color w:val="000000"/>
          <w:sz w:val="22"/>
        </w:rPr>
        <w:t>Home: search, categories, listing cards, location display (manual location if GPS is denied).</w:t>
      </w:r>
    </w:p>
    <w:p>
      <w:pPr>
        <w:pStyle w:val="ListBullet"/>
        <w:spacing w:after="60"/>
        <w:ind w:left="425"/>
        <w:jc w:val="both"/>
      </w:pPr>
      <w:r>
        <w:rPr>
          <w:rFonts w:ascii="Times New Roman" w:hAnsi="Times New Roman" w:eastAsia="Times New Roman" w:cs="Times New Roman"/>
          <w:b w:val="0"/>
          <w:i w:val="0"/>
          <w:color w:val="000000"/>
          <w:sz w:val="22"/>
        </w:rPr>
        <w:t>Explore / search with basic filters (category, location, price).</w:t>
      </w:r>
    </w:p>
    <w:p>
      <w:pPr>
        <w:pStyle w:val="ListBullet"/>
        <w:spacing w:after="60"/>
        <w:ind w:left="425"/>
        <w:jc w:val="both"/>
      </w:pPr>
      <w:r>
        <w:rPr>
          <w:rFonts w:ascii="Times New Roman" w:hAnsi="Times New Roman" w:eastAsia="Times New Roman" w:cs="Times New Roman"/>
          <w:b w:val="0"/>
          <w:i w:val="0"/>
          <w:color w:val="000000"/>
          <w:sz w:val="22"/>
        </w:rPr>
        <w:t>Post listing wizard: category, photos, title/description, price (NPR), location, contact preference, preview and publish.</w:t>
      </w:r>
    </w:p>
    <w:p>
      <w:pPr>
        <w:pStyle w:val="ListBullet"/>
        <w:spacing w:after="60"/>
        <w:ind w:left="425"/>
        <w:jc w:val="both"/>
      </w:pPr>
      <w:r>
        <w:rPr>
          <w:rFonts w:ascii="Times New Roman" w:hAnsi="Times New Roman" w:eastAsia="Times New Roman" w:cs="Times New Roman"/>
          <w:b w:val="0"/>
          <w:i w:val="0"/>
          <w:color w:val="000000"/>
          <w:sz w:val="22"/>
        </w:rPr>
        <w:t>Listing detail: images, price, seller, save, report.</w:t>
      </w:r>
    </w:p>
    <w:p>
      <w:pPr>
        <w:pStyle w:val="ListBullet"/>
        <w:spacing w:after="60"/>
        <w:ind w:left="425"/>
        <w:jc w:val="both"/>
      </w:pPr>
      <w:r>
        <w:rPr>
          <w:rFonts w:ascii="Times New Roman" w:hAnsi="Times New Roman" w:eastAsia="Times New Roman" w:cs="Times New Roman"/>
          <w:b w:val="0"/>
          <w:i w:val="0"/>
          <w:color w:val="000000"/>
          <w:sz w:val="22"/>
        </w:rPr>
        <w:t>One-to-one text chat linked to a listing.</w:t>
      </w:r>
    </w:p>
    <w:p>
      <w:pPr>
        <w:pStyle w:val="ListBullet"/>
        <w:spacing w:after="60"/>
        <w:ind w:left="425"/>
        <w:jc w:val="both"/>
      </w:pPr>
      <w:r>
        <w:rPr>
          <w:rFonts w:ascii="Times New Roman" w:hAnsi="Times New Roman" w:eastAsia="Times New Roman" w:cs="Times New Roman"/>
          <w:b w:val="0"/>
          <w:i w:val="0"/>
          <w:color w:val="000000"/>
          <w:sz w:val="22"/>
        </w:rPr>
        <w:t>Saved listings and basic profile (photo, name, my listings, logout).</w:t>
      </w:r>
    </w:p>
    <w:p>
      <w:pPr>
        <w:pStyle w:val="ListBullet"/>
        <w:spacing w:after="60"/>
        <w:ind w:left="425"/>
        <w:jc w:val="both"/>
      </w:pPr>
      <w:r>
        <w:rPr>
          <w:rFonts w:ascii="Times New Roman" w:hAnsi="Times New Roman" w:eastAsia="Times New Roman" w:cs="Times New Roman"/>
          <w:b w:val="0"/>
          <w:i w:val="0"/>
          <w:color w:val="000000"/>
          <w:sz w:val="22"/>
        </w:rPr>
        <w:t>Core listing types in Phase 1: Used Items, Property (rooms/rent or sale as designed), and Vehicles. Additional categories may be added as Change Requests.</w:t>
      </w:r>
    </w:p>
    <w:p>
      <w:pPr>
        <w:spacing w:after="80" w:before="120" w:line="276" w:lineRule="auto"/>
      </w:pPr>
      <w:r>
        <w:rPr>
          <w:rFonts w:ascii="Times New Roman" w:hAnsi="Times New Roman" w:eastAsia="Times New Roman" w:cs="Times New Roman"/>
          <w:b/>
          <w:i w:val="0"/>
          <w:color w:val="000000"/>
          <w:sz w:val="22"/>
        </w:rPr>
        <w:t>5.2  Desktop Admin Panel (mandatory)</w:t>
      </w:r>
    </w:p>
    <w:p>
      <w:pPr>
        <w:pStyle w:val="ListBullet"/>
        <w:spacing w:after="60"/>
        <w:ind w:left="425"/>
        <w:jc w:val="both"/>
      </w:pPr>
      <w:r>
        <w:rPr>
          <w:rFonts w:ascii="Times New Roman" w:hAnsi="Times New Roman" w:eastAsia="Times New Roman" w:cs="Times New Roman"/>
          <w:b w:val="0"/>
          <w:i w:val="0"/>
          <w:color w:val="000000"/>
          <w:sz w:val="22"/>
        </w:rPr>
        <w:t>Secure login for Client staff; access from desktop/laptop web browser.</w:t>
      </w:r>
    </w:p>
    <w:p>
      <w:pPr>
        <w:pStyle w:val="ListBullet"/>
        <w:spacing w:after="60"/>
        <w:ind w:left="425"/>
        <w:jc w:val="both"/>
      </w:pPr>
      <w:r>
        <w:rPr>
          <w:rFonts w:ascii="Times New Roman" w:hAnsi="Times New Roman" w:eastAsia="Times New Roman" w:cs="Times New Roman"/>
          <w:b w:val="0"/>
          <w:i w:val="0"/>
          <w:color w:val="000000"/>
          <w:sz w:val="22"/>
        </w:rPr>
        <w:t>Dashboard with basic counts (users, listings, pending/approved). Detailed revenue analytics and multi-role staff matrix beyond Admin / Super Admin may be Phase 2.</w:t>
      </w:r>
    </w:p>
    <w:p>
      <w:pPr>
        <w:pStyle w:val="ListBullet"/>
        <w:spacing w:after="60"/>
        <w:ind w:left="425"/>
        <w:jc w:val="both"/>
      </w:pPr>
      <w:r>
        <w:rPr>
          <w:rFonts w:ascii="Times New Roman" w:hAnsi="Times New Roman" w:eastAsia="Times New Roman" w:cs="Times New Roman"/>
          <w:b w:val="0"/>
          <w:i w:val="0"/>
          <w:color w:val="000000"/>
          <w:sz w:val="22"/>
        </w:rPr>
        <w:t>User list: view, suspend / activate.</w:t>
      </w:r>
    </w:p>
    <w:p>
      <w:pPr>
        <w:pStyle w:val="ListBullet"/>
        <w:spacing w:after="60"/>
        <w:ind w:left="425"/>
        <w:jc w:val="both"/>
      </w:pPr>
      <w:r>
        <w:rPr>
          <w:rFonts w:ascii="Times New Roman" w:hAnsi="Times New Roman" w:eastAsia="Times New Roman" w:cs="Times New Roman"/>
          <w:b w:val="0"/>
          <w:i w:val="0"/>
          <w:color w:val="000000"/>
          <w:sz w:val="22"/>
        </w:rPr>
        <w:t>Listing moderation: approve, reject (with reason), hide / unhide.</w:t>
      </w:r>
    </w:p>
    <w:p>
      <w:pPr>
        <w:pStyle w:val="ListBullet"/>
        <w:spacing w:after="60"/>
        <w:ind w:left="425"/>
        <w:jc w:val="both"/>
      </w:pPr>
      <w:r>
        <w:rPr>
          <w:rFonts w:ascii="Times New Roman" w:hAnsi="Times New Roman" w:eastAsia="Times New Roman" w:cs="Times New Roman"/>
          <w:b w:val="0"/>
          <w:i w:val="0"/>
          <w:color w:val="000000"/>
          <w:sz w:val="22"/>
        </w:rPr>
        <w:t>Manual “Verified” flag for a user or listing (document KYC workflow is Phase 2 unless agreed).</w:t>
      </w:r>
    </w:p>
    <w:p>
      <w:pPr>
        <w:pStyle w:val="ListBullet"/>
        <w:spacing w:after="60"/>
        <w:ind w:left="425"/>
        <w:jc w:val="both"/>
      </w:pPr>
      <w:r>
        <w:rPr>
          <w:rFonts w:ascii="Times New Roman" w:hAnsi="Times New Roman" w:eastAsia="Times New Roman" w:cs="Times New Roman"/>
          <w:b w:val="0"/>
          <w:i w:val="0"/>
          <w:color w:val="000000"/>
          <w:sz w:val="22"/>
        </w:rPr>
        <w:t>Simple reports inbox (user reports on listings).</w:t>
      </w:r>
    </w:p>
    <w:p>
      <w:pPr>
        <w:pStyle w:val="ListBullet"/>
        <w:spacing w:after="60"/>
        <w:ind w:left="425"/>
        <w:jc w:val="both"/>
      </w:pPr>
      <w:r>
        <w:rPr>
          <w:rFonts w:ascii="Times New Roman" w:hAnsi="Times New Roman" w:eastAsia="Times New Roman" w:cs="Times New Roman"/>
          <w:b w:val="0"/>
          <w:i w:val="0"/>
          <w:color w:val="000000"/>
          <w:sz w:val="22"/>
        </w:rPr>
        <w:t>Two staff roles minimum: Super Admin (Client owner) and Admin/Moderator (staff).</w:t>
      </w:r>
    </w:p>
    <w:p>
      <w:pPr>
        <w:spacing w:after="80" w:before="120" w:line="276" w:lineRule="auto"/>
      </w:pPr>
      <w:r>
        <w:rPr>
          <w:rFonts w:ascii="Times New Roman" w:hAnsi="Times New Roman" w:eastAsia="Times New Roman" w:cs="Times New Roman"/>
          <w:b/>
          <w:i w:val="0"/>
          <w:color w:val="000000"/>
          <w:sz w:val="22"/>
        </w:rPr>
        <w:t>5.3  Backend and delivery</w:t>
      </w:r>
    </w:p>
    <w:p>
      <w:pPr>
        <w:pStyle w:val="ListBullet"/>
        <w:spacing w:after="60"/>
        <w:ind w:left="425"/>
        <w:jc w:val="both"/>
      </w:pPr>
      <w:r>
        <w:rPr>
          <w:rFonts w:ascii="Times New Roman" w:hAnsi="Times New Roman" w:eastAsia="Times New Roman" w:cs="Times New Roman"/>
          <w:b w:val="0"/>
          <w:i w:val="0"/>
          <w:color w:val="000000"/>
          <w:sz w:val="22"/>
        </w:rPr>
        <w:t>Hosted API, database, and image storage wired for the above features.</w:t>
      </w:r>
    </w:p>
    <w:p>
      <w:pPr>
        <w:pStyle w:val="ListBullet"/>
        <w:spacing w:after="60"/>
        <w:ind w:left="425"/>
        <w:jc w:val="both"/>
      </w:pPr>
      <w:r>
        <w:rPr>
          <w:rFonts w:ascii="Times New Roman" w:hAnsi="Times New Roman" w:eastAsia="Times New Roman" w:cs="Times New Roman"/>
          <w:b w:val="0"/>
          <w:i w:val="0"/>
          <w:color w:val="000000"/>
          <w:sz w:val="22"/>
        </w:rPr>
        <w:t>HTTPS where the Client has provided a domain and server (or Developer-assisted setup billed as reimbursable cost).</w:t>
      </w:r>
    </w:p>
    <w:p>
      <w:pPr>
        <w:pStyle w:val="ListBullet"/>
        <w:spacing w:after="60"/>
        <w:ind w:left="425"/>
        <w:jc w:val="both"/>
      </w:pPr>
      <w:r>
        <w:rPr>
          <w:rFonts w:ascii="Times New Roman" w:hAnsi="Times New Roman" w:eastAsia="Times New Roman" w:cs="Times New Roman"/>
          <w:b w:val="0"/>
          <w:i w:val="0"/>
          <w:color w:val="000000"/>
          <w:sz w:val="22"/>
        </w:rPr>
        <w:t>Source code handover after full payment.</w:t>
      </w:r>
    </w:p>
    <w:p>
      <w:pPr>
        <w:pStyle w:val="ListBullet"/>
        <w:spacing w:after="60"/>
        <w:ind w:left="425"/>
        <w:jc w:val="both"/>
      </w:pPr>
      <w:r>
        <w:rPr>
          <w:rFonts w:ascii="Times New Roman" w:hAnsi="Times New Roman" w:eastAsia="Times New Roman" w:cs="Times New Roman"/>
          <w:b w:val="0"/>
          <w:i w:val="0"/>
          <w:color w:val="000000"/>
          <w:sz w:val="22"/>
        </w:rPr>
        <w:t>Handover notes: how to log in, publish a listing, and use the Admin Panel.</w:t>
      </w:r>
    </w:p>
    <w:p>
      <w:pPr>
        <w:pStyle w:val="ListBullet"/>
        <w:spacing w:after="60"/>
        <w:ind w:left="425"/>
        <w:jc w:val="both"/>
      </w:pPr>
      <w:r>
        <w:rPr>
          <w:rFonts w:ascii="Times New Roman" w:hAnsi="Times New Roman" w:eastAsia="Times New Roman" w:cs="Times New Roman"/>
          <w:b w:val="0"/>
          <w:i w:val="0"/>
          <w:color w:val="000000"/>
          <w:sz w:val="22"/>
        </w:rPr>
        <w:t>Up to two (2) rounds of reasonable revisions on delivered screens within the Agreed Scope, within fourteen (14) days of each milestone demonstration.</w:t>
      </w:r>
    </w:p>
    <w:p>
      <w:pPr>
        <w:spacing w:after="120" w:before="240" w:line="276" w:lineRule="auto"/>
      </w:pPr>
      <w:r>
        <w:rPr>
          <w:rFonts w:ascii="Times New Roman" w:hAnsi="Times New Roman" w:eastAsia="Times New Roman" w:cs="Times New Roman"/>
          <w:b/>
          <w:i w:val="0"/>
          <w:color w:val="000000"/>
          <w:sz w:val="24"/>
        </w:rPr>
        <w:t>6. EXCLUSIONS (NOT INCLUDED IN NPR 40,000)</w:t>
      </w:r>
    </w:p>
    <w:p>
      <w:pPr>
        <w:spacing w:after="80" w:before="0" w:line="276" w:lineRule="auto"/>
        <w:jc w:val="both"/>
      </w:pPr>
      <w:r>
        <w:rPr>
          <w:rFonts w:ascii="Times New Roman" w:hAnsi="Times New Roman" w:eastAsia="Times New Roman" w:cs="Times New Roman"/>
          <w:b w:val="0"/>
          <w:i w:val="0"/>
          <w:color w:val="000000"/>
          <w:sz w:val="22"/>
        </w:rPr>
        <w:t>Unless a written Change Request and extra fee are agreed, the following are out of scope:</w:t>
      </w:r>
    </w:p>
    <w:p>
      <w:pPr>
        <w:pStyle w:val="ListBullet"/>
        <w:spacing w:after="60"/>
        <w:ind w:left="425"/>
        <w:jc w:val="both"/>
      </w:pPr>
      <w:r>
        <w:rPr>
          <w:rFonts w:ascii="Times New Roman" w:hAnsi="Times New Roman" w:eastAsia="Times New Roman" w:cs="Times New Roman"/>
          <w:b w:val="0"/>
          <w:i w:val="0"/>
          <w:color w:val="000000"/>
          <w:sz w:val="22"/>
        </w:rPr>
        <w:t>Apple iOS App Store build and Apple Developer enrolment.</w:t>
      </w:r>
    </w:p>
    <w:p>
      <w:pPr>
        <w:pStyle w:val="ListBullet"/>
        <w:spacing w:after="60"/>
        <w:ind w:left="425"/>
        <w:jc w:val="both"/>
      </w:pPr>
      <w:r>
        <w:rPr>
          <w:rFonts w:ascii="Times New Roman" w:hAnsi="Times New Roman" w:eastAsia="Times New Roman" w:cs="Times New Roman"/>
          <w:b w:val="0"/>
          <w:i w:val="0"/>
          <w:color w:val="000000"/>
          <w:sz w:val="22"/>
        </w:rPr>
        <w:t>Interactive map search, Google Maps / Mapbox paid quota, and “search this area”.</w:t>
      </w:r>
    </w:p>
    <w:p>
      <w:pPr>
        <w:pStyle w:val="ListBullet"/>
        <w:spacing w:after="60"/>
        <w:ind w:left="425"/>
        <w:jc w:val="both"/>
      </w:pPr>
      <w:r>
        <w:rPr>
          <w:rFonts w:ascii="Times New Roman" w:hAnsi="Times New Roman" w:eastAsia="Times New Roman" w:cs="Times New Roman"/>
          <w:b w:val="0"/>
          <w:i w:val="0"/>
          <w:color w:val="000000"/>
          <w:sz w:val="22"/>
        </w:rPr>
        <w:t>Voice messages, in-app wallet, shopping cart, delivery logistics.</w:t>
      </w:r>
    </w:p>
    <w:p>
      <w:pPr>
        <w:pStyle w:val="ListBullet"/>
        <w:spacing w:after="60"/>
        <w:ind w:left="425"/>
        <w:jc w:val="both"/>
      </w:pPr>
      <w:r>
        <w:rPr>
          <w:rFonts w:ascii="Times New Roman" w:hAnsi="Times New Roman" w:eastAsia="Times New Roman" w:cs="Times New Roman"/>
          <w:b w:val="0"/>
          <w:i w:val="0"/>
          <w:color w:val="000000"/>
          <w:sz w:val="22"/>
        </w:rPr>
        <w:t>eSewa / Khalti / other payment gateways for listing boosts, subscriptions, or ads.</w:t>
      </w:r>
    </w:p>
    <w:p>
      <w:pPr>
        <w:pStyle w:val="ListBullet"/>
        <w:spacing w:after="60"/>
        <w:ind w:left="425"/>
        <w:jc w:val="both"/>
      </w:pPr>
      <w:r>
        <w:rPr>
          <w:rFonts w:ascii="Times New Roman" w:hAnsi="Times New Roman" w:eastAsia="Times New Roman" w:cs="Times New Roman"/>
          <w:b w:val="0"/>
          <w:i w:val="0"/>
          <w:color w:val="000000"/>
          <w:sz w:val="22"/>
        </w:rPr>
        <w:t>Full KYC document centre, six named admin roles, CMS (FAQ/terms editor), advertising campaigns, and advanced charts (DAU, revenue, city performance).</w:t>
      </w:r>
    </w:p>
    <w:p>
      <w:pPr>
        <w:pStyle w:val="ListBullet"/>
        <w:spacing w:after="60"/>
        <w:ind w:left="425"/>
        <w:jc w:val="both"/>
      </w:pPr>
      <w:r>
        <w:rPr>
          <w:rFonts w:ascii="Times New Roman" w:hAnsi="Times New Roman" w:eastAsia="Times New Roman" w:cs="Times New Roman"/>
          <w:b w:val="0"/>
          <w:i w:val="0"/>
          <w:color w:val="000000"/>
          <w:sz w:val="22"/>
        </w:rPr>
        <w:t>Jobs marketplace, services marketplace, and business directory as full modules (beyond a simple extra category if capacity allows by written agreement).</w:t>
      </w:r>
    </w:p>
    <w:p>
      <w:pPr>
        <w:pStyle w:val="ListBullet"/>
        <w:spacing w:after="60"/>
        <w:ind w:left="425"/>
        <w:jc w:val="both"/>
      </w:pPr>
      <w:r>
        <w:rPr>
          <w:rFonts w:ascii="Times New Roman" w:hAnsi="Times New Roman" w:eastAsia="Times New Roman" w:cs="Times New Roman"/>
          <w:b w:val="0"/>
          <w:i w:val="0"/>
          <w:color w:val="000000"/>
          <w:sz w:val="22"/>
        </w:rPr>
        <w:t>Complete Nepali language translation of every screen.</w:t>
      </w:r>
    </w:p>
    <w:p>
      <w:pPr>
        <w:pStyle w:val="ListBullet"/>
        <w:spacing w:after="60"/>
        <w:ind w:left="425"/>
        <w:jc w:val="both"/>
      </w:pPr>
      <w:r>
        <w:rPr>
          <w:rFonts w:ascii="Times New Roman" w:hAnsi="Times New Roman" w:eastAsia="Times New Roman" w:cs="Times New Roman"/>
          <w:b w:val="0"/>
          <w:i w:val="0"/>
          <w:color w:val="000000"/>
          <w:sz w:val="22"/>
        </w:rPr>
        <w:t>Play Store / App Store developer account fees, SMS OTP credits, map API bills, domain, VPS, email, and object storage invoices — these are Client costs (Clause 9).</w:t>
      </w:r>
    </w:p>
    <w:p>
      <w:pPr>
        <w:pStyle w:val="ListBullet"/>
        <w:spacing w:after="60"/>
        <w:ind w:left="425"/>
        <w:jc w:val="both"/>
      </w:pPr>
      <w:r>
        <w:rPr>
          <w:rFonts w:ascii="Times New Roman" w:hAnsi="Times New Roman" w:eastAsia="Times New Roman" w:cs="Times New Roman"/>
          <w:b w:val="0"/>
          <w:i w:val="0"/>
          <w:color w:val="000000"/>
          <w:sz w:val="22"/>
        </w:rPr>
        <w:t>Ongoing 24/7 support, new features after Final Acceptance, and content writing (listing photos, legal policies).</w:t>
      </w:r>
    </w:p>
    <w:p>
      <w:pPr>
        <w:spacing w:after="120" w:before="240" w:line="276" w:lineRule="auto"/>
      </w:pPr>
      <w:r>
        <w:rPr>
          <w:rFonts w:ascii="Times New Roman" w:hAnsi="Times New Roman" w:eastAsia="Times New Roman" w:cs="Times New Roman"/>
          <w:b/>
          <w:i w:val="0"/>
          <w:color w:val="000000"/>
          <w:sz w:val="24"/>
        </w:rPr>
        <w:t>7. CLIENT RESPONSIBILITIES</w:t>
      </w:r>
    </w:p>
    <w:p>
      <w:pPr>
        <w:pStyle w:val="ListBullet"/>
        <w:spacing w:after="60"/>
        <w:ind w:left="425"/>
        <w:jc w:val="both"/>
      </w:pPr>
      <w:r>
        <w:rPr>
          <w:rFonts w:ascii="Times New Roman" w:hAnsi="Times New Roman" w:eastAsia="Times New Roman" w:cs="Times New Roman"/>
          <w:b w:val="0"/>
          <w:i w:val="0"/>
          <w:color w:val="000000"/>
          <w:sz w:val="22"/>
        </w:rPr>
        <w:t>Provide branding assets (logo, colours if different from the NAJIK reference), app name confirmation, and sample content within seven (7) days of the Agreement Date.</w:t>
      </w:r>
    </w:p>
    <w:p>
      <w:pPr>
        <w:pStyle w:val="ListBullet"/>
        <w:spacing w:after="60"/>
        <w:ind w:left="425"/>
        <w:jc w:val="both"/>
      </w:pPr>
      <w:r>
        <w:rPr>
          <w:rFonts w:ascii="Times New Roman" w:hAnsi="Times New Roman" w:eastAsia="Times New Roman" w:cs="Times New Roman"/>
          <w:b w:val="0"/>
          <w:i w:val="0"/>
          <w:color w:val="000000"/>
          <w:sz w:val="22"/>
        </w:rPr>
        <w:t>Nominate one (1) authorised contact for feedback. Conflicting instructions from multiple staff may delay the timetable.</w:t>
      </w:r>
    </w:p>
    <w:p>
      <w:pPr>
        <w:pStyle w:val="ListBullet"/>
        <w:spacing w:after="60"/>
        <w:ind w:left="425"/>
        <w:jc w:val="both"/>
      </w:pPr>
      <w:r>
        <w:rPr>
          <w:rFonts w:ascii="Times New Roman" w:hAnsi="Times New Roman" w:eastAsia="Times New Roman" w:cs="Times New Roman"/>
          <w:b w:val="0"/>
          <w:i w:val="0"/>
          <w:color w:val="000000"/>
          <w:sz w:val="22"/>
        </w:rPr>
        <w:t>Review demonstrations within five (5) working days. Silence may be treated as approval of that milestone.</w:t>
      </w:r>
    </w:p>
    <w:p>
      <w:pPr>
        <w:pStyle w:val="ListBullet"/>
        <w:spacing w:after="60"/>
        <w:ind w:left="425"/>
        <w:jc w:val="both"/>
      </w:pPr>
      <w:r>
        <w:rPr>
          <w:rFonts w:ascii="Times New Roman" w:hAnsi="Times New Roman" w:eastAsia="Times New Roman" w:cs="Times New Roman"/>
          <w:b w:val="0"/>
          <w:i w:val="0"/>
          <w:color w:val="000000"/>
          <w:sz w:val="22"/>
        </w:rPr>
        <w:t>Pay invoices on time. Work may pause if any instalment is more than seven (7) days overdue.</w:t>
      </w:r>
    </w:p>
    <w:p>
      <w:pPr>
        <w:pStyle w:val="ListBullet"/>
        <w:spacing w:after="60"/>
        <w:ind w:left="425"/>
        <w:jc w:val="both"/>
      </w:pPr>
      <w:r>
        <w:rPr>
          <w:rFonts w:ascii="Times New Roman" w:hAnsi="Times New Roman" w:eastAsia="Times New Roman" w:cs="Times New Roman"/>
          <w:b w:val="0"/>
          <w:i w:val="0"/>
          <w:color w:val="000000"/>
          <w:sz w:val="22"/>
        </w:rPr>
        <w:t>Obtain and pay for domain, hosting, SMS, stores, and third-party APIs, or reimburse the Developer if the Developer pays on the Client’s behalf (with prior written consent).</w:t>
      </w:r>
    </w:p>
    <w:p>
      <w:pPr>
        <w:pStyle w:val="ListBullet"/>
        <w:spacing w:after="60"/>
        <w:ind w:left="425"/>
        <w:jc w:val="both"/>
      </w:pPr>
      <w:r>
        <w:rPr>
          <w:rFonts w:ascii="Times New Roman" w:hAnsi="Times New Roman" w:eastAsia="Times New Roman" w:cs="Times New Roman"/>
          <w:b w:val="0"/>
          <w:i w:val="0"/>
          <w:color w:val="000000"/>
          <w:sz w:val="22"/>
        </w:rPr>
        <w:t>Ensure Admin Panel users are only the Client’s owners and staff; the Client is responsible for staff passwords and misuse.</w:t>
      </w:r>
    </w:p>
    <w:p>
      <w:pPr>
        <w:pStyle w:val="ListBullet"/>
        <w:spacing w:after="60"/>
        <w:ind w:left="425"/>
        <w:jc w:val="both"/>
      </w:pPr>
      <w:r>
        <w:rPr>
          <w:rFonts w:ascii="Times New Roman" w:hAnsi="Times New Roman" w:eastAsia="Times New Roman" w:cs="Times New Roman"/>
          <w:b w:val="0"/>
          <w:i w:val="0"/>
          <w:color w:val="000000"/>
          <w:sz w:val="22"/>
        </w:rPr>
        <w:t>Supply legally required texts: Terms, Privacy Policy, and marketplace rules (Developer may insert placeholders until the Client provides final legal copy).</w:t>
      </w:r>
    </w:p>
    <w:p>
      <w:pPr>
        <w:spacing w:after="120" w:before="240" w:line="276" w:lineRule="auto"/>
      </w:pPr>
      <w:r>
        <w:rPr>
          <w:rFonts w:ascii="Times New Roman" w:hAnsi="Times New Roman" w:eastAsia="Times New Roman" w:cs="Times New Roman"/>
          <w:b/>
          <w:i w:val="0"/>
          <w:color w:val="000000"/>
          <w:sz w:val="24"/>
        </w:rPr>
        <w:t>8. CONTRACT PRICE AND PAYMENT</w:t>
      </w:r>
    </w:p>
    <w:p>
      <w:pPr>
        <w:spacing w:after="120" w:before="0" w:line="276" w:lineRule="auto"/>
        <w:jc w:val="both"/>
      </w:pPr>
      <w:r>
        <w:rPr>
          <w:rFonts w:ascii="Times New Roman" w:hAnsi="Times New Roman" w:eastAsia="Times New Roman" w:cs="Times New Roman"/>
          <w:b w:val="0"/>
          <w:i w:val="0"/>
          <w:color w:val="000000"/>
          <w:sz w:val="22"/>
        </w:rPr>
        <w:t>8.1  Contract Price. The all-inclusive professional fee for the Agreed Scope is Nepalese Rupees Forty Thousand only (NPR 40,000.00), exclusive of third-party and government fees in Clause 9.</w:t>
      </w:r>
    </w:p>
    <w:p>
      <w:pPr>
        <w:spacing w:after="120" w:before="0" w:line="276" w:lineRule="auto"/>
        <w:jc w:val="both"/>
      </w:pPr>
      <w:r>
        <w:rPr>
          <w:rFonts w:ascii="Times New Roman" w:hAnsi="Times New Roman" w:eastAsia="Times New Roman" w:cs="Times New Roman"/>
          <w:b w:val="0"/>
          <w:i w:val="0"/>
          <w:color w:val="000000"/>
          <w:sz w:val="22"/>
        </w:rPr>
        <w:t>8.2  Advance. Thirty percent (30%) of the Contract Price, being NPR 12,000.00 (Rupees Twelve Thousand only), is payable as a non-refundable mobilisation advance upon signing of this Agreement (except as Clause 14 may require on Developer default). Work shall commence only after the advance is received in the Developer’s nominated account.</w:t>
      </w:r>
    </w:p>
    <w:p>
      <w:pPr>
        <w:spacing w:after="120" w:before="0" w:line="276" w:lineRule="auto"/>
        <w:jc w:val="both"/>
      </w:pPr>
      <w:r>
        <w:rPr>
          <w:rFonts w:ascii="Times New Roman" w:hAnsi="Times New Roman" w:eastAsia="Times New Roman" w:cs="Times New Roman"/>
          <w:b w:val="0"/>
          <w:i w:val="0"/>
          <w:color w:val="000000"/>
          <w:sz w:val="22"/>
        </w:rPr>
        <w:t>8.3  Balance. The remaining seventy percent (70%), being NPR 28,000.00 (Rupees Twenty-Eight Thousand only), is payable upon delivery of the Agreed Scope to a staging or production environment and before final source-code handover and Play Store upload assistance (if any). The Developer may withhold production credentials and source code until this balance is paid in full.</w:t>
      </w:r>
    </w:p>
    <w:p>
      <w:pPr>
        <w:spacing w:after="120" w:before="0" w:line="276" w:lineRule="auto"/>
        <w:jc w:val="both"/>
      </w:pPr>
      <w:r>
        <w:rPr>
          <w:rFonts w:ascii="Times New Roman" w:hAnsi="Times New Roman" w:eastAsia="Times New Roman" w:cs="Times New Roman"/>
          <w:b w:val="0"/>
          <w:i w:val="0"/>
          <w:color w:val="000000"/>
          <w:sz w:val="22"/>
        </w:rPr>
        <w:t>8.4  Method. Payment shall be made by bank transfer or other lawful channel to NepTech Solutions. A simple receipt or invoice shall be issued. The Client shall bear its own bank charges.</w:t>
      </w:r>
    </w:p>
    <w:p>
      <w:pPr>
        <w:spacing w:after="120" w:before="0" w:line="276" w:lineRule="auto"/>
        <w:jc w:val="both"/>
      </w:pPr>
      <w:r>
        <w:rPr>
          <w:rFonts w:ascii="Times New Roman" w:hAnsi="Times New Roman" w:eastAsia="Times New Roman" w:cs="Times New Roman"/>
          <w:b w:val="0"/>
          <w:i w:val="0"/>
          <w:color w:val="000000"/>
          <w:sz w:val="22"/>
        </w:rPr>
        <w:t>8.5  Change Requests. Work outside Clause 5 shall be quoted in writing (time and fee) and is not covered by NPR 40,000. No extra work is obligatory until both Parties sign or email-confirm the quote.</w:t>
      </w:r>
    </w:p>
    <w:p>
      <w:pPr>
        <w:spacing w:after="120" w:before="0" w:line="276" w:lineRule="auto"/>
        <w:jc w:val="both"/>
      </w:pPr>
      <w:r>
        <w:rPr>
          <w:rFonts w:ascii="Times New Roman" w:hAnsi="Times New Roman" w:eastAsia="Times New Roman" w:cs="Times New Roman"/>
          <w:b w:val="0"/>
          <w:i w:val="0"/>
          <w:color w:val="000000"/>
          <w:sz w:val="22"/>
        </w:rPr>
        <w:t>8.6  Taxes. If VAT or withholding tax applies under Nepal law, it shall be handled as required by law and shown on the invoice; the Contract Price is the Developer’s professional fee unless the Parties agree otherwise in writing.</w:t>
      </w:r>
    </w:p>
    <w:p>
      <w:pPr>
        <w:spacing w:after="120" w:before="240" w:line="276" w:lineRule="auto"/>
      </w:pPr>
      <w:r>
        <w:rPr>
          <w:rFonts w:ascii="Times New Roman" w:hAnsi="Times New Roman" w:eastAsia="Times New Roman" w:cs="Times New Roman"/>
          <w:b/>
          <w:i w:val="0"/>
          <w:color w:val="000000"/>
          <w:sz w:val="24"/>
        </w:rPr>
        <w:t>9. THIRD-PARTY AND OPERATING COSTS</w:t>
      </w:r>
    </w:p>
    <w:p>
      <w:pPr>
        <w:spacing w:after="120" w:before="0" w:line="276" w:lineRule="auto"/>
        <w:jc w:val="both"/>
      </w:pPr>
      <w:r>
        <w:rPr>
          <w:rFonts w:ascii="Times New Roman" w:hAnsi="Times New Roman" w:eastAsia="Times New Roman" w:cs="Times New Roman"/>
          <w:b w:val="0"/>
          <w:i w:val="0"/>
          <w:color w:val="000000"/>
          <w:sz w:val="22"/>
        </w:rPr>
        <w:t>The Client shall pay, or reimburse against bills: domain registration; VPS/hosting; SSL if not free; database hosting if separate; image storage; transactional email; SMS OTP; Google Play one-time fee; Apple Developer fee (if iOS is later ordered); map API usage; payment gateway charges; and similar. These amounts are not part of NPR 40,000.</w:t>
      </w:r>
    </w:p>
    <w:p>
      <w:pPr>
        <w:spacing w:after="120" w:before="240" w:line="276" w:lineRule="auto"/>
      </w:pPr>
      <w:r>
        <w:rPr>
          <w:rFonts w:ascii="Times New Roman" w:hAnsi="Times New Roman" w:eastAsia="Times New Roman" w:cs="Times New Roman"/>
          <w:b/>
          <w:i w:val="0"/>
          <w:color w:val="000000"/>
          <w:sz w:val="24"/>
        </w:rPr>
        <w:t>10. TIMETABLE</w:t>
      </w:r>
    </w:p>
    <w:p>
      <w:pPr>
        <w:spacing w:after="120" w:before="0" w:line="276" w:lineRule="auto"/>
        <w:jc w:val="both"/>
      </w:pPr>
      <w:r>
        <w:rPr>
          <w:rFonts w:ascii="Times New Roman" w:hAnsi="Times New Roman" w:eastAsia="Times New Roman" w:cs="Times New Roman"/>
          <w:b w:val="0"/>
          <w:i w:val="0"/>
          <w:color w:val="000000"/>
          <w:sz w:val="22"/>
        </w:rPr>
        <w:t>10.1  Target. Subject to timely advance payment and Client feedback, Phase 1 is targeted within approximately six to eight (6–8) weeks from the date the advance is received. This is an estimate, not a penalty-backed guarantee, because listings, chat, and admin moderation depend on Client content and third-party accounts.</w:t>
      </w:r>
    </w:p>
    <w:p>
      <w:pPr>
        <w:spacing w:after="120" w:before="0" w:line="276" w:lineRule="auto"/>
        <w:jc w:val="both"/>
      </w:pPr>
      <w:r>
        <w:rPr>
          <w:rFonts w:ascii="Times New Roman" w:hAnsi="Times New Roman" w:eastAsia="Times New Roman" w:cs="Times New Roman"/>
          <w:b w:val="0"/>
          <w:i w:val="0"/>
          <w:color w:val="000000"/>
          <w:sz w:val="22"/>
        </w:rPr>
        <w:t>10.2  Delay by Client. If branding, feedback, or payments are late, the timetable extends day-for-day. If the Client is silent for more than fifteen (15) consecutive days, the Developer may pause the project; a restart fee may apply if pause exceeds thirty (30) days.</w:t>
      </w:r>
    </w:p>
    <w:p>
      <w:pPr>
        <w:spacing w:after="120" w:before="0" w:line="276" w:lineRule="auto"/>
        <w:jc w:val="both"/>
      </w:pPr>
      <w:r>
        <w:rPr>
          <w:rFonts w:ascii="Times New Roman" w:hAnsi="Times New Roman" w:eastAsia="Times New Roman" w:cs="Times New Roman"/>
          <w:b w:val="0"/>
          <w:i w:val="0"/>
          <w:color w:val="000000"/>
          <w:sz w:val="22"/>
        </w:rPr>
        <w:t>10.3  Force majeure. Neither Party is liable for delay caused by events beyond reasonable control (including prolonged internet or cloud outage, law change, or natural disaster), provided the affected Party gives prompt notice.</w:t>
      </w:r>
    </w:p>
    <w:p>
      <w:pPr>
        <w:spacing w:after="120" w:before="240" w:line="276" w:lineRule="auto"/>
      </w:pPr>
      <w:r>
        <w:rPr>
          <w:rFonts w:ascii="Times New Roman" w:hAnsi="Times New Roman" w:eastAsia="Times New Roman" w:cs="Times New Roman"/>
          <w:b/>
          <w:i w:val="0"/>
          <w:color w:val="000000"/>
          <w:sz w:val="24"/>
        </w:rPr>
        <w:t>11. ACCEPTANCE</w:t>
      </w:r>
    </w:p>
    <w:p>
      <w:pPr>
        <w:spacing w:after="120" w:before="0" w:line="276" w:lineRule="auto"/>
        <w:jc w:val="both"/>
      </w:pPr>
      <w:r>
        <w:rPr>
          <w:rFonts w:ascii="Times New Roman" w:hAnsi="Times New Roman" w:eastAsia="Times New Roman" w:cs="Times New Roman"/>
          <w:b w:val="0"/>
          <w:i w:val="0"/>
          <w:color w:val="000000"/>
          <w:sz w:val="22"/>
        </w:rPr>
        <w:t>The Client shall have seven (7) days after notice of delivery to report defects that prevent the Agreed Scope from working in a material way. Cosmetic preferences after two revision rounds are not defects. If no written defect list is sent within seven days, the Software is deemed accepted (“Final Acceptance”). Minor bugs after acceptance may be fixed during a fourteen (14) day courtesy warranty for Phase 1 items only.</w:t>
      </w:r>
    </w:p>
    <w:p>
      <w:pPr>
        <w:spacing w:after="120" w:before="240" w:line="276" w:lineRule="auto"/>
      </w:pPr>
      <w:r>
        <w:rPr>
          <w:rFonts w:ascii="Times New Roman" w:hAnsi="Times New Roman" w:eastAsia="Times New Roman" w:cs="Times New Roman"/>
          <w:b/>
          <w:i w:val="0"/>
          <w:color w:val="000000"/>
          <w:sz w:val="24"/>
        </w:rPr>
        <w:t>12. INTELLECTUAL PROPERTY</w:t>
      </w:r>
    </w:p>
    <w:p>
      <w:pPr>
        <w:spacing w:after="120" w:before="0" w:line="276" w:lineRule="auto"/>
        <w:jc w:val="both"/>
      </w:pPr>
      <w:r>
        <w:rPr>
          <w:rFonts w:ascii="Times New Roman" w:hAnsi="Times New Roman" w:eastAsia="Times New Roman" w:cs="Times New Roman"/>
          <w:b w:val="0"/>
          <w:i w:val="0"/>
          <w:color w:val="000000"/>
          <w:sz w:val="22"/>
        </w:rPr>
        <w:t>12.1  Upon full payment of the Contract Price, the Client receives a perpetual licence to use, operate, and modify the custom source code written uniquely for NAJIK under this Agreement, for the Client’s business.</w:t>
      </w:r>
    </w:p>
    <w:p>
      <w:pPr>
        <w:spacing w:after="120" w:before="0" w:line="276" w:lineRule="auto"/>
        <w:jc w:val="both"/>
      </w:pPr>
      <w:r>
        <w:rPr>
          <w:rFonts w:ascii="Times New Roman" w:hAnsi="Times New Roman" w:eastAsia="Times New Roman" w:cs="Times New Roman"/>
          <w:b w:val="0"/>
          <w:i w:val="0"/>
          <w:color w:val="000000"/>
          <w:sz w:val="22"/>
        </w:rPr>
        <w:t>12.2  Until full payment, all custom code, designs, and staging systems remain the property of NepTech Solutions. Pre-existing libraries, open-source components, and Developer tools stay subject to their own licences; the Client receives only the rights those licences allow.</w:t>
      </w:r>
    </w:p>
    <w:p>
      <w:pPr>
        <w:spacing w:after="120" w:before="0" w:line="276" w:lineRule="auto"/>
        <w:jc w:val="both"/>
      </w:pPr>
      <w:r>
        <w:rPr>
          <w:rFonts w:ascii="Times New Roman" w:hAnsi="Times New Roman" w:eastAsia="Times New Roman" w:cs="Times New Roman"/>
          <w:b w:val="0"/>
          <w:i w:val="0"/>
          <w:color w:val="000000"/>
          <w:sz w:val="22"/>
        </w:rPr>
        <w:t>12.3  The NAJIK name, logo, and brand belong to the Client (or the Client’s licensor). The Developer may show non-confidential screenshots in a portfolio unless the Client objects in writing.</w:t>
      </w:r>
    </w:p>
    <w:p>
      <w:pPr>
        <w:spacing w:after="120" w:before="240" w:line="276" w:lineRule="auto"/>
      </w:pPr>
      <w:r>
        <w:rPr>
          <w:rFonts w:ascii="Times New Roman" w:hAnsi="Times New Roman" w:eastAsia="Times New Roman" w:cs="Times New Roman"/>
          <w:b/>
          <w:i w:val="0"/>
          <w:color w:val="000000"/>
          <w:sz w:val="24"/>
        </w:rPr>
        <w:t>13. CONFIDENTIALITY AND DATA</w:t>
      </w:r>
    </w:p>
    <w:p>
      <w:pPr>
        <w:spacing w:after="120" w:before="0" w:line="276" w:lineRule="auto"/>
        <w:jc w:val="both"/>
      </w:pPr>
      <w:r>
        <w:rPr>
          <w:rFonts w:ascii="Times New Roman" w:hAnsi="Times New Roman" w:eastAsia="Times New Roman" w:cs="Times New Roman"/>
          <w:b w:val="0"/>
          <w:i w:val="0"/>
          <w:color w:val="000000"/>
          <w:sz w:val="22"/>
        </w:rPr>
        <w:t>Each Party shall keep the other’s Confidential Information secret, using at least reasonable care, except where disclosure is required by law. The Client is the data controller for end-user personal data. The Developer shall not sell user data. After the project, the Developer may keep copies only as needed for backups, tax, or legal defence, then delete on reasonable written request where the law allows.</w:t>
      </w:r>
    </w:p>
    <w:p>
      <w:pPr>
        <w:spacing w:after="120" w:before="240" w:line="276" w:lineRule="auto"/>
      </w:pPr>
      <w:r>
        <w:rPr>
          <w:rFonts w:ascii="Times New Roman" w:hAnsi="Times New Roman" w:eastAsia="Times New Roman" w:cs="Times New Roman"/>
          <w:b/>
          <w:i w:val="0"/>
          <w:color w:val="000000"/>
          <w:sz w:val="24"/>
        </w:rPr>
        <w:t>14. WARRANTY AND LIABILITY</w:t>
      </w:r>
    </w:p>
    <w:p>
      <w:pPr>
        <w:spacing w:after="120" w:before="0" w:line="276" w:lineRule="auto"/>
        <w:jc w:val="both"/>
      </w:pPr>
      <w:r>
        <w:rPr>
          <w:rFonts w:ascii="Times New Roman" w:hAnsi="Times New Roman" w:eastAsia="Times New Roman" w:cs="Times New Roman"/>
          <w:b w:val="0"/>
          <w:i w:val="0"/>
          <w:color w:val="000000"/>
          <w:sz w:val="22"/>
        </w:rPr>
        <w:t>14.1  The Developer warrants that Phase 1 will substantially perform the Agreed Scope when used as instructed on supported Android versions and a modern desktop browser (Chrome or Edge) at delivery.</w:t>
      </w:r>
    </w:p>
    <w:p>
      <w:pPr>
        <w:spacing w:after="120" w:before="0" w:line="276" w:lineRule="auto"/>
        <w:jc w:val="both"/>
      </w:pPr>
      <w:r>
        <w:rPr>
          <w:rFonts w:ascii="Times New Roman" w:hAnsi="Times New Roman" w:eastAsia="Times New Roman" w:cs="Times New Roman"/>
          <w:b w:val="0"/>
          <w:i w:val="0"/>
          <w:color w:val="000000"/>
          <w:sz w:val="22"/>
        </w:rPr>
        <w:t>14.2  The Software is provided as a marketplace connection tool. The Developer is not responsible for deals between users, fraud by users, unpaid items, or content posted by users. The Client shall moderate listings and users via the Admin Panel.</w:t>
      </w:r>
    </w:p>
    <w:p>
      <w:pPr>
        <w:spacing w:after="120" w:before="0" w:line="276" w:lineRule="auto"/>
        <w:jc w:val="both"/>
      </w:pPr>
      <w:r>
        <w:rPr>
          <w:rFonts w:ascii="Times New Roman" w:hAnsi="Times New Roman" w:eastAsia="Times New Roman" w:cs="Times New Roman"/>
          <w:b w:val="0"/>
          <w:i w:val="0"/>
          <w:color w:val="000000"/>
          <w:sz w:val="22"/>
        </w:rPr>
        <w:t>14.3  Except for fraud or wilful misconduct, each Party’s total liability under this Agreement is limited to the Contract Price actually paid. Neither Party is liable for lost profits or indirect loss.</w:t>
      </w:r>
    </w:p>
    <w:p>
      <w:pPr>
        <w:spacing w:after="120" w:before="240" w:line="276" w:lineRule="auto"/>
      </w:pPr>
      <w:r>
        <w:rPr>
          <w:rFonts w:ascii="Times New Roman" w:hAnsi="Times New Roman" w:eastAsia="Times New Roman" w:cs="Times New Roman"/>
          <w:b/>
          <w:i w:val="0"/>
          <w:color w:val="000000"/>
          <w:sz w:val="24"/>
        </w:rPr>
        <w:t>15. TERMINATION</w:t>
      </w:r>
    </w:p>
    <w:p>
      <w:pPr>
        <w:spacing w:after="120" w:before="0" w:line="276" w:lineRule="auto"/>
        <w:jc w:val="both"/>
      </w:pPr>
      <w:r>
        <w:rPr>
          <w:rFonts w:ascii="Times New Roman" w:hAnsi="Times New Roman" w:eastAsia="Times New Roman" w:cs="Times New Roman"/>
          <w:b w:val="0"/>
          <w:i w:val="0"/>
          <w:color w:val="000000"/>
          <w:sz w:val="22"/>
        </w:rPr>
        <w:t>15.1  Either Party may terminate for material breach if the breach is not cured within fifteen (15) days of written notice.</w:t>
      </w:r>
    </w:p>
    <w:p>
      <w:pPr>
        <w:spacing w:after="120" w:before="0" w:line="276" w:lineRule="auto"/>
        <w:jc w:val="both"/>
      </w:pPr>
      <w:r>
        <w:rPr>
          <w:rFonts w:ascii="Times New Roman" w:hAnsi="Times New Roman" w:eastAsia="Times New Roman" w:cs="Times New Roman"/>
          <w:b w:val="0"/>
          <w:i w:val="0"/>
          <w:color w:val="000000"/>
          <w:sz w:val="22"/>
        </w:rPr>
        <w:t>15.2  If the Client terminates for convenience after work has started, the advance is retained, and the Client shall pay for work completed beyond the advance at a reasonable time-based rate, capped so that total fees do not exceed NPR 40,000 plus approved Change Requests.</w:t>
      </w:r>
    </w:p>
    <w:p>
      <w:pPr>
        <w:spacing w:after="120" w:before="0" w:line="276" w:lineRule="auto"/>
        <w:jc w:val="both"/>
      </w:pPr>
      <w:r>
        <w:rPr>
          <w:rFonts w:ascii="Times New Roman" w:hAnsi="Times New Roman" w:eastAsia="Times New Roman" w:cs="Times New Roman"/>
          <w:b w:val="0"/>
          <w:i w:val="0"/>
          <w:color w:val="000000"/>
          <w:sz w:val="22"/>
        </w:rPr>
        <w:t>15.3  If the Developer abandons the project without cause, the Client may terminate and the Developer shall refund the unused portion of sums paid, after deducting documented work already delivered, as the Parties reasonably agree or as a court determines.</w:t>
      </w:r>
    </w:p>
    <w:p>
      <w:pPr>
        <w:spacing w:after="120" w:before="240" w:line="276" w:lineRule="auto"/>
      </w:pPr>
      <w:r>
        <w:rPr>
          <w:rFonts w:ascii="Times New Roman" w:hAnsi="Times New Roman" w:eastAsia="Times New Roman" w:cs="Times New Roman"/>
          <w:b/>
          <w:i w:val="0"/>
          <w:color w:val="000000"/>
          <w:sz w:val="24"/>
        </w:rPr>
        <w:t>16. NON-SOLICITATION AND RELATIONSHIP</w:t>
      </w:r>
    </w:p>
    <w:p>
      <w:pPr>
        <w:spacing w:after="120" w:before="0" w:line="276" w:lineRule="auto"/>
        <w:jc w:val="both"/>
      </w:pPr>
      <w:r>
        <w:rPr>
          <w:rFonts w:ascii="Times New Roman" w:hAnsi="Times New Roman" w:eastAsia="Times New Roman" w:cs="Times New Roman"/>
          <w:b w:val="0"/>
          <w:i w:val="0"/>
          <w:color w:val="000000"/>
          <w:sz w:val="22"/>
        </w:rPr>
        <w:t>This Agreement does not create a partnership, joint venture, or employment. The Developer is an independent contractor. For twelve (12) months after this Agreement, neither Party shall solicit the other’s employees introduced solely through this project, except by general public advertisement.</w:t>
      </w:r>
    </w:p>
    <w:p>
      <w:pPr>
        <w:spacing w:after="120" w:before="240" w:line="276" w:lineRule="auto"/>
      </w:pPr>
      <w:r>
        <w:rPr>
          <w:rFonts w:ascii="Times New Roman" w:hAnsi="Times New Roman" w:eastAsia="Times New Roman" w:cs="Times New Roman"/>
          <w:b/>
          <w:i w:val="0"/>
          <w:color w:val="000000"/>
          <w:sz w:val="24"/>
        </w:rPr>
        <w:t>17. GENERAL</w:t>
      </w:r>
    </w:p>
    <w:p>
      <w:pPr>
        <w:spacing w:after="120" w:before="0" w:line="276" w:lineRule="auto"/>
        <w:jc w:val="both"/>
      </w:pPr>
      <w:r>
        <w:rPr>
          <w:rFonts w:ascii="Times New Roman" w:hAnsi="Times New Roman" w:eastAsia="Times New Roman" w:cs="Times New Roman"/>
          <w:b w:val="0"/>
          <w:i w:val="0"/>
          <w:color w:val="000000"/>
          <w:sz w:val="22"/>
        </w:rPr>
        <w:t>17.1  Entire agreement. This document is the entire agreement for Phase 1 and supersedes prior oral discussions. Amendments must be in writing (including email) and signed or clearly confirmed by both Parties.</w:t>
      </w:r>
    </w:p>
    <w:p>
      <w:pPr>
        <w:spacing w:after="120" w:before="0" w:line="276" w:lineRule="auto"/>
        <w:jc w:val="both"/>
      </w:pPr>
      <w:r>
        <w:rPr>
          <w:rFonts w:ascii="Times New Roman" w:hAnsi="Times New Roman" w:eastAsia="Times New Roman" w:cs="Times New Roman"/>
          <w:b w:val="0"/>
          <w:i w:val="0"/>
          <w:color w:val="000000"/>
          <w:sz w:val="22"/>
        </w:rPr>
        <w:t>17.2  Severability. If any clause is unenforceable, the rest remains in force.</w:t>
      </w:r>
    </w:p>
    <w:p>
      <w:pPr>
        <w:spacing w:after="120" w:before="0" w:line="276" w:lineRule="auto"/>
        <w:jc w:val="both"/>
      </w:pPr>
      <w:r>
        <w:rPr>
          <w:rFonts w:ascii="Times New Roman" w:hAnsi="Times New Roman" w:eastAsia="Times New Roman" w:cs="Times New Roman"/>
          <w:b w:val="0"/>
          <w:i w:val="0"/>
          <w:color w:val="000000"/>
          <w:sz w:val="22"/>
        </w:rPr>
        <w:t>17.3  Assignment. Neither Party may assign this Agreement without the other’s written consent, except that the Client may assign to an affiliate that assumes all obligations.</w:t>
      </w:r>
    </w:p>
    <w:p>
      <w:pPr>
        <w:spacing w:after="120" w:before="0" w:line="276" w:lineRule="auto"/>
        <w:jc w:val="both"/>
      </w:pPr>
      <w:r>
        <w:rPr>
          <w:rFonts w:ascii="Times New Roman" w:hAnsi="Times New Roman" w:eastAsia="Times New Roman" w:cs="Times New Roman"/>
          <w:b w:val="0"/>
          <w:i w:val="0"/>
          <w:color w:val="000000"/>
          <w:sz w:val="22"/>
        </w:rPr>
        <w:t>17.4  Governing law and disputes. This Agreement is governed by the laws of Nepal. The Parties shall first attempt good-faith negotiation for fifteen (15) days. Thereafter, courts of competent jurisdiction in Nepal shall have exclusive jurisdiction.</w:t>
      </w:r>
    </w:p>
    <w:p>
      <w:pPr>
        <w:spacing w:after="120" w:before="0" w:line="276" w:lineRule="auto"/>
        <w:jc w:val="both"/>
      </w:pPr>
      <w:r>
        <w:rPr>
          <w:rFonts w:ascii="Times New Roman" w:hAnsi="Times New Roman" w:eastAsia="Times New Roman" w:cs="Times New Roman"/>
          <w:b w:val="0"/>
          <w:i w:val="0"/>
          <w:color w:val="000000"/>
          <w:sz w:val="22"/>
        </w:rPr>
        <w:t>17.5  Counterparts and digital signature. This Agreement may be signed in two counterparts (including scanned PDF, printed copies, or electronic / digital signature). An electronic or digital signature shall have the same legal effect as a handwritten signature. Together they form one instrument.</w:t>
      </w:r>
    </w:p>
    <w:p>
      <w:pPr>
        <w:spacing w:after="120" w:before="240" w:line="276" w:lineRule="auto"/>
      </w:pPr>
      <w:r>
        <w:rPr>
          <w:rFonts w:ascii="Times New Roman" w:hAnsi="Times New Roman" w:eastAsia="Times New Roman" w:cs="Times New Roman"/>
          <w:b/>
          <w:i w:val="0"/>
          <w:color w:val="000000"/>
          <w:sz w:val="24"/>
        </w:rPr>
        <w:t>18. SIGNATURES</w:t>
      </w:r>
    </w:p>
    <w:p>
      <w:pPr>
        <w:spacing w:after="200" w:before="0" w:line="276" w:lineRule="auto"/>
        <w:jc w:val="both"/>
      </w:pPr>
      <w:r>
        <w:rPr>
          <w:rFonts w:ascii="Times New Roman" w:hAnsi="Times New Roman" w:eastAsia="Times New Roman" w:cs="Times New Roman"/>
          <w:b w:val="0"/>
          <w:i w:val="0"/>
          <w:color w:val="000000"/>
          <w:sz w:val="22"/>
        </w:rPr>
        <w:t>IN WITNESS WHEREOF the Parties have executed this Agreement on the dates written below, intending to be legally bound.</w:t>
      </w:r>
    </w:p>
    <w:p>
      <w:pPr>
        <w:spacing w:after="120" w:before="80" w:line="276" w:lineRule="auto"/>
        <w:jc w:val="center"/>
      </w:pPr>
      <w:r>
        <w:rPr>
          <w:rFonts w:ascii="Times New Roman" w:hAnsi="Times New Roman" w:eastAsia="Times New Roman" w:cs="Times New Roman"/>
          <w:b/>
          <w:i w:val="0"/>
          <w:color w:val="000000"/>
          <w:sz w:val="26"/>
        </w:rPr>
        <w:t>THIS CONTRACT IS SIGNED DIGITALLY</w:t>
      </w:r>
    </w:p>
    <w:p>
      <w:pPr>
        <w:spacing w:after="280" w:before="0" w:line="276" w:lineRule="auto"/>
        <w:jc w:val="both"/>
      </w:pPr>
      <w:r>
        <w:rPr>
          <w:rFonts w:ascii="Times New Roman" w:hAnsi="Times New Roman" w:eastAsia="Times New Roman" w:cs="Times New Roman"/>
          <w:b w:val="0"/>
          <w:i w:val="0"/>
          <w:color w:val="000000"/>
          <w:sz w:val="22"/>
        </w:rPr>
        <w:t>The Parties agree that this Agreement is executed by electronic / digital signature. Such signature is valid, binding, and enforceable to the same extent as an original wet-ink signature. No physical (paper) signature is required for this Agreement to take effect, provided each Party’s authorised signatory is identified below and the signed electronic copy is exchanged by email (including info@neptech.online) or other agreed channel.</w:t>
      </w:r>
    </w:p>
    <w:tbl>
      <w:tblPr>
        <w:tblW w:type="auto" w:w="0"/>
        <w:tblLayout w:type="autofit"/>
        <w:tblLook w:firstColumn="1" w:firstRow="1" w:lastColumn="0" w:lastRow="0" w:noHBand="0" w:noVBand="1" w:val="04A0"/>
      </w:tblPr>
      <w:tblGrid>
        <w:gridCol w:w="4819"/>
        <w:gridCol w:w="4819"/>
      </w:tblGrid>
      <w:tr>
        <w:tc>
          <w:tcPr>
            <w:tcW w:type="dxa" w:w="4819"/>
          </w:tcPr>
          <w:p>
            <w:pPr>
              <w:jc w:val="left"/>
            </w:pPr>
            <w:r/>
            <w:r>
              <w:rPr>
                <w:rFonts w:ascii="Times New Roman" w:hAnsi="Times New Roman" w:eastAsia="Times New Roman" w:cs="Times New Roman"/>
                <w:b/>
                <w:i w:val="0"/>
                <w:color w:val="000000"/>
                <w:sz w:val="22"/>
              </w:rPr>
              <w:t>FOR THE DEVELOPER</w:t>
            </w:r>
          </w:p>
          <w:p>
            <w:r>
              <w:rPr>
                <w:rFonts w:ascii="Times New Roman" w:hAnsi="Times New Roman" w:eastAsia="Times New Roman" w:cs="Times New Roman"/>
                <w:b/>
                <w:i w:val="0"/>
                <w:color w:val="000000"/>
                <w:sz w:val="22"/>
              </w:rPr>
              <w:t>NepTech Solutions</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Authorised signatory: 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Name: ______________________________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Designation: ________________________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Date: ______________________________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Digital / e-signature: 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Company stamp (if any):</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________________________________</w:t>
            </w:r>
          </w:p>
        </w:tc>
        <w:tc>
          <w:tcPr>
            <w:tcW w:type="dxa" w:w="4819"/>
          </w:tcPr>
          <w:p>
            <w:pPr>
              <w:jc w:val="left"/>
            </w:pPr>
            <w:r/>
            <w:r>
              <w:rPr>
                <w:rFonts w:ascii="Times New Roman" w:hAnsi="Times New Roman" w:eastAsia="Times New Roman" w:cs="Times New Roman"/>
                <w:b/>
                <w:i w:val="0"/>
                <w:color w:val="000000"/>
                <w:sz w:val="22"/>
              </w:rPr>
              <w:t>FOR THE CLIENT</w:t>
            </w:r>
          </w:p>
          <w:p>
            <w:r>
              <w:rPr>
                <w:rFonts w:ascii="Times New Roman" w:hAnsi="Times New Roman" w:eastAsia="Times New Roman" w:cs="Times New Roman"/>
                <w:b/>
                <w:i w:val="0"/>
                <w:color w:val="000000"/>
                <w:sz w:val="22"/>
              </w:rPr>
              <w:t>Kalash Financial Solution Pvt. Ltd.</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Authorised signatory: 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Name: ______________________________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Designation: ________________________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Date: ______________________________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Digital / e-signature: ________________</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Company stamp (if any):</w:t>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r>
          </w:p>
          <w:p>
            <w:r>
              <w:rPr>
                <w:rFonts w:ascii="Times New Roman" w:hAnsi="Times New Roman" w:eastAsia="Times New Roman" w:cs="Times New Roman"/>
                <w:b w:val="0"/>
                <w:i w:val="0"/>
                <w:color w:val="000000"/>
                <w:sz w:val="22"/>
              </w:rPr>
              <w:t>________________________________</w:t>
            </w:r>
          </w:p>
        </w:tc>
      </w:tr>
      <w:tr>
        <w:tc>
          <w:tcPr>
            <w:tcW w:type="dxa" w:w="4819"/>
          </w:tcPr>
          <w:p/>
        </w:tc>
        <w:tc>
          <w:tcPr>
            <w:tcW w:type="dxa" w:w="4819"/>
          </w:tcPr>
          <w:p/>
        </w:tc>
      </w:tr>
    </w:tbl>
    <w:p>
      <w:pPr>
        <w:spacing w:after="200" w:before="0" w:line="276" w:lineRule="auto"/>
        <w:jc w:val="both"/>
      </w:pPr>
    </w:p>
    <w:p>
      <w:pPr>
        <w:spacing w:after="160" w:before="0" w:line="276" w:lineRule="auto"/>
      </w:pPr>
      <w:r>
        <w:rPr>
          <w:rFonts w:ascii="Times New Roman" w:hAnsi="Times New Roman" w:eastAsia="Times New Roman" w:cs="Times New Roman"/>
          <w:b w:val="0"/>
          <w:i w:val="0"/>
          <w:color w:val="000000"/>
          <w:sz w:val="20"/>
        </w:rPr>
        <w:t>Witness 1: Name _____________________  Signature _____________________  Date _____________</w:t>
      </w:r>
    </w:p>
    <w:p>
      <w:pPr>
        <w:spacing w:after="240" w:before="0" w:line="276" w:lineRule="auto"/>
      </w:pPr>
      <w:r>
        <w:rPr>
          <w:rFonts w:ascii="Times New Roman" w:hAnsi="Times New Roman" w:eastAsia="Times New Roman" w:cs="Times New Roman"/>
          <w:b w:val="0"/>
          <w:i w:val="0"/>
          <w:color w:val="000000"/>
          <w:sz w:val="20"/>
        </w:rPr>
        <w:t>Witness 2: Name _____________________  Signature _____________________  Date _____________</w:t>
      </w:r>
    </w:p>
    <w:p>
      <w:pPr>
        <w:spacing w:after="120" w:before="160" w:line="276" w:lineRule="auto"/>
        <w:jc w:val="center"/>
      </w:pPr>
      <w:r>
        <w:rPr>
          <w:rFonts w:ascii="Times New Roman" w:hAnsi="Times New Roman" w:eastAsia="Times New Roman" w:cs="Times New Roman"/>
          <w:b w:val="0"/>
          <w:i/>
          <w:color w:val="000000"/>
          <w:sz w:val="20"/>
        </w:rPr>
        <w:t>— End of Agreement —</w:t>
      </w:r>
    </w:p>
    <w:sectPr w:rsidR="00FC693F" w:rsidRPr="0006063C" w:rsidSect="00034616">
      <w:headerReference w:type="default" r:id="rId9"/>
      <w:footerReference w:type="default" r:id="rId10"/>
      <w:pgSz w:w="11906" w:h="16838"/>
      <w:pgMar w:top="2721" w:right="1134" w:bottom="158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213"/>
      <w:gridCol w:w="3213"/>
      <w:gridCol w:w="3213"/>
    </w:tblGrid>
    <w:tr>
      <w:tc>
        <w:tcPr>
          <w:tcW w:type="dxa" w:w="3402"/>
          <w:tcW w:w="3402" w:type="dxa"/>
        </w:tcPr>
        <w:p>
          <w:pPr>
            <w:spacing w:before="40" w:after="0"/>
            <w:jc w:val="left"/>
            <w:pBdr>
              <w:top w:val="single" w:sz="6" w:space="6" w:color="B0B0B0"/>
            </w:pBdr>
          </w:pPr>
          <w:r/>
          <w:r>
            <w:rPr>
              <w:rFonts w:ascii="Calibri" w:hAnsi="Calibri" w:eastAsia="Calibri" w:cs="Calibri"/>
              <w:b/>
              <w:i w:val="0"/>
              <w:color w:val="1A1A1A"/>
              <w:sz w:val="18"/>
            </w:rPr>
            <w:t>NepTech Solutions ~ Confidential</w:t>
          </w:r>
        </w:p>
      </w:tc>
      <w:tc>
        <w:tcPr>
          <w:tcW w:type="dxa" w:w="3118"/>
          <w:tcW w:w="3118" w:type="dxa"/>
        </w:tcPr>
        <w:p>
          <w:pPr>
            <w:spacing w:before="40" w:after="0"/>
            <w:jc w:val="center"/>
            <w:pBdr>
              <w:top w:val="single" w:sz="6" w:space="6" w:color="B0B0B0"/>
            </w:pBdr>
          </w:pPr>
          <w:r/>
          <w:r>
            <w:rPr>
              <w:rFonts w:ascii="Calibri" w:hAnsi="Calibri" w:eastAsia="Calibri" w:cs="Calibri"/>
              <w:b/>
              <w:i w:val="0"/>
              <w:color w:val="1A1A1A"/>
              <w:sz w:val="18"/>
            </w:rPr>
            <w:t>info@neptech.online</w:t>
          </w:r>
        </w:p>
      </w:tc>
      <w:tc>
        <w:tcPr>
          <w:tcW w:type="dxa" w:w="3118"/>
          <w:tcW w:w="3118" w:type="dxa"/>
        </w:tcPr>
        <w:p>
          <w:pPr>
            <w:spacing w:before="40" w:after="0"/>
            <w:jc w:val="right"/>
            <w:pBdr>
              <w:top w:val="single" w:sz="6" w:space="6" w:color="B0B0B0"/>
            </w:pBdr>
          </w:pPr>
          <w:r/>
          <w:r>
            <w:rPr>
              <w:rFonts w:ascii="Calibri" w:hAnsi="Calibri" w:eastAsia="Calibri" w:cs="Calibri"/>
              <w:b/>
              <w:i w:val="0"/>
              <w:color w:val="1A1A1A"/>
              <w:sz w:val="18"/>
            </w:rPr>
            <w:t>9767498797  |  neptech.online</w:t>
          </w:r>
        </w:p>
      </w:tc>
    </w:tr>
  </w:tbl>
  <w:p>
    <w:pPr>
      <w:spacing w:before="80" w:after="0"/>
      <w:jc w:val="center"/>
    </w:pPr>
    <w:r>
      <w:rPr>
        <w:rFonts w:ascii="Calibri" w:hAnsi="Calibri" w:eastAsia="Calibri" w:cs="Calibri"/>
        <w:b/>
        <w:i w:val="0"/>
        <w:color w:val="1A1A1A"/>
        <w:sz w:val="18"/>
      </w:rPr>
      <w:t xml:space="preserve">Software Development Agreement  ·  Page </w:t>
    </w:r>
    <w:r>
      <w:rPr>
        <w:rFonts w:ascii="Calibri" w:hAnsi="Calibri" w:eastAsia="Calibri" w:cs="Calibri"/>
        <w:b w:val="0"/>
        <w:i w:val="0"/>
        <w:color w:val="1A1A1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19"/>
      <w:gridCol w:w="4819"/>
    </w:tblGrid>
    <w:tr>
      <w:tc>
        <w:tcPr>
          <w:tcW w:type="dxa" w:w="2948"/>
          <w:tcW w:w="2948" w:type="dxa"/>
        </w:tcPr>
        <w:p>
          <w:pPr>
            <w:spacing w:after="0"/>
            <w:jc w:val="left"/>
          </w:pPr>
          <w:r>
            <w:drawing>
              <wp:inline xmlns:a="http://schemas.openxmlformats.org/drawingml/2006/main" xmlns:pic="http://schemas.openxmlformats.org/drawingml/2006/picture">
                <wp:extent cx="1260000" cy="1039052"/>
                <wp:docPr id="1" name="Picture 1"/>
                <wp:cNvGraphicFramePr>
                  <a:graphicFrameLocks noChangeAspect="1"/>
                </wp:cNvGraphicFramePr>
                <a:graphic>
                  <a:graphicData uri="http://schemas.openxmlformats.org/drawingml/2006/picture">
                    <pic:pic>
                      <pic:nvPicPr>
                        <pic:cNvPr id="0" name="neptech_logo_hd.png"/>
                        <pic:cNvPicPr/>
                      </pic:nvPicPr>
                      <pic:blipFill>
                        <a:blip r:embed="rId1"/>
                        <a:stretch>
                          <a:fillRect/>
                        </a:stretch>
                      </pic:blipFill>
                      <pic:spPr>
                        <a:xfrm>
                          <a:off x="0" y="0"/>
                          <a:ext cx="1260000" cy="1039052"/>
                        </a:xfrm>
                        <a:prstGeom prst="rect"/>
                      </pic:spPr>
                    </pic:pic>
                  </a:graphicData>
                </a:graphic>
              </wp:inline>
            </w:drawing>
          </w:r>
        </w:p>
      </w:tc>
      <w:tc>
        <w:tcPr>
          <w:tcW w:type="dxa" w:w="6690"/>
          <w:tcW w:w="6690" w:type="dxa"/>
        </w:tcPr>
        <w:p>
          <w:pPr>
            <w:spacing w:before="160" w:after="0"/>
            <w:jc w:val="right"/>
          </w:pPr>
          <w:r>
            <w:rPr>
              <w:rFonts w:ascii="Calibri" w:hAnsi="Calibri" w:eastAsia="Calibri" w:cs="Calibri"/>
              <w:b/>
              <w:i w:val="0"/>
              <w:color w:val="1A1A1A"/>
              <w:sz w:val="32"/>
            </w:rPr>
            <w:t>NEPTECH SOLUTIONS</w:t>
          </w:r>
        </w:p>
        <w:p>
          <w:pPr>
            <w:spacing w:before="40" w:after="0"/>
            <w:jc w:val="right"/>
          </w:pPr>
          <w:r>
            <w:rPr>
              <w:rFonts w:ascii="Calibri" w:hAnsi="Calibri" w:eastAsia="Calibri" w:cs="Calibri"/>
              <w:b w:val="0"/>
              <w:i/>
              <w:color w:val="3A3A3A"/>
              <w:sz w:val="22"/>
            </w:rPr>
            <w:t>Building Digital Solutions</w:t>
          </w:r>
        </w:p>
      </w:tc>
    </w:tr>
  </w:tbl>
  <w:p>
    <w:pPr>
      <w:spacing w:before="200" w:after="80"/>
      <w:jc w:val="center"/>
      <w:pBdr>
        <w:bottom w:val="single" w:sz="18" w:space="4" w:color="1A1A1A"/>
      </w:pBdr>
    </w:pPr>
    <w:r>
      <w:rPr>
        <w:rFonts w:ascii="Calibri" w:hAnsi="Calibri" w:eastAsia="Calibri" w:cs="Calibri"/>
        <w:b/>
        <w:i w:val="0"/>
        <w:color w:val="1A1A1A"/>
        <w:sz w:val="18"/>
      </w:rPr>
      <w:t>New Baneshwor, Kathmandu, Nepal  |  +977 9767498797  |  info@neptech.online  |  www.neptech.online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