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Deliverable 2 — Sprint Reflection</w:t>
      </w:r>
    </w:p>
    <w:p>
      <w:pPr>
        <w:spacing w:after="160"/>
      </w:pPr>
      <w:r>
        <w:rPr>
          <w:i/>
          <w:color w:val="555555"/>
          <w:sz w:val="19"/>
        </w:rPr>
        <w:t>Campus Placement &amp; Internship Pipeline  •  Agile Backlog Creation &amp; Sprint Simulation in Jira</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fill="2F5C9E"/>
          </w:tcPr>
          <w:p>
            <w:pPr>
              <w:spacing w:before="20" w:after="20"/>
            </w:pPr>
            <w:r/>
            <w:r>
              <w:rPr>
                <w:rFonts w:ascii="Calibri" w:hAnsi="Calibri"/>
                <w:b/>
                <w:color w:val="FFFFFF"/>
                <w:sz w:val="16"/>
              </w:rPr>
              <w:t>Name</w:t>
            </w:r>
          </w:p>
        </w:tc>
        <w:tc>
          <w:tcPr>
            <w:tcW w:type="dxa" w:w="2520"/>
            <w:shd w:val="clear" w:fill="2F5C9E"/>
          </w:tcPr>
          <w:p>
            <w:pPr>
              <w:spacing w:before="20" w:after="20"/>
            </w:pPr>
            <w:r/>
            <w:r>
              <w:rPr>
                <w:rFonts w:ascii="Calibri" w:hAnsi="Calibri"/>
                <w:b/>
                <w:color w:val="FFFFFF"/>
                <w:sz w:val="16"/>
              </w:rPr>
              <w:t>SRN</w:t>
            </w:r>
          </w:p>
        </w:tc>
        <w:tc>
          <w:tcPr>
            <w:tcW w:type="dxa" w:w="2520"/>
            <w:shd w:val="clear" w:fill="2F5C9E"/>
          </w:tcPr>
          <w:p>
            <w:pPr>
              <w:spacing w:before="20" w:after="20"/>
            </w:pPr>
            <w:r/>
            <w:r>
              <w:rPr>
                <w:rFonts w:ascii="Calibri" w:hAnsi="Calibri"/>
                <w:b/>
                <w:color w:val="FFFFFF"/>
                <w:sz w:val="16"/>
              </w:rPr>
              <w:t>Course</w:t>
            </w:r>
          </w:p>
        </w:tc>
        <w:tc>
          <w:tcPr>
            <w:tcW w:type="dxa" w:w="2520"/>
            <w:shd w:val="clear" w:fill="2F5C9E"/>
          </w:tcPr>
          <w:p>
            <w:pPr>
              <w:spacing w:before="20" w:after="20"/>
            </w:pPr>
            <w:r/>
            <w:r>
              <w:rPr>
                <w:rFonts w:ascii="Calibri" w:hAnsi="Calibri"/>
                <w:b/>
                <w:color w:val="FFFFFF"/>
                <w:sz w:val="16"/>
              </w:rPr>
              <w:t>Jira Project</w:t>
            </w:r>
          </w:p>
        </w:tc>
      </w:tr>
      <w:tr>
        <w:tc>
          <w:tcPr>
            <w:tcW w:type="dxa" w:w="2520"/>
          </w:tcPr>
          <w:p>
            <w:pPr>
              <w:spacing w:before="20" w:after="20"/>
            </w:pPr>
            <w:r/>
            <w:r>
              <w:rPr>
                <w:rFonts w:ascii="Calibri" w:hAnsi="Calibri"/>
                <w:b w:val="0"/>
                <w:sz w:val="17"/>
              </w:rPr>
              <w:t>Prajwal G Devadiga</w:t>
            </w:r>
          </w:p>
        </w:tc>
        <w:tc>
          <w:tcPr>
            <w:tcW w:type="dxa" w:w="2520"/>
          </w:tcPr>
          <w:p>
            <w:pPr>
              <w:spacing w:before="20" w:after="20"/>
            </w:pPr>
            <w:r/>
            <w:r>
              <w:rPr>
                <w:rFonts w:ascii="Calibri" w:hAnsi="Calibri"/>
                <w:b w:val="0"/>
                <w:sz w:val="17"/>
              </w:rPr>
              <w:t>PES1UG24CS590</w:t>
            </w:r>
          </w:p>
        </w:tc>
        <w:tc>
          <w:tcPr>
            <w:tcW w:type="dxa" w:w="2520"/>
          </w:tcPr>
          <w:p>
            <w:pPr>
              <w:spacing w:before="20" w:after="20"/>
            </w:pPr>
            <w:r/>
            <w:r>
              <w:rPr>
                <w:rFonts w:ascii="Calibri" w:hAnsi="Calibri"/>
                <w:b w:val="0"/>
                <w:sz w:val="17"/>
              </w:rPr>
              <w:t>Software Engineering - Lab 2</w:t>
            </w:r>
          </w:p>
        </w:tc>
        <w:tc>
          <w:tcPr>
            <w:tcW w:type="dxa" w:w="2520"/>
          </w:tcPr>
          <w:p>
            <w:pPr>
              <w:spacing w:before="20" w:after="20"/>
            </w:pPr>
            <w:r/>
            <w:r>
              <w:rPr>
                <w:rFonts w:ascii="Calibri" w:hAnsi="Calibri"/>
                <w:b w:val="0"/>
                <w:sz w:val="17"/>
              </w:rPr>
              <w:t>CPIP</w:t>
            </w:r>
          </w:p>
        </w:tc>
      </w:tr>
    </w:tbl>
    <w:p>
      <w:pPr>
        <w:spacing w:before="120"/>
      </w:pPr>
      <w:r>
        <w:rPr>
          <w:i/>
          <w:color w:val="555555"/>
          <w:sz w:val="17"/>
        </w:rPr>
        <w:t>Sprint 1 committed 21 points across 3 stories; Sprint 2 committed 13 points across 3 stories. EPIC-1 totals 34 points.</w:t>
      </w:r>
    </w:p>
    <w:p>
      <w:pPr>
        <w:spacing w:before="200" w:after="60"/>
      </w:pPr>
      <w:r>
        <w:rPr>
          <w:b/>
          <w:color w:val="2F5C9E"/>
          <w:sz w:val="22"/>
        </w:rPr>
        <w:t>1. Did your estimations reflect the actual effort?</w:t>
      </w:r>
    </w:p>
    <w:p>
      <w:pPr>
        <w:spacing w:after="100"/>
        <w:ind w:left="259"/>
      </w:pPr>
      <w:r>
        <w:rPr>
          <w:sz w:val="20"/>
        </w:rPr>
        <w:t>No story was actually implemented, so there is no real effort figure to compare against - the honest test is whether the estimates were consistent relative to each other. On the large items they were: US-1.1 and US-1.3 both drew a 5 / 8 / 13 spread and settled at 8, with the high estimates coming from genuine uncertainty (resume layouts have no schema; four eligibility tiers have to compose without losing which one failed) rather than from the amount of code.</w:t>
      </w:r>
    </w:p>
    <w:p>
      <w:pPr>
        <w:spacing w:after="100"/>
        <w:ind w:left="259"/>
      </w:pPr>
      <w:r>
        <w:rPr>
          <w:sz w:val="20"/>
        </w:rPr>
        <w:t>The clear error is US-1.5, a unanimous 5 that nobody questioned. Its submit path has to re-run the whole US-1.3 rule set, so it belongs at 8. Unanimity turned out to be a worse signal than disagreement.</w:t>
      </w:r>
    </w:p>
    <w:p>
      <w:pPr>
        <w:spacing w:before="200" w:after="60"/>
      </w:pPr>
      <w:r>
        <w:rPr>
          <w:b/>
          <w:color w:val="2F5C9E"/>
          <w:sz w:val="22"/>
        </w:rPr>
        <w:t>2. Was your backlog well-prioritized?</w:t>
      </w:r>
    </w:p>
    <w:p>
      <w:pPr>
        <w:spacing w:after="100"/>
        <w:ind w:left="259"/>
      </w:pPr>
      <w:r>
        <w:rPr>
          <w:sz w:val="20"/>
        </w:rPr>
        <w:t>Yes for delivery order. The sequence follows the real dependency chain - a drive must exist and carry its rules before eligibility can be computed, and eligibility must be computable before a student can be shown a verdict or allowed to apply - so US-1.1 to US-1.3 fill Sprint 1 and the three stories that consume their output fill Sprint 2.</w:t>
      </w:r>
    </w:p>
    <w:p>
      <w:pPr>
        <w:spacing w:after="100"/>
        <w:ind w:left="259"/>
      </w:pPr>
      <w:r>
        <w:rPr>
          <w:sz w:val="20"/>
        </w:rPr>
        <w:t>The weakness is the priority field itself: four of the six stories are High, so the label carries little information and the sprint assignment does the real prioritising. US-1.6 is under-rated at Medium, since it is the only story protecting the shortlist we hand the company.</w:t>
      </w:r>
    </w:p>
    <w:p>
      <w:pPr>
        <w:spacing w:before="200" w:after="60"/>
      </w:pPr>
      <w:r>
        <w:rPr>
          <w:b/>
          <w:color w:val="2F5C9E"/>
          <w:sz w:val="22"/>
        </w:rPr>
        <w:t>3. How did your simulated sprint align with your plan?</w:t>
      </w:r>
    </w:p>
    <w:p>
      <w:pPr>
        <w:spacing w:after="100"/>
        <w:ind w:left="259"/>
      </w:pPr>
      <w:r>
        <w:rPr>
          <w:sz w:val="20"/>
        </w:rPr>
        <w:t>Exactly, and that is the least interesting thing about it. Sprint 1 committed 21 points across 3 stories and Sprint 2 committed 13 points across 3; everything moved To Do -&gt; In Progress -&gt; Done inside the session, so both closed at 100% of commitment with nothing carried over.</w:t>
      </w:r>
    </w:p>
    <w:p>
      <w:pPr>
        <w:spacing w:after="100"/>
        <w:ind w:left="259"/>
      </w:pPr>
      <w:r>
        <w:rPr>
          <w:sz w:val="20"/>
        </w:rPr>
        <w:t>That is an artefact of the simulation, not good planning. No code was written, so nothing could block and no estimate could be proved wrong - US-1.5 would have been the one to slip. Two sprints closing at exactly 100% would normally read as a team under-committing.</w:t>
      </w:r>
    </w:p>
    <w:p>
      <w:pPr>
        <w:spacing w:before="200" w:after="60"/>
      </w:pPr>
      <w:r>
        <w:rPr>
          <w:b/>
          <w:color w:val="2F5C9E"/>
          <w:sz w:val="22"/>
        </w:rPr>
        <w:t>4. What insights did the burndown chart give about your team's capacity?</w:t>
      </w:r>
    </w:p>
    <w:p>
      <w:pPr>
        <w:spacing w:after="100"/>
        <w:ind w:left="259"/>
      </w:pPr>
      <w:r>
        <w:rPr>
          <w:sz w:val="20"/>
        </w:rPr>
        <w:t>The remaining-work line does not track the guideline at all: flat while the stories sit in In Progress, then near-vertical as they are all closed at the end. In a real sprint that shape signals work being integrated in one late batch rather than finished incrementally; here it is simply the effect of compressing a one-week sprint into a lab session.</w:t>
      </w:r>
    </w:p>
    <w:p>
      <w:pPr>
        <w:spacing w:after="100"/>
        <w:ind w:left="259"/>
      </w:pPr>
      <w:r>
        <w:rPr>
          <w:sz w:val="20"/>
        </w:rPr>
        <w:t>On capacity, 21 then 13 points averages 17 - but two data points is far too small to plan from, and the drop was driven by how much work the Epic had left rather than by anything the team measured about itself.</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