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000000"/>
          <w:sz w:val="36"/>
        </w:rPr>
        <w:t>Requirements Table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000000"/>
          <w:sz w:val="21"/>
        </w:rPr>
        <w:t>Digital Art Commission &amp; Watermarking Portal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900"/>
        <w:gridCol w:w="5200"/>
        <w:gridCol w:w="1700"/>
        <w:gridCol w:w="7320"/>
      </w:tblGrid>
      <w:tr>
        <w:trPr>
          <w:tblHeader w:val="true"/>
        </w:trPr>
        <w:tc>
          <w:tcPr>
            <w:tcW w:type="dxa" w:w="9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SRN</w:t>
            </w:r>
          </w:p>
        </w:tc>
        <w:tc>
          <w:tcPr>
            <w:tcW w:type="dxa" w:w="52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PES1UG24CS593</w:t>
            </w:r>
          </w:p>
        </w:tc>
        <w:tc>
          <w:tcPr>
            <w:tcW w:type="dxa" w:w="17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Problem Statement</w:t>
            </w:r>
          </w:p>
        </w:tc>
        <w:tc>
          <w:tcPr>
            <w:tcW w:type="dxa" w:w="732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58</w:t>
            </w:r>
          </w:p>
        </w:tc>
      </w:tr>
    </w:tbl>
    <w:p>
      <w:pPr>
        <w:pBdr>
          <w:bottom w:val="single" w:sz="4" w:space="3" w:color="777777"/>
        </w:pBdr>
        <w:spacing w:before="20" w:after="100"/>
      </w:pP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050"/>
        <w:gridCol w:w="1600"/>
        <w:gridCol w:w="3150"/>
        <w:gridCol w:w="850"/>
        <w:gridCol w:w="4800"/>
        <w:gridCol w:w="3670"/>
      </w:tblGrid>
      <w:tr>
        <w:trPr>
          <w:tblHeader w:val="true"/>
          <w:cantSplit/>
        </w:trPr>
        <w:tc>
          <w:tcPr>
            <w:tcW w:type="dxa" w:w="1050"/>
            <w:tcMar>
              <w:top w:w="48" w:type="dxa"/>
              <w:start w:w="115" w:type="dxa"/>
              <w:bottom w:w="48" w:type="dxa"/>
              <w:end w:w="115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Req ID</w:t>
            </w:r>
          </w:p>
        </w:tc>
        <w:tc>
          <w:tcPr>
            <w:tcW w:type="dxa" w:w="1600"/>
            <w:tcMar>
              <w:top w:w="48" w:type="dxa"/>
              <w:start w:w="115" w:type="dxa"/>
              <w:bottom w:w="48" w:type="dxa"/>
              <w:end w:w="115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3150"/>
            <w:tcMar>
              <w:top w:w="48" w:type="dxa"/>
              <w:start w:w="115" w:type="dxa"/>
              <w:bottom w:w="48" w:type="dxa"/>
              <w:end w:w="115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850"/>
            <w:tcMar>
              <w:top w:w="48" w:type="dxa"/>
              <w:start w:w="115" w:type="dxa"/>
              <w:bottom w:w="48" w:type="dxa"/>
              <w:end w:w="115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Priority</w:t>
            </w:r>
          </w:p>
        </w:tc>
        <w:tc>
          <w:tcPr>
            <w:tcW w:type="dxa" w:w="4800"/>
            <w:tcMar>
              <w:top w:w="48" w:type="dxa"/>
              <w:start w:w="115" w:type="dxa"/>
              <w:bottom w:w="48" w:type="dxa"/>
              <w:end w:w="115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Acceptance Criteria</w:t>
            </w:r>
          </w:p>
        </w:tc>
        <w:tc>
          <w:tcPr>
            <w:tcW w:type="dxa" w:w="3670"/>
            <w:tcMar>
              <w:top w:w="48" w:type="dxa"/>
              <w:start w:w="115" w:type="dxa"/>
              <w:bottom w:w="48" w:type="dxa"/>
              <w:end w:w="115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FR-001</w:t>
            </w:r>
          </w:p>
        </w:tc>
        <w:tc>
          <w:tcPr>
            <w:tcW w:type="dxa" w:w="16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The system shall apply a dynamic diagonal overlay watermark to every WIP draft uploaded by a Digital Artist before the draft is displayed to the Client Buyer.</w:t>
            </w:r>
          </w:p>
        </w:tc>
        <w:tc>
          <w:tcPr>
            <w:tcW w:type="dxa" w:w="8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PASS: For each of 20 supported test images, the client portal displays only a watermarked preview containing the commission ID and buyer identifier, while the original remains inaccessible. FAIL: Any preview lacks the watermark or an original draft is retrievable by the client.</w:t>
            </w:r>
          </w:p>
        </w:tc>
        <w:tc>
          <w:tcPr>
            <w:tcW w:type="dxa" w:w="367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Protects unfinished artwork from unauthorized use and preserves the supplied FR-001 intent.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FR-002</w:t>
            </w:r>
          </w:p>
        </w:tc>
        <w:tc>
          <w:tcPr>
            <w:tcW w:type="dxa" w:w="16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The system shall allow a Client Buyer to submit a creative brief containing scope, reference images, dimensions, file-format needs, deadline, budget, and milestone terms.</w:t>
            </w:r>
          </w:p>
        </w:tc>
        <w:tc>
          <w:tcPr>
            <w:tcW w:type="dxa" w:w="8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PASS: With all mandatory valid fields, one commission request with a unique ID is stored and shown within 3 seconds. FAIL: A request is created with a missing mandatory field, an unsupported reference file, or without a commission ID.</w:t>
            </w:r>
          </w:p>
        </w:tc>
        <w:tc>
          <w:tcPr>
            <w:tcW w:type="dxa" w:w="367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Creates an unambiguous, traceable specification against which the artist can quote and deliver.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FR-003</w:t>
            </w:r>
          </w:p>
        </w:tc>
        <w:tc>
          <w:tcPr>
            <w:tcW w:type="dxa" w:w="16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The system shall allow the assigned Digital Artist to accept a commission, record agreed milestones, and upload versioned WIP drafts against an open milestone.</w:t>
            </w:r>
          </w:p>
        </w:tc>
        <w:tc>
          <w:tcPr>
            <w:tcW w:type="dxa" w:w="8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PASS: An assigned artist can accept a seeded request and upload two drafts that appear as distinct, timestamped versions under the selected milestone. FAIL: An unassigned artist can accept or upload, a version is overwritten, or the upload is not linked to the milestone.</w:t>
            </w:r>
          </w:p>
        </w:tc>
        <w:tc>
          <w:tcPr>
            <w:tcW w:type="dxa" w:w="367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Supports controlled collaboration and preserves a reviewable history of work in progress.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FR-004</w:t>
            </w:r>
          </w:p>
        </w:tc>
        <w:tc>
          <w:tcPr>
            <w:tcW w:type="dxa" w:w="16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The system shall allow the Client Buyer to review a watermarked WIP draft, add contextual feedback, request a revision, or approve the associated milestone.</w:t>
            </w:r>
          </w:p>
        </w:tc>
        <w:tc>
          <w:tcPr>
            <w:tcW w:type="dxa" w:w="8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PASS: A buyer reviewing a seeded draft can submit feedback or approve the milestone, and the selected action, comment, user ID, and timestamp are visible to the artist within 5 seconds. FAIL: A non-owner can review the draft, an action lacks an audit record, or status remains stale.</w:t>
            </w:r>
          </w:p>
        </w:tc>
        <w:tc>
          <w:tcPr>
            <w:tcW w:type="dxa" w:w="367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Provides a formal approval loop and reduces disputes about requested changes and milestone acceptance.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FR-005</w:t>
            </w:r>
          </w:p>
        </w:tc>
        <w:tc>
          <w:tcPr>
            <w:tcW w:type="dxa" w:w="16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The system shall unlock the final high-resolution source files for the Client Buyer only after the required milestone payment is verified as successful.</w:t>
            </w:r>
          </w:p>
        </w:tc>
        <w:tc>
          <w:tcPr>
            <w:tcW w:type="dxa" w:w="8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PASS: Before payment, every final-file request returns 403 without file data; after a successful seeded payment, exactly one entitlement is recorded and the buyer can download the correct final asset. FAIL: Access is granted before verification, the wrong file is served, or duplicate entitlements are created.</w:t>
            </w:r>
          </w:p>
        </w:tc>
        <w:tc>
          <w:tcPr>
            <w:tcW w:type="dxa" w:w="367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Enforces the platform's payment-for-delivery exchange and protects the artist's high-value source files.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NFR-001</w:t>
            </w:r>
          </w:p>
        </w:tc>
        <w:tc>
          <w:tcPr>
            <w:tcW w:type="dxa" w:w="16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Nonfunctional</w:t>
              <w:br/>
              <w:t>Performance &amp; Security</w:t>
            </w:r>
          </w:p>
        </w:tc>
        <w:tc>
          <w:tcPr>
            <w:tcW w:type="dxa" w:w="31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The system shall deliver final assets only through signed download URLs that expire 60 minutes after issuance and shall generate an authorized URL within 2 seconds.</w:t>
            </w:r>
          </w:p>
        </w:tc>
        <w:tc>
          <w:tcPr>
            <w:tcW w:type="dxa" w:w="8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PASS: In a 10,000-request test with 300 concurrent users, at least 95% of authorized URLs are generated within 2 seconds; all URLs expire at 60 minutes ± 5 seconds; and altered, expired, or unauthorized URLs return 401/403 without file data. FAIL: Any threshold is missed.</w:t>
            </w:r>
          </w:p>
        </w:tc>
        <w:tc>
          <w:tcPr>
            <w:tcW w:type="dxa" w:w="367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Makes the supplied signed-URL requirement measurable while limiting unauthorized redistribution.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5"/>
              </w:rPr>
              <w:t>NFR-002</w:t>
            </w:r>
          </w:p>
        </w:tc>
        <w:tc>
          <w:tcPr>
            <w:tcW w:type="dxa" w:w="16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Nonfunctional</w:t>
              <w:br/>
              <w:t>Availability &amp; Auditability</w:t>
            </w:r>
          </w:p>
        </w:tc>
        <w:tc>
          <w:tcPr>
            <w:tcW w:type="dxa" w:w="31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The system shall provide at least 99.9% monthly availability, excluding announced maintenance, and retain immutable audit events for brief, draft, approval, payment, and download actions for 365 days.</w:t>
            </w:r>
          </w:p>
        </w:tc>
        <w:tc>
          <w:tcPr>
            <w:tcW w:type="dxa" w:w="85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Medium</w:t>
            </w:r>
          </w:p>
        </w:tc>
        <w:tc>
          <w:tcPr>
            <w:tcW w:type="dxa" w:w="480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PASS: Monthly monitoring reports availability of at least 99.9%, and an audit test confirms that 100% of 1,000 seeded actions record actor, action, commission ID, and UTC timestamp and remain queryable after a simulated 365-day retention cycle. FAIL: Either condition is not met.</w:t>
            </w:r>
          </w:p>
        </w:tc>
        <w:tc>
          <w:tcPr>
            <w:tcW w:type="dxa" w:w="3670"/>
            <w:vAlign w:val="center"/>
            <w:shd w:fill="FFFFFF"/>
            <w:tcMar>
              <w:top w:w="48" w:type="dxa"/>
              <w:start w:w="115" w:type="dxa"/>
              <w:bottom w:w="48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Maintains dependable collaboration and evidence for resolving authorship, approval, payment, and access disputes.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05" w:right="857" w:bottom="605" w:left="85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5120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13720"/>
      <w:gridCol w:w="1400"/>
    </w:tblGrid>
    <w:tr>
      <w:trPr>
        <w:tblHeader w:val="true"/>
      </w:trPr>
      <w:tc>
        <w:tcPr>
          <w:tcW w:type="dxa" w:w="1372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PES1UG24CS593</w:t>
          </w:r>
        </w:p>
      </w:tc>
      <w:tc>
        <w:tcPr>
          <w:tcW w:type="dxa" w:w="140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Requirements Table - Digital Art Commission &amp; Watermarking Portal</dc:title>
  <dc:subject>Software Engineering Lab 1</dc:subject>
  <dc:creator>PES1UG24CS593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