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000000"/>
          <w:sz w:val="36"/>
        </w:rPr>
        <w:t>Use-Case Flow Specification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000000"/>
          <w:sz w:val="21"/>
        </w:rPr>
        <w:t>UC-03 - Upload WIP Draft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900"/>
        <w:gridCol w:w="5200"/>
        <w:gridCol w:w="1700"/>
        <w:gridCol w:w="7320"/>
      </w:tblGrid>
      <w:tr>
        <w:trPr>
          <w:tblHeader w:val="true"/>
        </w:trPr>
        <w:tc>
          <w:tcPr>
            <w:tcW w:type="dxa" w:w="9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SRN</w:t>
            </w:r>
          </w:p>
        </w:tc>
        <w:tc>
          <w:tcPr>
            <w:tcW w:type="dxa" w:w="520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PES1UG24CS593</w:t>
            </w:r>
          </w:p>
        </w:tc>
        <w:tc>
          <w:tcPr>
            <w:tcW w:type="dxa" w:w="17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Problem Statement</w:t>
            </w:r>
          </w:p>
        </w:tc>
        <w:tc>
          <w:tcPr>
            <w:tcW w:type="dxa" w:w="732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58</w:t>
            </w:r>
          </w:p>
        </w:tc>
      </w:tr>
    </w:tbl>
    <w:p>
      <w:pPr>
        <w:pBdr>
          <w:bottom w:val="single" w:sz="4" w:space="3" w:color="777777"/>
        </w:pBdr>
        <w:spacing w:before="20" w:after="100"/>
      </w:pPr>
    </w:p>
    <w:tbl>
      <w:tblPr>
        <w:tblStyle w:val="TableGrid"/>
        <w:tblW w:type="dxa" w:w="1512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00"/>
        <w:gridCol w:w="12820"/>
      </w:tblGrid>
      <w:tr>
        <w:trPr>
          <w:cantSplit/>
          <w:tblHeader w:val="true"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Primary Actor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Digital Artist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Supporting Actor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Client Buyer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Trigger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artist is ready to submit a WIP draft for an open commission milestone.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Preconditions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commission is active; the artist is assigned; the target milestone is open; the artist is authenticated; the file uses a supported image format.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EDEDE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Postconditions</w:t>
            </w:r>
          </w:p>
        </w:tc>
        <w:tc>
          <w:tcPr>
            <w:tcW w:type="dxa" w:w="128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Success: the original is stored privately, a versioned watermarked preview is linked to the milestone, and the buyer is notified. Minimum guarantee: no unwatermarked draft is exposed if processing fails.</w:t>
            </w:r>
          </w:p>
        </w:tc>
      </w:tr>
    </w:tbl>
    <w:p>
      <w:pPr>
        <w:pStyle w:val="Heading1"/>
        <w:spacing w:before="100" w:after="40"/>
        <w:pBdr>
          <w:bottom w:val="single" w:sz="3" w:space="2" w:color="999999"/>
        </w:pBdr>
      </w:pPr>
      <w:r>
        <w:t>Main Success Scenario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Digital Artist opens the active commission and selects the open milestone.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displays the milestone brief, accepted formats, maximum file size, and prior WIP versions.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Digital Artist selects 'Upload WIP Draft', chooses an image, and enters an optional version note.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validates artist assignment, milestone state, file type, file size, and malware-scan result.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stores the original draft in private asset storage and creates a new immutable version record.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applies a diagonal watermark containing the commission ID and buyer identifier to a derived preview.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verifies that the watermark is present and that no public or buyer-facing link targets the original file.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publishes the watermarked preview to the commission workspace and timestamps the submission.</w:t>
      </w:r>
    </w:p>
    <w:p>
      <w:pPr>
        <w:pStyle w:val="ListNumber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notifies the Client Buyer that a WIP draft is available for review and confirms successful submission to the Digital Artist.</w:t>
      </w:r>
    </w:p>
    <w:p>
      <w:pPr>
        <w:pStyle w:val="Heading1"/>
        <w:spacing w:before="80" w:after="20"/>
        <w:pBdr>
          <w:bottom w:val="single" w:sz="3" w:space="2" w:color="999999"/>
        </w:pBdr>
      </w:pPr>
      <w:r>
        <w:t>Alternate Flow A - Validation or Watermarking Failure at Step 4 or 7</w:t>
      </w:r>
    </w:p>
    <w:p>
      <w:pPr>
        <w:pStyle w:val="ListBullet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rejects the draft or marks the new version as 'Processing Failed' and records the reason.</w:t>
      </w:r>
    </w:p>
    <w:p>
      <w:pPr>
        <w:pStyle w:val="ListBullet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removes all buyer-facing access to the failed preview and retains the original only in private storage according to policy.</w:t>
      </w:r>
    </w:p>
    <w:p>
      <w:pPr>
        <w:pStyle w:val="ListBullet"/>
        <w:spacing w:after="20" w:line="240" w:lineRule="auto" w:before="0"/>
        <w:ind w:left="490" w:hanging="259"/>
      </w:pPr>
      <w:r>
        <w:rPr>
          <w:rFonts w:ascii="Arial" w:hAnsi="Arial"/>
          <w:b w:val="0"/>
          <w:i w:val="0"/>
          <w:color w:val="000000"/>
          <w:sz w:val="18"/>
        </w:rPr>
        <w:t>System informs the Digital Artist of the specific correction required and returns to Step 3; the Client Buyer is not notified and no unwatermarked asset is exposed.</w:t>
      </w:r>
    </w:p>
    <w:sectPr w:rsidR="00FC693F" w:rsidRPr="0006063C" w:rsidSect="00034616">
      <w:footerReference w:type="default" r:id="rId9"/>
      <w:pgSz w:w="16834" w:h="11909" w:orient="landscape"/>
      <w:pgMar w:top="605" w:right="857" w:bottom="605" w:left="85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5120"/>
      <w:tblLayout w:type="fixed"/>
      <w:tblLook w:firstColumn="1" w:firstRow="1" w:lastColumn="0" w:lastRow="0" w:noHBand="0" w:noVBand="1" w:val="04A0"/>
      <w:jc w:val="center"/>
      <w:tblInd w:w="0" w:type="dxa"/>
    </w:tblPr>
    <w:tblGrid>
      <w:gridCol w:w="13720"/>
      <w:gridCol w:w="1400"/>
    </w:tblGrid>
    <w:tr>
      <w:trPr>
        <w:tblHeader w:val="true"/>
      </w:trPr>
      <w:tc>
        <w:tcPr>
          <w:tcW w:type="dxa" w:w="13720"/>
          <w:tcMar>
            <w:top w:w="55" w:type="dxa"/>
            <w:start w:w="0" w:type="dxa"/>
            <w:bottom w:w="0" w:type="dxa"/>
            <w:end w:w="0" w:type="dxa"/>
          </w:tcMar>
          <w:tcBorders>
            <w:top w:val="single" w:sz="4" w:space="0" w:color="777777"/>
          </w:tcBorders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PES1UG24CS593</w:t>
          </w:r>
        </w:p>
      </w:tc>
      <w:tc>
        <w:tcPr>
          <w:tcW w:type="dxa" w:w="1400"/>
          <w:tcMar>
            <w:top w:w="55" w:type="dxa"/>
            <w:start w:w="0" w:type="dxa"/>
            <w:bottom w:w="0" w:type="dxa"/>
            <w:end w:w="0" w:type="dxa"/>
          </w:tcMar>
          <w:tcBorders>
            <w:top w:val="single" w:sz="4" w:space="0" w:color="777777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547" w:hanging="274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40" w:lineRule="auto"/>
      <w:ind w:left="547" w:hanging="274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Use-Case Flow - Upload WIP Draft</dc:title>
  <dc:subject>Software Engineering Lab 1</dc:subject>
  <dc:creator>PES1UG24CS593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