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IMPLEMENTATION DOCUMENT</w:t>
      </w:r>
    </w:p>
    <w:p>
      <w:pPr>
        <w:jc w:val="center"/>
      </w:pPr>
      <w:r>
        <w:rPr>
          <w:b/>
          <w:sz w:val="24"/>
        </w:rPr>
        <w:t>Next Implementation Process: Price Acceptance, Pricing Feedback and LinUCB Integration</w:t>
      </w:r>
    </w:p>
    <w:p>
      <w:pPr>
        <w:pStyle w:val="Heading1"/>
      </w:pPr>
      <w:r>
        <w:t>1. Final objective</w:t>
      </w:r>
    </w:p>
    <w:p>
      <w:r>
        <w:t>The next implementation stage is to convert the supervisor's price-acceptance discussion into a working simulation pipeline. The pipeline starts with historical price and distance data, estimates customer price sensitivity by weather–time conditions, generates a customer-specific sensitivity for each simulated request, calculates the customer's maximum acceptable price, accepts or rejects the platform's dispatch-price offer, and stores the resulting feedback for learning and reward accumulation.</w:t>
      </w:r>
    </w:p>
    <w:p>
      <w:pPr>
        <w:pStyle w:val="Heading1"/>
      </w:pPr>
      <w:r>
        <w:t>2. Final 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Symbol</w:t>
            </w:r>
          </w:p>
        </w:tc>
        <w:tc>
          <w:tcPr>
            <w:tcW w:type="dxa" w:w="4920"/>
          </w:tcPr>
          <w:p>
            <w:r>
              <w:t>Meaning</w:t>
            </w:r>
          </w:p>
        </w:tc>
      </w:tr>
      <w:tr>
        <w:tc>
          <w:tcPr>
            <w:tcW w:type="dxa" w:w="4920"/>
          </w:tcPr>
          <w:p>
            <w:r>
              <w:t>G</w:t>
            </w:r>
          </w:p>
        </w:tc>
        <w:tc>
          <w:tcPr>
            <w:tcW w:type="dxa" w:w="4920"/>
          </w:tcPr>
          <w:p>
            <w:r>
              <w:t>Origin/source grid</w:t>
            </w:r>
          </w:p>
        </w:tc>
      </w:tr>
      <w:tr>
        <w:tc>
          <w:tcPr>
            <w:tcW w:type="dxa" w:w="4920"/>
          </w:tcPr>
          <w:p>
            <w:r>
              <w:t>G′</w:t>
            </w:r>
          </w:p>
        </w:tc>
        <w:tc>
          <w:tcPr>
            <w:tcW w:type="dxa" w:w="4920"/>
          </w:tcPr>
          <w:p>
            <w:r>
              <w:t>Destination grid</w:t>
            </w:r>
          </w:p>
        </w:tc>
      </w:tr>
      <w:tr>
        <w:tc>
          <w:tcPr>
            <w:tcW w:type="dxa" w:w="4920"/>
          </w:tcPr>
          <w:p>
            <w:r>
              <w:t>W</w:t>
            </w:r>
          </w:p>
        </w:tc>
        <w:tc>
          <w:tcPr>
            <w:tcW w:type="dxa" w:w="4920"/>
          </w:tcPr>
          <w:p>
            <w:r>
              <w:t>Weather condition</w:t>
            </w:r>
          </w:p>
        </w:tc>
      </w:tr>
      <w:tr>
        <w:tc>
          <w:tcPr>
            <w:tcW w:type="dxa" w:w="4920"/>
          </w:tcPr>
          <w:p>
            <w:r>
              <w:t>T</w:t>
            </w:r>
          </w:p>
        </w:tc>
        <w:tc>
          <w:tcPr>
            <w:tcW w:type="dxa" w:w="4920"/>
          </w:tcPr>
          <w:p>
            <w:r>
              <w:t>Time slot</w:t>
            </w:r>
          </w:p>
        </w:tc>
      </w:tr>
      <w:tr>
        <w:tc>
          <w:tcPr>
            <w:tcW w:type="dxa" w:w="4920"/>
          </w:tcPr>
          <w:p>
            <w:r>
              <w:t>O</w:t>
            </w:r>
          </w:p>
        </w:tc>
        <w:tc>
          <w:tcPr>
            <w:tcW w:type="dxa" w:w="4920"/>
          </w:tcPr>
          <w:p>
            <w:r>
              <w:t>Customer request/order</w:t>
            </w:r>
          </w:p>
        </w:tc>
      </w:tr>
      <w:tr>
        <w:tc>
          <w:tcPr>
            <w:tcW w:type="dxa" w:w="4920"/>
          </w:tcPr>
          <w:p>
            <w:r>
              <w:t>P^disp_{G,G′,T}</w:t>
            </w:r>
          </w:p>
        </w:tc>
        <w:tc>
          <w:tcPr>
            <w:tcW w:type="dxa" w:w="4920"/>
          </w:tcPr>
          <w:p>
            <w:r>
              <w:t>Dispatch price offered by the platform</w:t>
            </w:r>
          </w:p>
        </w:tc>
      </w:tr>
      <w:tr>
        <w:tc>
          <w:tcPr>
            <w:tcW w:type="dxa" w:w="4920"/>
          </w:tcPr>
          <w:p>
            <w:r>
              <w:t>P^base</w:t>
            </w:r>
          </w:p>
        </w:tc>
        <w:tc>
          <w:tcPr>
            <w:tcW w:type="dxa" w:w="4920"/>
          </w:tcPr>
          <w:p>
            <w:r>
              <w:t>Base/reference price</w:t>
            </w:r>
          </w:p>
        </w:tc>
      </w:tr>
      <w:tr>
        <w:tc>
          <w:tcPr>
            <w:tcW w:type="dxa" w:w="4920"/>
          </w:tcPr>
          <w:p>
            <w:r>
              <w:t>D</w:t>
            </w:r>
          </w:p>
        </w:tc>
        <w:tc>
          <w:tcPr>
            <w:tcW w:type="dxa" w:w="4920"/>
          </w:tcPr>
          <w:p>
            <w:r>
              <w:t>Actual trip distance</w:t>
            </w:r>
          </w:p>
        </w:tc>
      </w:tr>
      <w:tr>
        <w:tc>
          <w:tcPr>
            <w:tcW w:type="dxa" w:w="4920"/>
          </w:tcPr>
          <w:p>
            <w:r>
              <w:t>D^base</w:t>
            </w:r>
          </w:p>
        </w:tc>
        <w:tc>
          <w:tcPr>
            <w:tcW w:type="dxa" w:w="4920"/>
          </w:tcPr>
          <w:p>
            <w:r>
              <w:t>Base/reference distance</w:t>
            </w:r>
          </w:p>
        </w:tc>
      </w:tr>
      <w:tr>
        <w:tc>
          <w:tcPr>
            <w:tcW w:type="dxa" w:w="4920"/>
          </w:tcPr>
          <w:p>
            <w:r>
              <w:t>α_{G,G′,T}</w:t>
            </w:r>
          </w:p>
        </w:tc>
        <w:tc>
          <w:tcPr>
            <w:tcW w:type="dxa" w:w="4920"/>
          </w:tcPr>
          <w:p>
            <w:r>
              <w:t>Pricing factor selected by the pricing/MAB module</w:t>
            </w:r>
          </w:p>
        </w:tc>
      </w:tr>
      <w:tr>
        <w:tc>
          <w:tcPr>
            <w:tcW w:type="dxa" w:w="4920"/>
          </w:tcPr>
          <w:p>
            <w:r>
              <w:t>ε_{O,W,T}</w:t>
            </w:r>
          </w:p>
        </w:tc>
        <w:tc>
          <w:tcPr>
            <w:tcW w:type="dxa" w:w="4920"/>
          </w:tcPr>
          <w:p>
            <w:r>
              <w:t>Price-sensitivity value assigned to customer/order O</w:t>
            </w:r>
          </w:p>
        </w:tc>
      </w:tr>
      <w:tr>
        <w:tc>
          <w:tcPr>
            <w:tcW w:type="dxa" w:w="4920"/>
          </w:tcPr>
          <w:p>
            <w:r>
              <w:t>ε̄_{W,T}</w:t>
            </w:r>
          </w:p>
        </w:tc>
        <w:tc>
          <w:tcPr>
            <w:tcW w:type="dxa" w:w="4920"/>
          </w:tcPr>
          <w:p>
            <w:r>
              <w:t>Mean historical price sensitivity</w:t>
            </w:r>
          </w:p>
        </w:tc>
      </w:tr>
      <w:tr>
        <w:tc>
          <w:tcPr>
            <w:tcW w:type="dxa" w:w="4920"/>
          </w:tcPr>
          <w:p>
            <w:r>
              <w:t>σ_{W,T}</w:t>
            </w:r>
          </w:p>
        </w:tc>
        <w:tc>
          <w:tcPr>
            <w:tcW w:type="dxa" w:w="4920"/>
          </w:tcPr>
          <w:p>
            <w:r>
              <w:t>Standard deviation of historical price sensitivity</w:t>
            </w:r>
          </w:p>
        </w:tc>
      </w:tr>
      <w:tr>
        <w:tc>
          <w:tcPr>
            <w:tcW w:type="dxa" w:w="4920"/>
          </w:tcPr>
          <w:p>
            <w:r>
              <w:t>P^max_{O,T}</w:t>
            </w:r>
          </w:p>
        </w:tc>
        <w:tc>
          <w:tcPr>
            <w:tcW w:type="dxa" w:w="4920"/>
          </w:tcPr>
          <w:p>
            <w:r>
              <w:t>Maximum price acceptable to customer O</w:t>
            </w:r>
          </w:p>
        </w:tc>
      </w:tr>
    </w:tbl>
    <w:p>
      <w:pPr>
        <w:pStyle w:val="Heading1"/>
      </w:pPr>
      <w:r>
        <w:t>3. Core design decision</w:t>
      </w:r>
    </w:p>
    <w:p>
      <w:r>
        <w:t>Use W,T as the primary indexing level for customer sensitivity. The supervisor explicitly moved away from estimating a separate sensitivity for every G→G′ pair and suggested pooling the regional historical requests for the same weather condition and time slot. Grid-specific origin/destination information remains necessary when calculating the actual dispatch price and trip distance.</w:t>
      </w:r>
    </w:p>
    <w:p>
      <w:r>
        <w:t>This means: customer behaviour is modelled region-wide for each (W,T) pair, while the actual offer remains request-specific.</w:t>
      </w:r>
    </w:p>
    <w:p>
      <w:pPr>
        <w:pStyle w:val="Heading1"/>
      </w:pPr>
      <w:r>
        <w:t>4. Stage A — Prepare historical data</w:t>
      </w:r>
    </w:p>
    <w:p>
      <w:pPr>
        <w:pStyle w:val="ListBullet"/>
      </w:pPr>
      <w:r>
        <w:t>Create a historical record containing, at minimum: origin grid, destination grid, time slot, weather condition, historical price, and trip distance.</w:t>
      </w:r>
    </w:p>
    <w:p>
      <w:pPr>
        <w:pStyle w:val="ListBullet"/>
      </w:pPr>
      <w:r>
        <w:t>Choose a historical observation set for each (W,T) pair. Pool observations across grids if using the regional-sensitivity assumption.</w:t>
      </w:r>
    </w:p>
    <w:p>
      <w:pPr>
        <w:pStyle w:val="ListBullet"/>
      </w:pPr>
      <w:r>
        <w:t>Define a base/reference price and base/reference distance from the historical observations. The supplied notes allow a representative statistic such as the mean or minimum; select one rule and use it consistently in the implementation.</w:t>
      </w:r>
    </w:p>
    <w:p>
      <w:pPr>
        <w:pStyle w:val="ListBullet"/>
      </w:pPr>
      <w:r>
        <w:t>Store the resulting P^base_{W,T} and D^base_{W,T} values for later simulation.</w:t>
      </w:r>
    </w:p>
    <w:p>
      <w:pPr>
        <w:pStyle w:val="Heading1"/>
      </w:pPr>
      <w:r>
        <w:t>5. Stage B — Estimate historical price sensitivity</w:t>
      </w:r>
    </w:p>
    <w:p>
      <w:r>
        <w:t>For every historical observation i belonging to a given weather–time pair (W,T), calculate the normalized changes:</w:t>
      </w:r>
    </w:p>
    <w:p>
      <w:r>
        <w:t>ΔP_i = (P_i − P^base_{W,T}) / P^base_{W,T}</w:t>
      </w:r>
    </w:p>
    <w:p>
      <w:r>
        <w:t>ΔD_i = (D_i − D^base_{W,T}) / D^base_{W,T}</w:t>
      </w:r>
    </w:p>
    <w:p>
      <w:r>
        <w:t>Using the supervisor's rearranged relationship, construct the observation-level sensitivity ratio as:</w:t>
      </w:r>
    </w:p>
    <w:p>
      <w:r>
        <w:t>ε_i = ΔP_i / ΔD_i</w:t>
      </w:r>
    </w:p>
    <w:p>
      <w:r>
        <w:t>Therefore, for each (W,T), the historical sensitivity array is {ε_i}. Compute:</w:t>
      </w:r>
    </w:p>
    <w:p>
      <w:r>
        <w:t>ε̄_{W,T} = mean({ε_i})</w:t>
      </w:r>
    </w:p>
    <w:p>
      <w:r>
        <w:t>σ_{W,T} = std({ε_i})</w:t>
      </w:r>
    </w:p>
    <w:p>
      <w:r>
        <w:t>Important implementation check: observations with ΔD_i = 0 require explicit handling because the ratio is undefined. Do not silently divide by zero; record and apply a consistent exclusion or preprocessing rule.</w:t>
      </w:r>
    </w:p>
    <w:p>
      <w:pPr>
        <w:pStyle w:val="Heading1"/>
      </w:pPr>
      <w:r>
        <w:t>6. Stage C — Generate customer-specific sensitivity</w:t>
      </w:r>
    </w:p>
    <w:p>
      <w:r>
        <w:t>For every new simulated customer request O occurring under weather W and time slot T, generate:</w:t>
      </w:r>
    </w:p>
    <w:p>
      <w:r>
        <w:t>ε_{O,W,T} ~ Normal(ε̄_{W,T}, σ_{W,T})</w:t>
      </w:r>
    </w:p>
    <w:p>
      <w:r>
        <w:t>The supervisor's default assumption is an ordinary normal distribution without mandatory truncation. If the implementation later requires bounds, truncation can be added as a modelling choice, but it is not the default discussed.</w:t>
      </w:r>
    </w:p>
    <w:p>
      <w:pPr>
        <w:pStyle w:val="Heading1"/>
      </w:pPr>
      <w:r>
        <w:t>7. Stage D — Generate the platform dispatch-price offer</w:t>
      </w:r>
    </w:p>
    <w:p>
      <w:r>
        <w:t>The pricing module/MAB selects a pricing factor α for the request's origin–destination–time context. The platform then offers:</w:t>
      </w:r>
    </w:p>
    <w:p>
      <w:r>
        <w:t>P^disp_{G,G′,T} = P^base × α_{G,G′,T}</w:t>
      </w:r>
    </w:p>
    <w:p>
      <w:r>
        <w:t>The exact indexing of P^base should match the final data design. If the base price is maintained by weather and time, use the corresponding P^base_{W,T}; if the simulation requires an OD-specific base price, retain the relevant G,G′ indices.</w:t>
      </w:r>
    </w:p>
    <w:p>
      <w:pPr>
        <w:pStyle w:val="Heading1"/>
      </w:pPr>
      <w:r>
        <w:t>8. Stage E — Calculate the customer's maximum acceptable price</w:t>
      </w:r>
    </w:p>
    <w:p>
      <w:r>
        <w:t>Using the customer-specific sensitivity and the request's actual distance, calculate the customer's personal price threshold by rearranging the elasticity relationship:</w:t>
      </w:r>
    </w:p>
    <w:p>
      <w:r>
        <w:t>P^max_{O,T} = P^base_{W,T} + [((D_{G,G′} − D^base_{W,T}) / D^base_{W,T}) × P^base_{W,T} / ε_{O,W,T}]</w:t>
      </w:r>
    </w:p>
    <w:p>
      <w:r>
        <w:t>This is the key behavioural rule: different customers can receive different sensitivity values and therefore have different maximum acceptable prices.</w:t>
      </w:r>
    </w:p>
    <w:p>
      <w:pPr>
        <w:pStyle w:val="Heading1"/>
      </w:pPr>
      <w:r>
        <w:t>9. Stage F — Acceptance/rejection decision</w:t>
      </w:r>
    </w:p>
    <w:p>
      <w:r>
        <w:t>Customer O accepts when:</w:t>
      </w:r>
    </w:p>
    <w:p>
      <w:r>
        <w:t>P^disp_{G,G′,T} ≤ P^max_{O,T}</w:t>
      </w:r>
    </w:p>
    <w:p>
      <w:r>
        <w:t>Otherwise, the offer is rejected.</w:t>
      </w:r>
    </w:p>
    <w:p>
      <w:r>
        <w:t>Both outcomes are feedback. A rejection is not ignored; it must be stored because it is part of the learning experience for the selected pricing action.</w:t>
      </w:r>
    </w:p>
    <w:p>
      <w:pPr>
        <w:pStyle w:val="Heading1"/>
      </w:pPr>
      <w:r>
        <w:t>10. Stage G — What happens after acceptance</w:t>
      </w:r>
    </w:p>
    <w:p>
      <w:pPr>
        <w:pStyle w:val="ListBullet"/>
      </w:pPr>
      <w:r>
        <w:t>Only after price acceptance does the request proceed to vehicle matching/dispatch.</w:t>
      </w:r>
    </w:p>
    <w:p>
      <w:pPr>
        <w:pStyle w:val="ListBullet"/>
      </w:pPr>
      <w:r>
        <w:t>The accepted request's trip attributes are announced to eligible idle vehicles that have chosen to remain in the grid.</w:t>
      </w:r>
    </w:p>
    <w:p>
      <w:pPr>
        <w:pStyle w:val="ListBullet"/>
      </w:pPr>
      <w:r>
        <w:t>Vehicles decide whether to contend according to their own preferences.</w:t>
      </w:r>
    </w:p>
    <w:p>
      <w:pPr>
        <w:pStyle w:val="ListBullet"/>
      </w:pPr>
      <w:r>
        <w:t>Among contending vehicles, the platform selects one using the discussed contention/selection mechanism based on the reported pickup-related priority.</w:t>
      </w:r>
    </w:p>
    <w:p>
      <w:pPr>
        <w:pStyle w:val="ListBullet"/>
      </w:pPr>
      <w:r>
        <w:t>The accepted and successfully assigned request contributes its dispatch price/revenue to the reward accumulated for the relevant slot/grid/destination context.</w:t>
      </w:r>
    </w:p>
    <w:p>
      <w:pPr>
        <w:pStyle w:val="Heading1"/>
      </w:pPr>
      <w:r>
        <w:t>11. Stage H — LinUCB/MAB experience and reward</w:t>
      </w:r>
    </w:p>
    <w:p>
      <w:r>
        <w:t>The pricing arm selected for the destination is evaluated using customer feedback and accumulated slot-level revenue. For each relevant experience, store the state/context, selected arm, customer response, and reward information.</w:t>
      </w:r>
    </w:p>
    <w:p>
      <w:r>
        <w:t>Recommended experience structure:</w:t>
      </w:r>
    </w:p>
    <w:p>
      <w:pPr>
        <w:pStyle w:val="ListBullet"/>
      </w:pPr>
      <w:r>
        <w:t>State/context x: predicted demand, available supply, vehicles expected to arrive, destination information, and other already defined state variables.</w:t>
      </w:r>
    </w:p>
    <w:p>
      <w:pPr>
        <w:pStyle w:val="ListBullet"/>
      </w:pPr>
      <w:r>
        <w:t>Optional additional context: base price and base distance for the corresponding weather–time pair.</w:t>
      </w:r>
    </w:p>
    <w:p>
      <w:pPr>
        <w:pStyle w:val="ListBullet"/>
      </w:pPr>
      <w:r>
        <w:t>Action: selected pricing arm/factor.</w:t>
      </w:r>
    </w:p>
    <w:p>
      <w:pPr>
        <w:pStyle w:val="ListBullet"/>
      </w:pPr>
      <w:r>
        <w:t>Feedback: accepted or rejected.</w:t>
      </w:r>
    </w:p>
    <w:p>
      <w:pPr>
        <w:pStyle w:val="ListBullet"/>
      </w:pPr>
      <w:r>
        <w:t>Reward: accumulated dispatch revenue from accepted and successfully served requests for the arm in the relevant slot/context.</w:t>
      </w:r>
    </w:p>
    <w:p>
      <w:pPr>
        <w:pStyle w:val="ListBullet"/>
      </w:pPr>
      <w:r>
        <w:t>Storage: keep the resulting experiences in the common/replay buffer and train each arm using experiences collected across all grids.</w:t>
      </w:r>
    </w:p>
    <w:p>
      <w:pPr>
        <w:pStyle w:val="Heading1"/>
      </w:pPr>
      <w:r>
        <w:t>12. Important distinction: acceptance feedback vs reward</w:t>
      </w:r>
    </w:p>
    <w:p>
      <w:r>
        <w:t>The meeting clarifies that customer acceptance/rejection and final reward should not be treated as the same thing. Acceptance/rejection is immediate behavioural feedback for the offered price. After acceptance, vehicle matching is attempted. The successful dispatch price/revenue is then accumulated into the reward for the relevant arm and slot. Therefore, preserve both fields separately in the implementation: response and reward.</w:t>
      </w:r>
    </w:p>
    <w:p>
      <w:pPr>
        <w:pStyle w:val="Heading1"/>
      </w:pPr>
      <w:r>
        <w:t>13. Final end-to-end implementation flow</w:t>
      </w:r>
    </w:p>
    <w:p>
      <w:r>
        <w:t>1. Load and clean historical trip data.</w:t>
      </w:r>
    </w:p>
    <w:p>
      <w:r>
        <w:t>2. Create weather–time groups (W,T).</w:t>
      </w:r>
    </w:p>
    <w:p>
      <w:r>
        <w:t>3. Choose and compute base/reference price and distance for each group.</w:t>
      </w:r>
    </w:p>
    <w:p>
      <w:r>
        <w:t>4. Calculate normalized historical price and distance changes.</w:t>
      </w:r>
    </w:p>
    <w:p>
      <w:r>
        <w:t>5. Construct the historical sensitivity array ε_i = ΔP_i / ΔD_i.</w:t>
      </w:r>
    </w:p>
    <w:p>
      <w:r>
        <w:t>6. Compute ε̄_{W,T} and σ_{W,T}.</w:t>
      </w:r>
    </w:p>
    <w:p>
      <w:r>
        <w:t>7. At simulation time, generate a customer request with origin, destination, W and T.</w:t>
      </w:r>
    </w:p>
    <w:p>
      <w:r>
        <w:t>8. Sample ε_{O,W,T} from Normal(ε̄_{W,T}, σ_{W,T}).</w:t>
      </w:r>
    </w:p>
    <w:p>
      <w:r>
        <w:t>9. Select the pricing arm and pricing factor α.</w:t>
      </w:r>
    </w:p>
    <w:p>
      <w:r>
        <w:t>10. Calculate the platform's dispatch-price offer.</w:t>
      </w:r>
    </w:p>
    <w:p>
      <w:r>
        <w:t>11. Calculate the customer's maximum acceptable price.</w:t>
      </w:r>
    </w:p>
    <w:p>
      <w:r>
        <w:t>12. Apply the acceptance/rejection rule.</w:t>
      </w:r>
    </w:p>
    <w:p>
      <w:r>
        <w:t>13. Store both accepted and rejected price feedback.</w:t>
      </w:r>
    </w:p>
    <w:p>
      <w:r>
        <w:t>14. For accepted requests, run vehicle contention and assignment.</w:t>
      </w:r>
    </w:p>
    <w:p>
      <w:r>
        <w:t>15. Accumulate successful dispatch revenue as reward.</w:t>
      </w:r>
    </w:p>
    <w:p>
      <w:r>
        <w:t>16. Store state–action–feedback–reward experience.</w:t>
      </w:r>
    </w:p>
    <w:p>
      <w:r>
        <w:t>17. Update/train the corresponding LinUCB/MAB arms using experiences from all grids.</w:t>
      </w:r>
    </w:p>
    <w:p>
      <w:pPr>
        <w:pStyle w:val="Heading1"/>
      </w:pPr>
      <w:r>
        <w:t>14. Coding modules to implement next</w:t>
      </w:r>
    </w:p>
    <w:p>
      <w:r>
        <w:rPr>
          <w:b/>
        </w:rPr>
        <w:t xml:space="preserve">Module 1: Historical preprocessing — </w:t>
      </w:r>
      <w:r>
        <w:t>Build W,T groups and extract price/distance observations.</w:t>
      </w:r>
    </w:p>
    <w:p>
      <w:r>
        <w:rPr>
          <w:b/>
        </w:rPr>
        <w:t xml:space="preserve">Module 2: Base statistics — </w:t>
      </w:r>
      <w:r>
        <w:t>Compute and save base/reference price and distance.</w:t>
      </w:r>
    </w:p>
    <w:p>
      <w:r>
        <w:rPr>
          <w:b/>
        </w:rPr>
        <w:t xml:space="preserve">Module 3: Sensitivity estimator — </w:t>
      </w:r>
      <w:r>
        <w:t>Calculate ε arrays and their mean/std for every W,T.</w:t>
      </w:r>
    </w:p>
    <w:p>
      <w:r>
        <w:rPr>
          <w:b/>
        </w:rPr>
        <w:t xml:space="preserve">Module 4: Customer generator — </w:t>
      </w:r>
      <w:r>
        <w:t>Sample ε for each simulated request.</w:t>
      </w:r>
    </w:p>
    <w:p>
      <w:r>
        <w:rPr>
          <w:b/>
        </w:rPr>
        <w:t xml:space="preserve">Module 5: Pricing interface — </w:t>
      </w:r>
      <w:r>
        <w:t>Receive α from the MAB and calculate P^disp.</w:t>
      </w:r>
    </w:p>
    <w:p>
      <w:r>
        <w:rPr>
          <w:b/>
        </w:rPr>
        <w:t xml:space="preserve">Module 6: Acceptance model — </w:t>
      </w:r>
      <w:r>
        <w:t>Calculate P^max and return accept/reject.</w:t>
      </w:r>
    </w:p>
    <w:p>
      <w:r>
        <w:rPr>
          <w:b/>
        </w:rPr>
        <w:t xml:space="preserve">Module 7: Vehicle matching — </w:t>
      </w:r>
      <w:r>
        <w:t>Run contention/assignment only for accepted requests.</w:t>
      </w:r>
    </w:p>
    <w:p>
      <w:r>
        <w:rPr>
          <w:b/>
        </w:rPr>
        <w:t xml:space="preserve">Module 8: Reward accumulator — </w:t>
      </w:r>
      <w:r>
        <w:t>Accumulate successful dispatch revenue.</w:t>
      </w:r>
    </w:p>
    <w:p>
      <w:r>
        <w:rPr>
          <w:b/>
        </w:rPr>
        <w:t xml:space="preserve">Module 9: Experience buffer — </w:t>
      </w:r>
      <w:r>
        <w:t>Store state, arm, response, and reward.</w:t>
      </w:r>
    </w:p>
    <w:p>
      <w:r>
        <w:rPr>
          <w:b/>
        </w:rPr>
        <w:t xml:space="preserve">Module 10: LinUCB update — </w:t>
      </w:r>
      <w:r>
        <w:t>Train/update arms using experiences pooled across grids.</w:t>
      </w:r>
    </w:p>
    <w:p>
      <w:pPr>
        <w:pStyle w:val="Heading1"/>
      </w:pPr>
      <w:r>
        <w:t>15. Recommended immediate next action</w:t>
      </w:r>
    </w:p>
    <w:p>
      <w:r>
        <w:t>Do not move directly to the full MAB integration. First implement and validate the price-acceptance module independently. Create a small historical dataset, compute ε̄ and σ for a few (W,T) groups, generate sample customers, calculate the offered and maximum acceptable prices, and verify that the acceptance/rejection outputs are sensible. Once this module is stable, connect it to the pricing arm selection and reward pipeline.</w:t>
      </w:r>
    </w:p>
    <w:p>
      <w:pPr>
        <w:pStyle w:val="Heading1"/>
      </w:pPr>
      <w:r>
        <w:t>16. Validation checklist before integration</w:t>
      </w:r>
    </w:p>
    <w:p>
      <w:pPr>
        <w:pStyle w:val="ListBullet"/>
      </w:pPr>
      <w:r>
        <w:t>Every W,T group has enough historical observations.</w:t>
      </w:r>
    </w:p>
    <w:p>
      <w:pPr>
        <w:pStyle w:val="ListBullet"/>
      </w:pPr>
      <w:r>
        <w:t>The base-price/base-distance rule is fixed and used consistently.</w:t>
      </w:r>
    </w:p>
    <w:p>
      <w:pPr>
        <w:pStyle w:val="ListBullet"/>
      </w:pPr>
      <w:r>
        <w:t>Zero denominators and invalid sensitivity values are handled explicitly.</w:t>
      </w:r>
    </w:p>
    <w:p>
      <w:pPr>
        <w:pStyle w:val="ListBullet"/>
      </w:pPr>
      <w:r>
        <w:t>Sampled customer sensitivities are recorded with their W,T group.</w:t>
      </w:r>
    </w:p>
    <w:p>
      <w:pPr>
        <w:pStyle w:val="ListBullet"/>
      </w:pPr>
      <w:r>
        <w:t>Accepted and rejected responses are both stored.</w:t>
      </w:r>
    </w:p>
    <w:p>
      <w:pPr>
        <w:pStyle w:val="ListBullet"/>
      </w:pPr>
      <w:r>
        <w:t>Rejected requests do not enter vehicle matching.</w:t>
      </w:r>
    </w:p>
    <w:p>
      <w:pPr>
        <w:pStyle w:val="ListBullet"/>
      </w:pPr>
      <w:r>
        <w:t>Accepted requests enter vehicle matching.</w:t>
      </w:r>
    </w:p>
    <w:p>
      <w:pPr>
        <w:pStyle w:val="ListBullet"/>
      </w:pPr>
      <w:r>
        <w:t>Reward accumulation is separate from the binary customer response.</w:t>
      </w:r>
    </w:p>
    <w:p>
      <w:pPr>
        <w:pStyle w:val="ListBullet"/>
      </w:pPr>
      <w:r>
        <w:t>The selected pricing arm is stored with every experience.</w:t>
      </w:r>
    </w:p>
    <w:p>
      <w:pPr>
        <w:pStyle w:val="ListBullet"/>
      </w:pPr>
      <w:r>
        <w:t>Cross-grid experiences are available to train the corresponding arm.</w:t>
      </w:r>
    </w:p>
    <w:p>
      <w:pPr>
        <w:pStyle w:val="Heading1"/>
      </w:pPr>
      <w:r>
        <w:t>17. Final architecture summary</w:t>
      </w:r>
    </w:p>
    <w:p>
      <w:r>
        <w:t>Historical Data → W,T grouping → Base Price/Distance → Historical Sensitivity Array → Mean &amp; Std → Customer-Specific Sensitivity → MAB Pricing Factor → Dispatch Price Offer → Customer Maximum Acceptable Price → Accept/Reject Feedback → (if accepted) Vehicle Matching → Successful Dispatch Revenue → Experience Buffer → LinUCB Update.</w:t>
      </w:r>
    </w:p>
    <w:p/>
    <w:p>
      <w:pPr>
        <w:jc w:val="center"/>
      </w:pPr>
      <w:r>
        <w:rPr>
          <w:i/>
        </w:rPr>
        <w:t>Prepared from the two meeting transcripts and the price-acceptance notes provided.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