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65B" w:rsidRDefault="00224016" w:rsidP="00224016">
      <w:pPr>
        <w:jc w:val="center"/>
        <w:rPr>
          <w:rFonts w:ascii="Dutch801 XBd BT" w:hAnsi="Dutch801 XBd BT"/>
          <w:sz w:val="40"/>
          <w:szCs w:val="40"/>
        </w:rPr>
      </w:pPr>
      <w:r w:rsidRPr="00224016">
        <w:rPr>
          <w:rFonts w:ascii="Dutch801 XBd BT" w:hAnsi="Dutch801 XBd BT"/>
          <w:sz w:val="40"/>
          <w:szCs w:val="40"/>
          <w:highlight w:val="yellow"/>
        </w:rPr>
        <w:t>Apexa IQ Day 10</w:t>
      </w:r>
    </w:p>
    <w:p w:rsidR="00224016" w:rsidRDefault="00224016" w:rsidP="00224016">
      <w:pPr>
        <w:rPr>
          <w:rFonts w:ascii="Times New Roman" w:hAnsi="Times New Roman" w:cs="Times New Roman"/>
          <w:i/>
          <w:iCs/>
          <w:color w:val="44546A" w:themeColor="text2"/>
          <w:sz w:val="32"/>
          <w:szCs w:val="32"/>
          <w:u w:val="single"/>
        </w:rPr>
      </w:pPr>
      <w:r>
        <w:rPr>
          <w:rFonts w:ascii="Times New Roman" w:hAnsi="Times New Roman" w:cs="Times New Roman"/>
          <w:i/>
          <w:iCs/>
          <w:color w:val="44546A" w:themeColor="text2"/>
          <w:sz w:val="32"/>
          <w:szCs w:val="32"/>
          <w:u w:val="single"/>
        </w:rPr>
        <w:t>National Vulnerability Database (NVD):</w:t>
      </w:r>
    </w:p>
    <w:p w:rsidR="00224016" w:rsidRPr="00144DD2" w:rsidRDefault="00224016" w:rsidP="00224016">
      <w:pPr>
        <w:rPr>
          <w:rFonts w:ascii="Times New Roman" w:hAnsi="Times New Roman" w:cs="Times New Roman"/>
          <w:b/>
          <w:bCs/>
          <w:i/>
          <w:iCs/>
          <w:color w:val="000000" w:themeColor="text1"/>
          <w:sz w:val="28"/>
          <w:szCs w:val="28"/>
        </w:rPr>
      </w:pPr>
      <w:r w:rsidRPr="00224016">
        <w:rPr>
          <w:rFonts w:ascii="Times New Roman" w:hAnsi="Times New Roman" w:cs="Times New Roman"/>
          <w:i/>
          <w:iCs/>
          <w:color w:val="000000" w:themeColor="text1"/>
          <w:sz w:val="28"/>
          <w:szCs w:val="28"/>
        </w:rPr>
        <w:t xml:space="preserve">The </w:t>
      </w:r>
      <w:r w:rsidRPr="00224016">
        <w:rPr>
          <w:rFonts w:ascii="Times New Roman" w:hAnsi="Times New Roman" w:cs="Times New Roman"/>
          <w:b/>
          <w:bCs/>
          <w:i/>
          <w:iCs/>
          <w:color w:val="000000" w:themeColor="text1"/>
          <w:sz w:val="28"/>
          <w:szCs w:val="28"/>
        </w:rPr>
        <w:t>National Vulnerability Database (NVD)</w:t>
      </w:r>
      <w:r w:rsidRPr="00224016">
        <w:rPr>
          <w:rFonts w:ascii="Times New Roman" w:hAnsi="Times New Roman" w:cs="Times New Roman"/>
          <w:i/>
          <w:iCs/>
          <w:color w:val="000000" w:themeColor="text1"/>
          <w:sz w:val="28"/>
          <w:szCs w:val="28"/>
        </w:rPr>
        <w:t xml:space="preserve"> is a publicly available repository of information on security vulnerabilities. It is managed by the </w:t>
      </w:r>
      <w:r w:rsidRPr="00224016">
        <w:rPr>
          <w:rFonts w:ascii="Times New Roman" w:hAnsi="Times New Roman" w:cs="Times New Roman"/>
          <w:b/>
          <w:bCs/>
          <w:i/>
          <w:iCs/>
          <w:color w:val="000000" w:themeColor="text1"/>
          <w:sz w:val="28"/>
          <w:szCs w:val="28"/>
        </w:rPr>
        <w:t>National Institute of Standards and Technology (NIST)</w:t>
      </w:r>
      <w:r w:rsidRPr="00224016">
        <w:rPr>
          <w:rFonts w:ascii="Times New Roman" w:hAnsi="Times New Roman" w:cs="Times New Roman"/>
          <w:i/>
          <w:iCs/>
          <w:color w:val="000000" w:themeColor="text1"/>
          <w:sz w:val="28"/>
          <w:szCs w:val="28"/>
        </w:rPr>
        <w:t xml:space="preserve"> under the U.S. Department of Commerce. The database serves as a central resource </w:t>
      </w:r>
      <w:r w:rsidRPr="00144DD2">
        <w:rPr>
          <w:rFonts w:ascii="Times New Roman" w:hAnsi="Times New Roman" w:cs="Times New Roman"/>
          <w:b/>
          <w:bCs/>
          <w:i/>
          <w:iCs/>
          <w:color w:val="000000" w:themeColor="text1"/>
          <w:sz w:val="28"/>
          <w:szCs w:val="28"/>
        </w:rPr>
        <w:t>for security professionals, researchers, and organizations to track, assess, and mitigate cybersecurity risks.</w:t>
      </w:r>
    </w:p>
    <w:p w:rsidR="00224016" w:rsidRPr="00224016" w:rsidRDefault="00224016" w:rsidP="00224016">
      <w:pPr>
        <w:rPr>
          <w:rFonts w:ascii="Times New Roman" w:hAnsi="Times New Roman" w:cs="Times New Roman"/>
          <w:i/>
          <w:iCs/>
          <w:color w:val="000000" w:themeColor="text1"/>
          <w:sz w:val="28"/>
          <w:szCs w:val="28"/>
        </w:rPr>
      </w:pPr>
      <w:r w:rsidRPr="00224016">
        <w:rPr>
          <w:rFonts w:ascii="Times New Roman" w:hAnsi="Times New Roman" w:cs="Times New Roman"/>
          <w:i/>
          <w:iCs/>
          <w:color w:val="000000" w:themeColor="text1"/>
          <w:sz w:val="28"/>
          <w:szCs w:val="28"/>
        </w:rPr>
        <w:t xml:space="preserve">The NVD provides </w:t>
      </w:r>
      <w:r w:rsidRPr="00224016">
        <w:rPr>
          <w:rFonts w:ascii="Times New Roman" w:hAnsi="Times New Roman" w:cs="Times New Roman"/>
          <w:b/>
          <w:bCs/>
          <w:i/>
          <w:iCs/>
          <w:color w:val="000000" w:themeColor="text1"/>
          <w:sz w:val="28"/>
          <w:szCs w:val="28"/>
        </w:rPr>
        <w:t>standardized information</w:t>
      </w:r>
      <w:r w:rsidRPr="00224016">
        <w:rPr>
          <w:rFonts w:ascii="Times New Roman" w:hAnsi="Times New Roman" w:cs="Times New Roman"/>
          <w:i/>
          <w:iCs/>
          <w:color w:val="000000" w:themeColor="text1"/>
          <w:sz w:val="28"/>
          <w:szCs w:val="28"/>
        </w:rPr>
        <w:t xml:space="preserve"> on vulnerabilities, including severity ratings, impact metrics, and links to mitigation strategies. It is primarily based on the </w:t>
      </w:r>
      <w:r w:rsidRPr="00224016">
        <w:rPr>
          <w:rFonts w:ascii="Times New Roman" w:hAnsi="Times New Roman" w:cs="Times New Roman"/>
          <w:b/>
          <w:bCs/>
          <w:i/>
          <w:iCs/>
          <w:color w:val="000000" w:themeColor="text1"/>
          <w:sz w:val="28"/>
          <w:szCs w:val="28"/>
        </w:rPr>
        <w:t>Common Vulnerabilities and Exposures (CVE) system</w:t>
      </w:r>
      <w:r w:rsidRPr="00224016">
        <w:rPr>
          <w:rFonts w:ascii="Times New Roman" w:hAnsi="Times New Roman" w:cs="Times New Roman"/>
          <w:i/>
          <w:iCs/>
          <w:color w:val="000000" w:themeColor="text1"/>
          <w:sz w:val="28"/>
          <w:szCs w:val="28"/>
        </w:rPr>
        <w:t>, meaning each entry in the NVD corresponds to a specific CVE identifier.</w:t>
      </w:r>
    </w:p>
    <w:p w:rsidR="00224016" w:rsidRDefault="00224016" w:rsidP="00224016">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There are some terminologies are associated with NVD, these are given below:</w:t>
      </w:r>
    </w:p>
    <w:p w:rsidR="00224016" w:rsidRDefault="00224016" w:rsidP="00224016">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Common Vulnerabilities and Exposures:</w:t>
      </w:r>
    </w:p>
    <w:p w:rsidR="00224016" w:rsidRDefault="00224016" w:rsidP="00224016">
      <w:pPr>
        <w:pStyle w:val="ListParagrap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Common Vulnerabilities and Exposures (CVE) is a </w:t>
      </w:r>
      <w:r w:rsidRPr="00224016">
        <w:rPr>
          <w:rFonts w:ascii="Times New Roman" w:hAnsi="Times New Roman" w:cs="Times New Roman"/>
          <w:i/>
          <w:iCs/>
          <w:color w:val="000000" w:themeColor="text1"/>
          <w:sz w:val="28"/>
          <w:szCs w:val="28"/>
        </w:rPr>
        <w:t xml:space="preserve">publicly accessible database that </w:t>
      </w:r>
      <w:r w:rsidRPr="00144DD2">
        <w:rPr>
          <w:rFonts w:ascii="Times New Roman" w:hAnsi="Times New Roman" w:cs="Times New Roman"/>
          <w:b/>
          <w:bCs/>
          <w:i/>
          <w:iCs/>
          <w:color w:val="000000" w:themeColor="text1"/>
          <w:sz w:val="28"/>
          <w:szCs w:val="28"/>
        </w:rPr>
        <w:t xml:space="preserve">identifies and </w:t>
      </w:r>
      <w:proofErr w:type="spellStart"/>
      <w:r w:rsidRPr="00144DD2">
        <w:rPr>
          <w:rFonts w:ascii="Times New Roman" w:hAnsi="Times New Roman" w:cs="Times New Roman"/>
          <w:b/>
          <w:bCs/>
          <w:i/>
          <w:iCs/>
          <w:color w:val="000000" w:themeColor="text1"/>
          <w:sz w:val="28"/>
          <w:szCs w:val="28"/>
        </w:rPr>
        <w:t>catalogs</w:t>
      </w:r>
      <w:proofErr w:type="spellEnd"/>
      <w:r w:rsidRPr="00144DD2">
        <w:rPr>
          <w:rFonts w:ascii="Times New Roman" w:hAnsi="Times New Roman" w:cs="Times New Roman"/>
          <w:b/>
          <w:bCs/>
          <w:i/>
          <w:iCs/>
          <w:color w:val="000000" w:themeColor="text1"/>
          <w:sz w:val="28"/>
          <w:szCs w:val="28"/>
        </w:rPr>
        <w:t xml:space="preserve"> known security vulnerabilities in software and hardware</w:t>
      </w:r>
      <w:r w:rsidRPr="00224016">
        <w:rPr>
          <w:rFonts w:ascii="Times New Roman" w:hAnsi="Times New Roman" w:cs="Times New Roman"/>
          <w:i/>
          <w:iCs/>
          <w:color w:val="000000" w:themeColor="text1"/>
          <w:sz w:val="28"/>
          <w:szCs w:val="28"/>
        </w:rPr>
        <w:t xml:space="preserve">, assigning each vulnerability </w:t>
      </w:r>
      <w:r w:rsidRPr="00144DD2">
        <w:rPr>
          <w:rFonts w:ascii="Times New Roman" w:hAnsi="Times New Roman" w:cs="Times New Roman"/>
          <w:b/>
          <w:bCs/>
          <w:i/>
          <w:iCs/>
          <w:color w:val="000000" w:themeColor="text1"/>
          <w:sz w:val="28"/>
          <w:szCs w:val="28"/>
        </w:rPr>
        <w:t>a unique identifier</w:t>
      </w:r>
      <w:r w:rsidRPr="00224016">
        <w:rPr>
          <w:rFonts w:ascii="Times New Roman" w:hAnsi="Times New Roman" w:cs="Times New Roman"/>
          <w:i/>
          <w:iCs/>
          <w:color w:val="000000" w:themeColor="text1"/>
          <w:sz w:val="28"/>
          <w:szCs w:val="28"/>
        </w:rPr>
        <w:t xml:space="preserve"> to facilitate information sharing and prioritization of fixes; essentially, CVE is the core data source used by NVD to list vulnerabilities. </w:t>
      </w:r>
    </w:p>
    <w:p w:rsidR="00224016" w:rsidRDefault="00224016" w:rsidP="00224016">
      <w:pPr>
        <w:pStyle w:val="ListParagraph"/>
        <w:rPr>
          <w:rFonts w:ascii="Times New Roman" w:hAnsi="Times New Roman" w:cs="Times New Roman"/>
          <w:i/>
          <w:iCs/>
          <w:color w:val="000000" w:themeColor="text1"/>
          <w:sz w:val="28"/>
          <w:szCs w:val="28"/>
        </w:rPr>
      </w:pPr>
    </w:p>
    <w:p w:rsidR="00224016" w:rsidRDefault="00224016" w:rsidP="00224016">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CVSS:</w:t>
      </w:r>
    </w:p>
    <w:p w:rsidR="00224016" w:rsidRDefault="00224016" w:rsidP="00224016">
      <w:pPr>
        <w:pStyle w:val="ListParagrap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CVSS stands for </w:t>
      </w:r>
      <w:r w:rsidRPr="00144DD2">
        <w:rPr>
          <w:rFonts w:ascii="Times New Roman" w:hAnsi="Times New Roman" w:cs="Times New Roman"/>
          <w:b/>
          <w:bCs/>
          <w:i/>
          <w:iCs/>
          <w:color w:val="000000" w:themeColor="text1"/>
          <w:sz w:val="28"/>
          <w:szCs w:val="28"/>
        </w:rPr>
        <w:t>Common Vulnerability Scoring System</w:t>
      </w:r>
      <w:r>
        <w:rPr>
          <w:rFonts w:ascii="Times New Roman" w:hAnsi="Times New Roman" w:cs="Times New Roman"/>
          <w:i/>
          <w:iCs/>
          <w:color w:val="000000" w:themeColor="text1"/>
          <w:sz w:val="28"/>
          <w:szCs w:val="28"/>
        </w:rPr>
        <w:t xml:space="preserve"> and with the help of this NVD assigns </w:t>
      </w:r>
      <w:r w:rsidRPr="00144DD2">
        <w:rPr>
          <w:rFonts w:ascii="Times New Roman" w:hAnsi="Times New Roman" w:cs="Times New Roman"/>
          <w:b/>
          <w:bCs/>
          <w:i/>
          <w:iCs/>
          <w:color w:val="000000" w:themeColor="text1"/>
          <w:sz w:val="28"/>
          <w:szCs w:val="28"/>
        </w:rPr>
        <w:t>a severity score</w:t>
      </w:r>
      <w:r>
        <w:rPr>
          <w:rFonts w:ascii="Times New Roman" w:hAnsi="Times New Roman" w:cs="Times New Roman"/>
          <w:i/>
          <w:iCs/>
          <w:color w:val="000000" w:themeColor="text1"/>
          <w:sz w:val="28"/>
          <w:szCs w:val="28"/>
        </w:rPr>
        <w:t xml:space="preserve"> helping organization prioritize their vulnerabilities.</w:t>
      </w:r>
    </w:p>
    <w:p w:rsidR="00224016" w:rsidRDefault="00224016" w:rsidP="00224016">
      <w:pPr>
        <w:pStyle w:val="ListParagraph"/>
        <w:rPr>
          <w:rFonts w:ascii="Times New Roman" w:hAnsi="Times New Roman" w:cs="Times New Roman"/>
          <w:i/>
          <w:iCs/>
          <w:color w:val="000000" w:themeColor="text1"/>
          <w:sz w:val="28"/>
          <w:szCs w:val="28"/>
        </w:rPr>
      </w:pPr>
    </w:p>
    <w:p w:rsidR="00224016" w:rsidRDefault="00224016" w:rsidP="00224016">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Common Platform Enumeration:</w:t>
      </w:r>
    </w:p>
    <w:p w:rsidR="00224016" w:rsidRDefault="00224016" w:rsidP="00224016">
      <w:pPr>
        <w:pStyle w:val="ListParagraph"/>
        <w:rPr>
          <w:rFonts w:ascii="Times New Roman" w:hAnsi="Times New Roman" w:cs="Times New Roman"/>
          <w:i/>
          <w:iCs/>
          <w:color w:val="000000" w:themeColor="text1"/>
          <w:sz w:val="28"/>
          <w:szCs w:val="28"/>
        </w:rPr>
      </w:pPr>
      <w:r w:rsidRPr="00144DD2">
        <w:rPr>
          <w:rFonts w:ascii="Times New Roman" w:hAnsi="Times New Roman" w:cs="Times New Roman"/>
          <w:b/>
          <w:bCs/>
          <w:i/>
          <w:iCs/>
          <w:color w:val="000000" w:themeColor="text1"/>
          <w:sz w:val="28"/>
          <w:szCs w:val="28"/>
        </w:rPr>
        <w:t>Common Platform Enumeration</w:t>
      </w:r>
      <w:r>
        <w:rPr>
          <w:rFonts w:ascii="Times New Roman" w:hAnsi="Times New Roman" w:cs="Times New Roman"/>
          <w:i/>
          <w:iCs/>
          <w:color w:val="000000" w:themeColor="text1"/>
          <w:sz w:val="28"/>
          <w:szCs w:val="28"/>
        </w:rPr>
        <w:t xml:space="preserve"> (CPE) is standardized way of </w:t>
      </w:r>
      <w:r w:rsidRPr="00144DD2">
        <w:rPr>
          <w:rFonts w:ascii="Times New Roman" w:hAnsi="Times New Roman" w:cs="Times New Roman"/>
          <w:b/>
          <w:bCs/>
          <w:i/>
          <w:iCs/>
          <w:color w:val="000000" w:themeColor="text1"/>
          <w:sz w:val="28"/>
          <w:szCs w:val="28"/>
        </w:rPr>
        <w:t xml:space="preserve">naming </w:t>
      </w:r>
      <w:r w:rsidR="009C211D" w:rsidRPr="00144DD2">
        <w:rPr>
          <w:rFonts w:ascii="Times New Roman" w:hAnsi="Times New Roman" w:cs="Times New Roman"/>
          <w:b/>
          <w:bCs/>
          <w:i/>
          <w:iCs/>
          <w:color w:val="000000" w:themeColor="text1"/>
          <w:sz w:val="28"/>
          <w:szCs w:val="28"/>
        </w:rPr>
        <w:t>and identifying software products</w:t>
      </w:r>
      <w:r w:rsidR="009C211D">
        <w:rPr>
          <w:rFonts w:ascii="Times New Roman" w:hAnsi="Times New Roman" w:cs="Times New Roman"/>
          <w:i/>
          <w:iCs/>
          <w:color w:val="000000" w:themeColor="text1"/>
          <w:sz w:val="28"/>
          <w:szCs w:val="28"/>
        </w:rPr>
        <w:t xml:space="preserve">, allowing for a specific identification of </w:t>
      </w:r>
      <w:r w:rsidR="009C211D" w:rsidRPr="00144DD2">
        <w:rPr>
          <w:rFonts w:ascii="Times New Roman" w:hAnsi="Times New Roman" w:cs="Times New Roman"/>
          <w:b/>
          <w:bCs/>
          <w:i/>
          <w:iCs/>
          <w:color w:val="000000" w:themeColor="text1"/>
          <w:sz w:val="28"/>
          <w:szCs w:val="28"/>
        </w:rPr>
        <w:t>specific versions</w:t>
      </w:r>
      <w:r w:rsidR="009C211D">
        <w:rPr>
          <w:rFonts w:ascii="Times New Roman" w:hAnsi="Times New Roman" w:cs="Times New Roman"/>
          <w:i/>
          <w:iCs/>
          <w:color w:val="000000" w:themeColor="text1"/>
          <w:sz w:val="28"/>
          <w:szCs w:val="28"/>
        </w:rPr>
        <w:t xml:space="preserve"> of systems when discussing vulnerabilities within the NVD database. </w:t>
      </w:r>
    </w:p>
    <w:p w:rsidR="009C211D" w:rsidRDefault="009C211D" w:rsidP="00224016">
      <w:pPr>
        <w:pStyle w:val="ListParagraph"/>
        <w:rPr>
          <w:rFonts w:ascii="Times New Roman" w:hAnsi="Times New Roman" w:cs="Times New Roman"/>
          <w:i/>
          <w:iCs/>
          <w:color w:val="000000" w:themeColor="text1"/>
          <w:sz w:val="28"/>
          <w:szCs w:val="28"/>
        </w:rPr>
      </w:pPr>
    </w:p>
    <w:p w:rsidR="009C211D" w:rsidRDefault="009C211D" w:rsidP="009C211D">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CWE:</w:t>
      </w:r>
    </w:p>
    <w:p w:rsidR="009C211D" w:rsidRDefault="009C211D" w:rsidP="009C211D">
      <w:pPr>
        <w:pStyle w:val="ListParagrap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CWE stands for </w:t>
      </w:r>
      <w:r w:rsidRPr="00144DD2">
        <w:rPr>
          <w:rFonts w:ascii="Times New Roman" w:hAnsi="Times New Roman" w:cs="Times New Roman"/>
          <w:b/>
          <w:bCs/>
          <w:i/>
          <w:iCs/>
          <w:color w:val="000000" w:themeColor="text1"/>
          <w:sz w:val="28"/>
          <w:szCs w:val="28"/>
        </w:rPr>
        <w:t>Common Weakness Enumeration</w:t>
      </w:r>
      <w:r>
        <w:rPr>
          <w:rFonts w:ascii="Times New Roman" w:hAnsi="Times New Roman" w:cs="Times New Roman"/>
          <w:i/>
          <w:iCs/>
          <w:color w:val="000000" w:themeColor="text1"/>
          <w:sz w:val="28"/>
          <w:szCs w:val="28"/>
        </w:rPr>
        <w:t xml:space="preserve">, </w:t>
      </w:r>
      <w:r w:rsidRPr="009C211D">
        <w:rPr>
          <w:rFonts w:ascii="Times New Roman" w:hAnsi="Times New Roman" w:cs="Times New Roman"/>
          <w:i/>
          <w:iCs/>
          <w:color w:val="000000" w:themeColor="text1"/>
          <w:sz w:val="28"/>
          <w:szCs w:val="28"/>
        </w:rPr>
        <w:t xml:space="preserve">which is a categorized list of common </w:t>
      </w:r>
      <w:r w:rsidRPr="00144DD2">
        <w:rPr>
          <w:rFonts w:ascii="Times New Roman" w:hAnsi="Times New Roman" w:cs="Times New Roman"/>
          <w:b/>
          <w:bCs/>
          <w:i/>
          <w:iCs/>
          <w:color w:val="000000" w:themeColor="text1"/>
          <w:sz w:val="28"/>
          <w:szCs w:val="28"/>
        </w:rPr>
        <w:t>software and hardware weaknesses</w:t>
      </w:r>
      <w:r w:rsidRPr="009C211D">
        <w:rPr>
          <w:rFonts w:ascii="Times New Roman" w:hAnsi="Times New Roman" w:cs="Times New Roman"/>
          <w:i/>
          <w:iCs/>
          <w:color w:val="000000" w:themeColor="text1"/>
          <w:sz w:val="28"/>
          <w:szCs w:val="28"/>
        </w:rPr>
        <w:t xml:space="preserve"> that can potentially lead to security vulnerabilities, allowing analysts to classify the root cause of a vulnerability within a CVE entry by linking it to a specific CWE identifier. </w:t>
      </w:r>
    </w:p>
    <w:p w:rsidR="009C211D" w:rsidRPr="008608A2" w:rsidRDefault="008608A2" w:rsidP="008608A2">
      <w:pPr>
        <w:rPr>
          <w:rFonts w:ascii="Times New Roman" w:hAnsi="Times New Roman" w:cs="Times New Roman"/>
          <w:i/>
          <w:iCs/>
          <w:color w:val="44546A" w:themeColor="text2"/>
          <w:sz w:val="32"/>
          <w:szCs w:val="32"/>
          <w:u w:val="single"/>
        </w:rPr>
      </w:pPr>
      <w:r w:rsidRPr="008608A2">
        <w:rPr>
          <w:rFonts w:ascii="Times New Roman" w:hAnsi="Times New Roman" w:cs="Times New Roman"/>
          <w:i/>
          <w:iCs/>
          <w:color w:val="44546A" w:themeColor="text2"/>
          <w:sz w:val="32"/>
          <w:szCs w:val="32"/>
          <w:u w:val="single"/>
        </w:rPr>
        <w:lastRenderedPageBreak/>
        <w:t>Working of NVD:</w:t>
      </w:r>
    </w:p>
    <w:p w:rsidR="008608A2" w:rsidRPr="008608A2" w:rsidRDefault="008608A2" w:rsidP="008608A2">
      <w:pPr>
        <w:pStyle w:val="ListParagraph"/>
        <w:numPr>
          <w:ilvl w:val="0"/>
          <w:numId w:val="6"/>
        </w:num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 xml:space="preserve">  </w:t>
      </w:r>
      <w:r w:rsidRPr="008608A2">
        <w:rPr>
          <w:rFonts w:ascii="Times New Roman" w:hAnsi="Times New Roman" w:cs="Times New Roman"/>
          <w:b/>
          <w:bCs/>
          <w:i/>
          <w:iCs/>
          <w:color w:val="000000" w:themeColor="text1"/>
          <w:sz w:val="28"/>
          <w:szCs w:val="28"/>
        </w:rPr>
        <w:t>Data Collection</w:t>
      </w:r>
    </w:p>
    <w:p w:rsidR="008608A2" w:rsidRPr="008608A2" w:rsidRDefault="008608A2" w:rsidP="008608A2">
      <w:pPr>
        <w:numPr>
          <w:ilvl w:val="0"/>
          <w:numId w:val="2"/>
        </w:num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 xml:space="preserve">The NVD ingests vulnerability data primarily from the </w:t>
      </w:r>
      <w:r w:rsidRPr="008608A2">
        <w:rPr>
          <w:rFonts w:ascii="Times New Roman" w:hAnsi="Times New Roman" w:cs="Times New Roman"/>
          <w:b/>
          <w:bCs/>
          <w:i/>
          <w:iCs/>
          <w:color w:val="000000" w:themeColor="text1"/>
          <w:sz w:val="28"/>
          <w:szCs w:val="28"/>
        </w:rPr>
        <w:t>CVE list</w:t>
      </w:r>
      <w:r w:rsidRPr="008608A2">
        <w:rPr>
          <w:rFonts w:ascii="Times New Roman" w:hAnsi="Times New Roman" w:cs="Times New Roman"/>
          <w:i/>
          <w:iCs/>
          <w:color w:val="000000" w:themeColor="text1"/>
          <w:sz w:val="28"/>
          <w:szCs w:val="28"/>
        </w:rPr>
        <w:t>, managed by MITRE Corporation.</w:t>
      </w:r>
    </w:p>
    <w:p w:rsidR="008608A2" w:rsidRPr="008608A2" w:rsidRDefault="008608A2" w:rsidP="008608A2">
      <w:pPr>
        <w:numPr>
          <w:ilvl w:val="0"/>
          <w:numId w:val="2"/>
        </w:num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Vendors, researchers, and organizations submit vulnerability reports to the CVE system.</w:t>
      </w:r>
    </w:p>
    <w:p w:rsidR="008608A2" w:rsidRPr="008608A2" w:rsidRDefault="008608A2" w:rsidP="008608A2">
      <w:pPr>
        <w:pStyle w:val="ListParagraph"/>
        <w:numPr>
          <w:ilvl w:val="0"/>
          <w:numId w:val="6"/>
        </w:num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 xml:space="preserve"> </w:t>
      </w:r>
      <w:r w:rsidRPr="008608A2">
        <w:rPr>
          <w:rFonts w:ascii="Times New Roman" w:hAnsi="Times New Roman" w:cs="Times New Roman"/>
          <w:b/>
          <w:bCs/>
          <w:i/>
          <w:iCs/>
          <w:color w:val="000000" w:themeColor="text1"/>
          <w:sz w:val="28"/>
          <w:szCs w:val="28"/>
        </w:rPr>
        <w:t>Analysis and Scoring</w:t>
      </w:r>
    </w:p>
    <w:p w:rsidR="008608A2" w:rsidRPr="008608A2" w:rsidRDefault="008608A2" w:rsidP="008608A2">
      <w:pPr>
        <w:numPr>
          <w:ilvl w:val="0"/>
          <w:numId w:val="3"/>
        </w:num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 xml:space="preserve">NVD analysts enrich the data by assigning </w:t>
      </w:r>
      <w:r w:rsidRPr="008608A2">
        <w:rPr>
          <w:rFonts w:ascii="Times New Roman" w:hAnsi="Times New Roman" w:cs="Times New Roman"/>
          <w:b/>
          <w:bCs/>
          <w:i/>
          <w:iCs/>
          <w:color w:val="000000" w:themeColor="text1"/>
          <w:sz w:val="28"/>
          <w:szCs w:val="28"/>
        </w:rPr>
        <w:t>CVSS scores</w:t>
      </w:r>
      <w:r w:rsidRPr="008608A2">
        <w:rPr>
          <w:rFonts w:ascii="Times New Roman" w:hAnsi="Times New Roman" w:cs="Times New Roman"/>
          <w:i/>
          <w:iCs/>
          <w:color w:val="000000" w:themeColor="text1"/>
          <w:sz w:val="28"/>
          <w:szCs w:val="28"/>
        </w:rPr>
        <w:t xml:space="preserve">, mapping vulnerabilities to </w:t>
      </w:r>
      <w:r w:rsidRPr="008608A2">
        <w:rPr>
          <w:rFonts w:ascii="Times New Roman" w:hAnsi="Times New Roman" w:cs="Times New Roman"/>
          <w:b/>
          <w:bCs/>
          <w:i/>
          <w:iCs/>
          <w:color w:val="000000" w:themeColor="text1"/>
          <w:sz w:val="28"/>
          <w:szCs w:val="28"/>
        </w:rPr>
        <w:t>CWE categories</w:t>
      </w:r>
      <w:r w:rsidRPr="008608A2">
        <w:rPr>
          <w:rFonts w:ascii="Times New Roman" w:hAnsi="Times New Roman" w:cs="Times New Roman"/>
          <w:i/>
          <w:iCs/>
          <w:color w:val="000000" w:themeColor="text1"/>
          <w:sz w:val="28"/>
          <w:szCs w:val="28"/>
        </w:rPr>
        <w:t>, and linking relevant security advisories.</w:t>
      </w:r>
    </w:p>
    <w:p w:rsidR="008608A2" w:rsidRPr="008608A2" w:rsidRDefault="008608A2" w:rsidP="008608A2">
      <w:pPr>
        <w:pStyle w:val="ListParagraph"/>
        <w:numPr>
          <w:ilvl w:val="0"/>
          <w:numId w:val="6"/>
        </w:numPr>
        <w:rPr>
          <w:rFonts w:ascii="Times New Roman" w:hAnsi="Times New Roman" w:cs="Times New Roman"/>
          <w:i/>
          <w:iCs/>
          <w:color w:val="000000" w:themeColor="text1"/>
          <w:sz w:val="28"/>
          <w:szCs w:val="28"/>
        </w:rPr>
      </w:pPr>
      <w:r w:rsidRPr="008608A2">
        <w:rPr>
          <w:rFonts w:ascii="Times New Roman" w:hAnsi="Times New Roman" w:cs="Times New Roman"/>
          <w:b/>
          <w:bCs/>
          <w:i/>
          <w:iCs/>
          <w:color w:val="000000" w:themeColor="text1"/>
          <w:sz w:val="28"/>
          <w:szCs w:val="28"/>
        </w:rPr>
        <w:t>Publication and Updates</w:t>
      </w:r>
    </w:p>
    <w:p w:rsidR="008608A2" w:rsidRPr="008608A2" w:rsidRDefault="008608A2" w:rsidP="008608A2">
      <w:pPr>
        <w:numPr>
          <w:ilvl w:val="0"/>
          <w:numId w:val="4"/>
        </w:num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Once validated, the vulnerabilities are published in the NVD, making them accessible via search, RSS feeds, and API integrations.</w:t>
      </w:r>
    </w:p>
    <w:p w:rsidR="008608A2" w:rsidRPr="008608A2" w:rsidRDefault="008608A2" w:rsidP="008608A2">
      <w:pPr>
        <w:pStyle w:val="ListParagraph"/>
        <w:numPr>
          <w:ilvl w:val="0"/>
          <w:numId w:val="6"/>
        </w:num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 xml:space="preserve">  </w:t>
      </w:r>
      <w:r w:rsidRPr="008608A2">
        <w:rPr>
          <w:rFonts w:ascii="Times New Roman" w:hAnsi="Times New Roman" w:cs="Times New Roman"/>
          <w:b/>
          <w:bCs/>
          <w:i/>
          <w:iCs/>
          <w:color w:val="000000" w:themeColor="text1"/>
          <w:sz w:val="28"/>
          <w:szCs w:val="28"/>
        </w:rPr>
        <w:t>Integration with Security Tools</w:t>
      </w:r>
    </w:p>
    <w:p w:rsidR="008608A2" w:rsidRDefault="008608A2" w:rsidP="008608A2">
      <w:pPr>
        <w:numPr>
          <w:ilvl w:val="0"/>
          <w:numId w:val="5"/>
        </w:num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Many cybersecurity tools (e.g., vulnerability scanners, SIEMs) integrate with NVD to enhance security monitoring.</w:t>
      </w:r>
    </w:p>
    <w:p w:rsidR="008608A2" w:rsidRDefault="008608A2" w:rsidP="008608A2">
      <w:pPr>
        <w:rPr>
          <w:rFonts w:ascii="Times New Roman" w:hAnsi="Times New Roman" w:cs="Times New Roman"/>
          <w:i/>
          <w:iCs/>
          <w:color w:val="000000" w:themeColor="text1"/>
          <w:sz w:val="28"/>
          <w:szCs w:val="28"/>
        </w:rPr>
      </w:pPr>
    </w:p>
    <w:p w:rsidR="008608A2" w:rsidRDefault="008608A2" w:rsidP="008608A2">
      <w:pPr>
        <w:rPr>
          <w:rFonts w:ascii="Times New Roman" w:hAnsi="Times New Roman" w:cs="Times New Roman"/>
          <w:i/>
          <w:iCs/>
          <w:color w:val="000000" w:themeColor="text1"/>
          <w:sz w:val="28"/>
          <w:szCs w:val="28"/>
        </w:rPr>
      </w:pPr>
    </w:p>
    <w:p w:rsidR="008608A2" w:rsidRPr="008608A2" w:rsidRDefault="008608A2" w:rsidP="008608A2">
      <w:pPr>
        <w:rPr>
          <w:rFonts w:ascii="Times New Roman" w:hAnsi="Times New Roman" w:cs="Times New Roman"/>
          <w:i/>
          <w:iCs/>
          <w:color w:val="44546A" w:themeColor="text2"/>
          <w:sz w:val="32"/>
          <w:szCs w:val="32"/>
          <w:u w:val="single"/>
        </w:rPr>
      </w:pPr>
      <w:r w:rsidRPr="008608A2">
        <w:rPr>
          <w:rFonts w:ascii="Times New Roman" w:hAnsi="Times New Roman" w:cs="Times New Roman"/>
          <w:i/>
          <w:iCs/>
          <w:color w:val="44546A" w:themeColor="text2"/>
          <w:sz w:val="32"/>
          <w:szCs w:val="32"/>
          <w:u w:val="single"/>
        </w:rPr>
        <w:t>What Scoring Information is Provided for Each Vulnerability?</w:t>
      </w:r>
    </w:p>
    <w:p w:rsidR="008608A2" w:rsidRPr="008608A2" w:rsidRDefault="008608A2" w:rsidP="008608A2">
      <w:pPr>
        <w:rPr>
          <w:rFonts w:ascii="Times New Roman" w:hAnsi="Times New Roman" w:cs="Times New Roman"/>
          <w:i/>
          <w:iCs/>
          <w:color w:val="000000" w:themeColor="text1"/>
          <w:sz w:val="28"/>
          <w:szCs w:val="28"/>
        </w:rPr>
      </w:pPr>
      <w:r w:rsidRPr="008608A2">
        <w:rPr>
          <w:rFonts w:ascii="Times New Roman" w:hAnsi="Times New Roman" w:cs="Times New Roman"/>
          <w:i/>
          <w:iCs/>
          <w:color w:val="000000" w:themeColor="text1"/>
          <w:sz w:val="28"/>
          <w:szCs w:val="28"/>
        </w:rPr>
        <w:t>The </w:t>
      </w:r>
      <w:hyperlink r:id="rId7" w:tgtFrame="_blank" w:history="1">
        <w:r w:rsidRPr="008608A2">
          <w:rPr>
            <w:rStyle w:val="Hyperlink"/>
            <w:rFonts w:ascii="Times New Roman" w:hAnsi="Times New Roman" w:cs="Times New Roman"/>
            <w:i/>
            <w:iCs/>
            <w:color w:val="000000" w:themeColor="text1"/>
            <w:sz w:val="28"/>
            <w:szCs w:val="28"/>
            <w:u w:val="none"/>
          </w:rPr>
          <w:t>Common Vulnerability Scoring System</w:t>
        </w:r>
      </w:hyperlink>
      <w:r w:rsidRPr="008608A2">
        <w:rPr>
          <w:rFonts w:ascii="Times New Roman" w:hAnsi="Times New Roman" w:cs="Times New Roman"/>
          <w:i/>
          <w:iCs/>
          <w:color w:val="000000" w:themeColor="text1"/>
          <w:sz w:val="28"/>
          <w:szCs w:val="28"/>
        </w:rPr>
        <w:t> (CVSS) is an open set of standards used to assess a vulnerability and assign a severity on a scale of 0 to 10. The NVD provides CVSS ‘base scores’ which represent the innate characteristics of each vulnerability. The severity ratings as per CVSS v3.0 specifications are:</w:t>
      </w:r>
    </w:p>
    <w:tbl>
      <w:tblPr>
        <w:tblStyle w:val="TableGrid"/>
        <w:tblW w:w="0" w:type="auto"/>
        <w:tblInd w:w="2664" w:type="dxa"/>
        <w:tblLook w:val="04A0" w:firstRow="1" w:lastRow="0" w:firstColumn="1" w:lastColumn="0" w:noHBand="0" w:noVBand="1"/>
      </w:tblPr>
      <w:tblGrid>
        <w:gridCol w:w="1838"/>
        <w:gridCol w:w="1843"/>
      </w:tblGrid>
      <w:tr w:rsidR="008608A2" w:rsidTr="00446570">
        <w:tc>
          <w:tcPr>
            <w:tcW w:w="1838" w:type="dxa"/>
          </w:tcPr>
          <w:p w:rsidR="008608A2" w:rsidRPr="008608A2" w:rsidRDefault="008608A2" w:rsidP="008608A2">
            <w:pPr>
              <w:rPr>
                <w:rFonts w:ascii="Times New Roman" w:hAnsi="Times New Roman" w:cs="Times New Roman"/>
                <w:b/>
                <w:bCs/>
                <w:i/>
                <w:iCs/>
                <w:color w:val="000000" w:themeColor="text1"/>
                <w:sz w:val="28"/>
                <w:szCs w:val="28"/>
              </w:rPr>
            </w:pPr>
            <w:r w:rsidRPr="008608A2">
              <w:rPr>
                <w:rFonts w:ascii="Times New Roman" w:hAnsi="Times New Roman" w:cs="Times New Roman"/>
                <w:b/>
                <w:bCs/>
                <w:i/>
                <w:iCs/>
                <w:color w:val="000000" w:themeColor="text1"/>
                <w:sz w:val="28"/>
                <w:szCs w:val="28"/>
              </w:rPr>
              <w:t>Severity</w:t>
            </w:r>
          </w:p>
        </w:tc>
        <w:tc>
          <w:tcPr>
            <w:tcW w:w="1843" w:type="dxa"/>
          </w:tcPr>
          <w:p w:rsidR="008608A2" w:rsidRPr="008608A2" w:rsidRDefault="008608A2" w:rsidP="008608A2">
            <w:pPr>
              <w:rPr>
                <w:rFonts w:ascii="Times New Roman" w:hAnsi="Times New Roman" w:cs="Times New Roman"/>
                <w:b/>
                <w:bCs/>
                <w:i/>
                <w:iCs/>
                <w:color w:val="000000" w:themeColor="text1"/>
                <w:sz w:val="28"/>
                <w:szCs w:val="28"/>
              </w:rPr>
            </w:pPr>
            <w:r w:rsidRPr="008608A2">
              <w:rPr>
                <w:rFonts w:ascii="Times New Roman" w:hAnsi="Times New Roman" w:cs="Times New Roman"/>
                <w:b/>
                <w:bCs/>
                <w:i/>
                <w:iCs/>
                <w:color w:val="000000" w:themeColor="text1"/>
                <w:sz w:val="28"/>
                <w:szCs w:val="28"/>
              </w:rPr>
              <w:t>Base Score</w:t>
            </w:r>
          </w:p>
        </w:tc>
      </w:tr>
      <w:tr w:rsidR="008608A2" w:rsidTr="00446570">
        <w:tc>
          <w:tcPr>
            <w:tcW w:w="1838" w:type="dxa"/>
          </w:tcPr>
          <w:p w:rsidR="008608A2" w:rsidRDefault="008608A2"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None</w:t>
            </w:r>
          </w:p>
        </w:tc>
        <w:tc>
          <w:tcPr>
            <w:tcW w:w="1843" w:type="dxa"/>
          </w:tcPr>
          <w:p w:rsidR="008608A2" w:rsidRDefault="009939C7"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0.0</w:t>
            </w:r>
          </w:p>
        </w:tc>
      </w:tr>
      <w:tr w:rsidR="008608A2" w:rsidTr="00446570">
        <w:tc>
          <w:tcPr>
            <w:tcW w:w="1838" w:type="dxa"/>
          </w:tcPr>
          <w:p w:rsidR="008608A2" w:rsidRDefault="008608A2"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Low </w:t>
            </w:r>
          </w:p>
        </w:tc>
        <w:tc>
          <w:tcPr>
            <w:tcW w:w="1843" w:type="dxa"/>
          </w:tcPr>
          <w:p w:rsidR="008608A2" w:rsidRDefault="009939C7"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0.1 – 3.9</w:t>
            </w:r>
          </w:p>
        </w:tc>
      </w:tr>
      <w:tr w:rsidR="008608A2" w:rsidTr="00446570">
        <w:tc>
          <w:tcPr>
            <w:tcW w:w="1838" w:type="dxa"/>
          </w:tcPr>
          <w:p w:rsidR="008608A2" w:rsidRDefault="008608A2"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Medium </w:t>
            </w:r>
          </w:p>
        </w:tc>
        <w:tc>
          <w:tcPr>
            <w:tcW w:w="1843" w:type="dxa"/>
          </w:tcPr>
          <w:p w:rsidR="008608A2" w:rsidRDefault="009939C7"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4.0 – 6.9</w:t>
            </w:r>
          </w:p>
        </w:tc>
      </w:tr>
      <w:tr w:rsidR="008608A2" w:rsidTr="00446570">
        <w:tc>
          <w:tcPr>
            <w:tcW w:w="1838" w:type="dxa"/>
          </w:tcPr>
          <w:p w:rsidR="008608A2" w:rsidRDefault="008608A2"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High</w:t>
            </w:r>
          </w:p>
        </w:tc>
        <w:tc>
          <w:tcPr>
            <w:tcW w:w="1843" w:type="dxa"/>
          </w:tcPr>
          <w:p w:rsidR="008608A2" w:rsidRDefault="008608A2"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7.0 – 8.9</w:t>
            </w:r>
          </w:p>
        </w:tc>
      </w:tr>
      <w:tr w:rsidR="008608A2" w:rsidTr="00446570">
        <w:tc>
          <w:tcPr>
            <w:tcW w:w="1838" w:type="dxa"/>
          </w:tcPr>
          <w:p w:rsidR="008608A2" w:rsidRDefault="008608A2"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Critical</w:t>
            </w:r>
          </w:p>
        </w:tc>
        <w:tc>
          <w:tcPr>
            <w:tcW w:w="1843" w:type="dxa"/>
          </w:tcPr>
          <w:p w:rsidR="008608A2" w:rsidRDefault="008608A2" w:rsidP="008608A2">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9.0 – 10</w:t>
            </w:r>
          </w:p>
        </w:tc>
      </w:tr>
    </w:tbl>
    <w:p w:rsidR="008608A2" w:rsidRDefault="008608A2" w:rsidP="008608A2">
      <w:pPr>
        <w:rPr>
          <w:rFonts w:ascii="Times New Roman" w:hAnsi="Times New Roman" w:cs="Times New Roman"/>
          <w:i/>
          <w:iCs/>
          <w:color w:val="000000" w:themeColor="text1"/>
          <w:sz w:val="28"/>
          <w:szCs w:val="28"/>
        </w:rPr>
      </w:pPr>
    </w:p>
    <w:p w:rsidR="009939C7" w:rsidRDefault="009939C7" w:rsidP="008608A2">
      <w:pPr>
        <w:rPr>
          <w:rFonts w:ascii="Times New Roman" w:hAnsi="Times New Roman" w:cs="Times New Roman"/>
          <w:i/>
          <w:iCs/>
          <w:color w:val="000000" w:themeColor="text1"/>
          <w:sz w:val="28"/>
          <w:szCs w:val="28"/>
        </w:rPr>
      </w:pPr>
    </w:p>
    <w:p w:rsidR="009939C7" w:rsidRDefault="009939C7" w:rsidP="008608A2">
      <w:pPr>
        <w:rPr>
          <w:rFonts w:ascii="Times New Roman" w:hAnsi="Times New Roman" w:cs="Times New Roman"/>
          <w:i/>
          <w:iCs/>
          <w:color w:val="000000" w:themeColor="text1"/>
          <w:sz w:val="28"/>
          <w:szCs w:val="28"/>
        </w:rPr>
      </w:pPr>
    </w:p>
    <w:p w:rsidR="009939C7" w:rsidRPr="009939C7" w:rsidRDefault="009939C7" w:rsidP="009939C7">
      <w:pPr>
        <w:rPr>
          <w:rFonts w:ascii="Times New Roman" w:hAnsi="Times New Roman" w:cs="Times New Roman"/>
          <w:i/>
          <w:iCs/>
          <w:color w:val="44546A" w:themeColor="text2"/>
          <w:sz w:val="32"/>
          <w:szCs w:val="32"/>
          <w:u w:val="single"/>
        </w:rPr>
      </w:pPr>
      <w:r w:rsidRPr="009939C7">
        <w:rPr>
          <w:rFonts w:ascii="Times New Roman" w:hAnsi="Times New Roman" w:cs="Times New Roman"/>
          <w:i/>
          <w:iCs/>
          <w:color w:val="44546A" w:themeColor="text2"/>
          <w:sz w:val="32"/>
          <w:szCs w:val="32"/>
          <w:u w:val="single"/>
        </w:rPr>
        <w:lastRenderedPageBreak/>
        <w:t>What Is the Difference Between NVD and CVE?</w:t>
      </w:r>
    </w:p>
    <w:p w:rsidR="009939C7" w:rsidRPr="009939C7" w:rsidRDefault="009939C7" w:rsidP="009939C7">
      <w:pPr>
        <w:rPr>
          <w:rFonts w:ascii="Times New Roman" w:hAnsi="Times New Roman" w:cs="Times New Roman"/>
          <w:i/>
          <w:iCs/>
          <w:color w:val="000000" w:themeColor="text1"/>
          <w:sz w:val="28"/>
          <w:szCs w:val="28"/>
        </w:rPr>
      </w:pPr>
      <w:r w:rsidRPr="009939C7">
        <w:rPr>
          <w:rFonts w:ascii="Times New Roman" w:hAnsi="Times New Roman" w:cs="Times New Roman"/>
          <w:i/>
          <w:iCs/>
          <w:color w:val="000000" w:themeColor="text1"/>
          <w:sz w:val="28"/>
          <w:szCs w:val="28"/>
        </w:rPr>
        <w:t>While these two lists/databases are often talked about interchangeably, they are actually separate, though interconnected, entities. CVE is essentially a list of vulnerability entries and NVD is a more robust database that is built upon and fully synchronized with the CVE list so that any updates made to the CVE list appear in the NVD. The NVD also adds the analysis component for each vulnerability, as described above. </w:t>
      </w:r>
      <w:hyperlink r:id="rId8" w:anchor=":~:text=CVE%20%2D%20A%20list%20of%20entries,for%20publicly%20known%20cybersecurity%20vulnerabilities.&amp;text=NVD%20%2D%20A%20vulnerability%20database%20built,CVE%20appear%20immediately%20in%20NVD." w:tgtFrame="_blank" w:history="1">
        <w:r w:rsidRPr="009939C7">
          <w:rPr>
            <w:rStyle w:val="Hyperlink"/>
            <w:rFonts w:ascii="Times New Roman" w:hAnsi="Times New Roman" w:cs="Times New Roman"/>
            <w:i/>
            <w:iCs/>
            <w:sz w:val="28"/>
            <w:szCs w:val="28"/>
          </w:rPr>
          <w:t>As per MITRE</w:t>
        </w:r>
      </w:hyperlink>
      <w:r w:rsidRPr="009939C7">
        <w:rPr>
          <w:rFonts w:ascii="Times New Roman" w:hAnsi="Times New Roman" w:cs="Times New Roman"/>
          <w:i/>
          <w:iCs/>
          <w:color w:val="000000" w:themeColor="text1"/>
          <w:sz w:val="28"/>
          <w:szCs w:val="28"/>
        </w:rPr>
        <w:t>, the CVE list feeds the NVD. The U.S. Department of Homeland Security’s Cybersecurity and Infrastructure Security Agency (DHS CISA) sponsors both.</w:t>
      </w:r>
    </w:p>
    <w:p w:rsidR="009939C7" w:rsidRDefault="009939C7" w:rsidP="008608A2">
      <w:pPr>
        <w:rPr>
          <w:rFonts w:ascii="Times New Roman" w:hAnsi="Times New Roman" w:cs="Times New Roman"/>
          <w:i/>
          <w:iCs/>
          <w:color w:val="000000" w:themeColor="text1"/>
          <w:sz w:val="28"/>
          <w:szCs w:val="28"/>
        </w:rPr>
      </w:pPr>
    </w:p>
    <w:p w:rsidR="009939C7" w:rsidRPr="009939C7" w:rsidRDefault="009939C7" w:rsidP="009939C7">
      <w:pPr>
        <w:rPr>
          <w:rFonts w:ascii="Times New Roman" w:hAnsi="Times New Roman" w:cs="Times New Roman"/>
          <w:i/>
          <w:iCs/>
          <w:color w:val="000000" w:themeColor="text1"/>
          <w:sz w:val="32"/>
          <w:szCs w:val="32"/>
          <w:u w:val="single"/>
        </w:rPr>
      </w:pPr>
      <w:r w:rsidRPr="009939C7">
        <w:rPr>
          <w:rFonts w:ascii="Times New Roman" w:hAnsi="Times New Roman" w:cs="Times New Roman"/>
          <w:i/>
          <w:iCs/>
          <w:color w:val="44546A" w:themeColor="text2"/>
          <w:sz w:val="32"/>
          <w:szCs w:val="32"/>
          <w:u w:val="single"/>
        </w:rPr>
        <w:t>Importance of NVD</w:t>
      </w:r>
    </w:p>
    <w:p w:rsidR="009939C7" w:rsidRPr="009939C7" w:rsidRDefault="009939C7" w:rsidP="009939C7">
      <w:pPr>
        <w:numPr>
          <w:ilvl w:val="0"/>
          <w:numId w:val="7"/>
        </w:numPr>
        <w:rPr>
          <w:rFonts w:ascii="Times New Roman" w:hAnsi="Times New Roman" w:cs="Times New Roman"/>
          <w:i/>
          <w:iCs/>
          <w:color w:val="000000" w:themeColor="text1"/>
          <w:sz w:val="28"/>
          <w:szCs w:val="28"/>
        </w:rPr>
      </w:pPr>
      <w:r w:rsidRPr="009939C7">
        <w:rPr>
          <w:rFonts w:ascii="Times New Roman" w:hAnsi="Times New Roman" w:cs="Times New Roman"/>
          <w:b/>
          <w:bCs/>
          <w:i/>
          <w:iCs/>
          <w:color w:val="000000" w:themeColor="text1"/>
          <w:sz w:val="28"/>
          <w:szCs w:val="28"/>
        </w:rPr>
        <w:t>Risk Assessment &amp; Management</w:t>
      </w:r>
      <w:r w:rsidRPr="009939C7">
        <w:rPr>
          <w:rFonts w:ascii="Times New Roman" w:hAnsi="Times New Roman" w:cs="Times New Roman"/>
          <w:i/>
          <w:iCs/>
          <w:color w:val="000000" w:themeColor="text1"/>
          <w:sz w:val="28"/>
          <w:szCs w:val="28"/>
        </w:rPr>
        <w:t>: Helps organizations assess cybersecurity risks and prioritize mitigation efforts.</w:t>
      </w:r>
    </w:p>
    <w:p w:rsidR="009939C7" w:rsidRPr="009939C7" w:rsidRDefault="009939C7" w:rsidP="009939C7">
      <w:pPr>
        <w:numPr>
          <w:ilvl w:val="0"/>
          <w:numId w:val="7"/>
        </w:numPr>
        <w:rPr>
          <w:rFonts w:ascii="Times New Roman" w:hAnsi="Times New Roman" w:cs="Times New Roman"/>
          <w:i/>
          <w:iCs/>
          <w:color w:val="000000" w:themeColor="text1"/>
          <w:sz w:val="28"/>
          <w:szCs w:val="28"/>
        </w:rPr>
      </w:pPr>
      <w:r w:rsidRPr="009939C7">
        <w:rPr>
          <w:rFonts w:ascii="Times New Roman" w:hAnsi="Times New Roman" w:cs="Times New Roman"/>
          <w:b/>
          <w:bCs/>
          <w:i/>
          <w:iCs/>
          <w:color w:val="000000" w:themeColor="text1"/>
          <w:sz w:val="28"/>
          <w:szCs w:val="28"/>
        </w:rPr>
        <w:t>Automation &amp; Integration</w:t>
      </w:r>
      <w:r w:rsidRPr="009939C7">
        <w:rPr>
          <w:rFonts w:ascii="Times New Roman" w:hAnsi="Times New Roman" w:cs="Times New Roman"/>
          <w:i/>
          <w:iCs/>
          <w:color w:val="000000" w:themeColor="text1"/>
          <w:sz w:val="28"/>
          <w:szCs w:val="28"/>
        </w:rPr>
        <w:t>: Security tools use NVD data to automate vulnerability detection and response.</w:t>
      </w:r>
    </w:p>
    <w:p w:rsidR="009939C7" w:rsidRPr="009939C7" w:rsidRDefault="009939C7" w:rsidP="009939C7">
      <w:pPr>
        <w:numPr>
          <w:ilvl w:val="0"/>
          <w:numId w:val="7"/>
        </w:numPr>
        <w:rPr>
          <w:rFonts w:ascii="Times New Roman" w:hAnsi="Times New Roman" w:cs="Times New Roman"/>
          <w:i/>
          <w:iCs/>
          <w:color w:val="000000" w:themeColor="text1"/>
          <w:sz w:val="28"/>
          <w:szCs w:val="28"/>
        </w:rPr>
      </w:pPr>
      <w:r w:rsidRPr="009939C7">
        <w:rPr>
          <w:rFonts w:ascii="Times New Roman" w:hAnsi="Times New Roman" w:cs="Times New Roman"/>
          <w:b/>
          <w:bCs/>
          <w:i/>
          <w:iCs/>
          <w:color w:val="000000" w:themeColor="text1"/>
          <w:sz w:val="28"/>
          <w:szCs w:val="28"/>
        </w:rPr>
        <w:t>Compliance &amp; Regulations</w:t>
      </w:r>
      <w:r w:rsidRPr="009939C7">
        <w:rPr>
          <w:rFonts w:ascii="Times New Roman" w:hAnsi="Times New Roman" w:cs="Times New Roman"/>
          <w:i/>
          <w:iCs/>
          <w:color w:val="000000" w:themeColor="text1"/>
          <w:sz w:val="28"/>
          <w:szCs w:val="28"/>
        </w:rPr>
        <w:t xml:space="preserve">: Supports compliance with standards like </w:t>
      </w:r>
      <w:r w:rsidRPr="009939C7">
        <w:rPr>
          <w:rFonts w:ascii="Times New Roman" w:hAnsi="Times New Roman" w:cs="Times New Roman"/>
          <w:b/>
          <w:bCs/>
          <w:i/>
          <w:iCs/>
          <w:color w:val="000000" w:themeColor="text1"/>
          <w:sz w:val="28"/>
          <w:szCs w:val="28"/>
        </w:rPr>
        <w:t>NIST 800-53, ISO 27001, and PCI DSS</w:t>
      </w:r>
      <w:r w:rsidRPr="009939C7">
        <w:rPr>
          <w:rFonts w:ascii="Times New Roman" w:hAnsi="Times New Roman" w:cs="Times New Roman"/>
          <w:i/>
          <w:iCs/>
          <w:color w:val="000000" w:themeColor="text1"/>
          <w:sz w:val="28"/>
          <w:szCs w:val="28"/>
        </w:rPr>
        <w:t>.</w:t>
      </w:r>
    </w:p>
    <w:p w:rsidR="009939C7" w:rsidRDefault="009939C7" w:rsidP="009939C7">
      <w:pPr>
        <w:numPr>
          <w:ilvl w:val="0"/>
          <w:numId w:val="7"/>
        </w:numPr>
        <w:rPr>
          <w:rFonts w:ascii="Times New Roman" w:hAnsi="Times New Roman" w:cs="Times New Roman"/>
          <w:i/>
          <w:iCs/>
          <w:color w:val="000000" w:themeColor="text1"/>
          <w:sz w:val="28"/>
          <w:szCs w:val="28"/>
        </w:rPr>
      </w:pPr>
      <w:r w:rsidRPr="009939C7">
        <w:rPr>
          <w:rFonts w:ascii="Times New Roman" w:hAnsi="Times New Roman" w:cs="Times New Roman"/>
          <w:b/>
          <w:bCs/>
          <w:i/>
          <w:iCs/>
          <w:color w:val="000000" w:themeColor="text1"/>
          <w:sz w:val="28"/>
          <w:szCs w:val="28"/>
        </w:rPr>
        <w:t>Threat Intelligence</w:t>
      </w:r>
      <w:r w:rsidRPr="009939C7">
        <w:rPr>
          <w:rFonts w:ascii="Times New Roman" w:hAnsi="Times New Roman" w:cs="Times New Roman"/>
          <w:i/>
          <w:iCs/>
          <w:color w:val="000000" w:themeColor="text1"/>
          <w:sz w:val="28"/>
          <w:szCs w:val="28"/>
        </w:rPr>
        <w:t>: Enables researchers and security teams to analy</w:t>
      </w:r>
      <w:r w:rsidR="00DA6998">
        <w:rPr>
          <w:rFonts w:ascii="Times New Roman" w:hAnsi="Times New Roman" w:cs="Times New Roman"/>
          <w:i/>
          <w:iCs/>
          <w:color w:val="000000" w:themeColor="text1"/>
          <w:sz w:val="28"/>
          <w:szCs w:val="28"/>
        </w:rPr>
        <w:t>s</w:t>
      </w:r>
      <w:r w:rsidRPr="009939C7">
        <w:rPr>
          <w:rFonts w:ascii="Times New Roman" w:hAnsi="Times New Roman" w:cs="Times New Roman"/>
          <w:i/>
          <w:iCs/>
          <w:color w:val="000000" w:themeColor="text1"/>
          <w:sz w:val="28"/>
          <w:szCs w:val="28"/>
        </w:rPr>
        <w:t>e trends and attack patterns.</w:t>
      </w:r>
    </w:p>
    <w:p w:rsidR="00DA6998" w:rsidRPr="00DA6998" w:rsidRDefault="00DA6998" w:rsidP="00DA6998">
      <w:pPr>
        <w:rPr>
          <w:rFonts w:ascii="Times New Roman" w:hAnsi="Times New Roman" w:cs="Times New Roman"/>
          <w:i/>
          <w:iCs/>
          <w:color w:val="44546A" w:themeColor="text2"/>
          <w:sz w:val="32"/>
          <w:szCs w:val="32"/>
          <w:u w:val="single"/>
        </w:rPr>
      </w:pPr>
    </w:p>
    <w:p w:rsidR="00DA6998" w:rsidRPr="00DA6998" w:rsidRDefault="00DA6998" w:rsidP="00DA6998">
      <w:pPr>
        <w:rPr>
          <w:rFonts w:ascii="Times New Roman" w:hAnsi="Times New Roman" w:cs="Times New Roman"/>
          <w:i/>
          <w:iCs/>
          <w:color w:val="44546A" w:themeColor="text2"/>
          <w:sz w:val="32"/>
          <w:szCs w:val="32"/>
          <w:u w:val="single"/>
        </w:rPr>
      </w:pPr>
      <w:r w:rsidRPr="00DA6998">
        <w:rPr>
          <w:rFonts w:ascii="Times New Roman" w:hAnsi="Times New Roman" w:cs="Times New Roman"/>
          <w:i/>
          <w:iCs/>
          <w:color w:val="44546A" w:themeColor="text2"/>
          <w:sz w:val="32"/>
          <w:szCs w:val="32"/>
          <w:u w:val="single"/>
        </w:rPr>
        <w:t>How to Use NVD</w:t>
      </w:r>
    </w:p>
    <w:p w:rsidR="00DA6998" w:rsidRPr="00DA6998" w:rsidRDefault="00DA6998" w:rsidP="00DA6998">
      <w:pPr>
        <w:numPr>
          <w:ilvl w:val="0"/>
          <w:numId w:val="8"/>
        </w:numPr>
        <w:rPr>
          <w:rFonts w:ascii="Times New Roman" w:hAnsi="Times New Roman" w:cs="Times New Roman"/>
          <w:i/>
          <w:iCs/>
          <w:color w:val="000000" w:themeColor="text1"/>
          <w:sz w:val="28"/>
          <w:szCs w:val="28"/>
        </w:rPr>
      </w:pPr>
      <w:r w:rsidRPr="00DA6998">
        <w:rPr>
          <w:rFonts w:ascii="Times New Roman" w:hAnsi="Times New Roman" w:cs="Times New Roman"/>
          <w:b/>
          <w:bCs/>
          <w:i/>
          <w:iCs/>
          <w:color w:val="000000" w:themeColor="text1"/>
          <w:sz w:val="28"/>
          <w:szCs w:val="28"/>
        </w:rPr>
        <w:t>Access the database</w:t>
      </w:r>
      <w:r w:rsidRPr="00DA6998">
        <w:rPr>
          <w:rFonts w:ascii="Times New Roman" w:hAnsi="Times New Roman" w:cs="Times New Roman"/>
          <w:i/>
          <w:iCs/>
          <w:color w:val="000000" w:themeColor="text1"/>
          <w:sz w:val="28"/>
          <w:szCs w:val="28"/>
        </w:rPr>
        <w:t xml:space="preserve">: Visit </w:t>
      </w:r>
      <w:hyperlink r:id="rId9" w:tgtFrame="_new" w:history="1">
        <w:r w:rsidRPr="00DA6998">
          <w:rPr>
            <w:rStyle w:val="Hyperlink"/>
            <w:rFonts w:ascii="Times New Roman" w:hAnsi="Times New Roman" w:cs="Times New Roman"/>
            <w:i/>
            <w:iCs/>
            <w:sz w:val="28"/>
            <w:szCs w:val="28"/>
          </w:rPr>
          <w:t>NVD Website</w:t>
        </w:r>
      </w:hyperlink>
      <w:r w:rsidRPr="00DA6998">
        <w:rPr>
          <w:rFonts w:ascii="Times New Roman" w:hAnsi="Times New Roman" w:cs="Times New Roman"/>
          <w:i/>
          <w:iCs/>
          <w:color w:val="000000" w:themeColor="text1"/>
          <w:sz w:val="28"/>
          <w:szCs w:val="28"/>
        </w:rPr>
        <w:t>.</w:t>
      </w:r>
    </w:p>
    <w:p w:rsidR="00DA6998" w:rsidRPr="00DA6998" w:rsidRDefault="00DA6998" w:rsidP="00DA6998">
      <w:pPr>
        <w:numPr>
          <w:ilvl w:val="0"/>
          <w:numId w:val="8"/>
        </w:numPr>
        <w:rPr>
          <w:rFonts w:ascii="Times New Roman" w:hAnsi="Times New Roman" w:cs="Times New Roman"/>
          <w:i/>
          <w:iCs/>
          <w:color w:val="000000" w:themeColor="text1"/>
          <w:sz w:val="28"/>
          <w:szCs w:val="28"/>
        </w:rPr>
      </w:pPr>
      <w:r w:rsidRPr="00DA6998">
        <w:rPr>
          <w:rFonts w:ascii="Times New Roman" w:hAnsi="Times New Roman" w:cs="Times New Roman"/>
          <w:b/>
          <w:bCs/>
          <w:i/>
          <w:iCs/>
          <w:color w:val="000000" w:themeColor="text1"/>
          <w:sz w:val="28"/>
          <w:szCs w:val="28"/>
        </w:rPr>
        <w:t>Search vulnerabilities</w:t>
      </w:r>
      <w:r w:rsidRPr="00DA6998">
        <w:rPr>
          <w:rFonts w:ascii="Times New Roman" w:hAnsi="Times New Roman" w:cs="Times New Roman"/>
          <w:i/>
          <w:iCs/>
          <w:color w:val="000000" w:themeColor="text1"/>
          <w:sz w:val="28"/>
          <w:szCs w:val="28"/>
        </w:rPr>
        <w:t>: Use keywords, CVE IDs, or filters.</w:t>
      </w:r>
    </w:p>
    <w:p w:rsidR="00DA6998" w:rsidRPr="00DA6998" w:rsidRDefault="00DA6998" w:rsidP="00DA6998">
      <w:pPr>
        <w:numPr>
          <w:ilvl w:val="0"/>
          <w:numId w:val="8"/>
        </w:numPr>
        <w:rPr>
          <w:rFonts w:ascii="Times New Roman" w:hAnsi="Times New Roman" w:cs="Times New Roman"/>
          <w:i/>
          <w:iCs/>
          <w:color w:val="000000" w:themeColor="text1"/>
          <w:sz w:val="28"/>
          <w:szCs w:val="28"/>
        </w:rPr>
      </w:pPr>
      <w:r w:rsidRPr="00DA6998">
        <w:rPr>
          <w:rFonts w:ascii="Times New Roman" w:hAnsi="Times New Roman" w:cs="Times New Roman"/>
          <w:b/>
          <w:bCs/>
          <w:i/>
          <w:iCs/>
          <w:color w:val="000000" w:themeColor="text1"/>
          <w:sz w:val="28"/>
          <w:szCs w:val="28"/>
        </w:rPr>
        <w:t>Monitor RSS</w:t>
      </w:r>
      <w:r>
        <w:rPr>
          <w:rFonts w:ascii="Times New Roman" w:hAnsi="Times New Roman" w:cs="Times New Roman"/>
          <w:b/>
          <w:bCs/>
          <w:i/>
          <w:iCs/>
          <w:color w:val="000000" w:themeColor="text1"/>
          <w:sz w:val="28"/>
          <w:szCs w:val="28"/>
        </w:rPr>
        <w:t xml:space="preserve"> (Really Simple Syndication)</w:t>
      </w:r>
      <w:r w:rsidRPr="00DA6998">
        <w:rPr>
          <w:rFonts w:ascii="Times New Roman" w:hAnsi="Times New Roman" w:cs="Times New Roman"/>
          <w:b/>
          <w:bCs/>
          <w:i/>
          <w:iCs/>
          <w:color w:val="000000" w:themeColor="text1"/>
          <w:sz w:val="28"/>
          <w:szCs w:val="28"/>
        </w:rPr>
        <w:t xml:space="preserve"> feeds</w:t>
      </w:r>
      <w:r w:rsidRPr="00DA6998">
        <w:rPr>
          <w:rFonts w:ascii="Times New Roman" w:hAnsi="Times New Roman" w:cs="Times New Roman"/>
          <w:i/>
          <w:iCs/>
          <w:color w:val="000000" w:themeColor="text1"/>
          <w:sz w:val="28"/>
          <w:szCs w:val="28"/>
        </w:rPr>
        <w:t>: Stay updated on new vulnerabilities.</w:t>
      </w:r>
    </w:p>
    <w:p w:rsidR="00DA6998" w:rsidRDefault="00DA6998" w:rsidP="00DA6998">
      <w:pPr>
        <w:numPr>
          <w:ilvl w:val="0"/>
          <w:numId w:val="8"/>
        </w:numPr>
        <w:rPr>
          <w:rFonts w:ascii="Times New Roman" w:hAnsi="Times New Roman" w:cs="Times New Roman"/>
          <w:i/>
          <w:iCs/>
          <w:color w:val="000000" w:themeColor="text1"/>
          <w:sz w:val="28"/>
          <w:szCs w:val="28"/>
        </w:rPr>
      </w:pPr>
      <w:r w:rsidRPr="00DA6998">
        <w:rPr>
          <w:rFonts w:ascii="Times New Roman" w:hAnsi="Times New Roman" w:cs="Times New Roman"/>
          <w:b/>
          <w:bCs/>
          <w:i/>
          <w:iCs/>
          <w:color w:val="000000" w:themeColor="text1"/>
          <w:sz w:val="28"/>
          <w:szCs w:val="28"/>
        </w:rPr>
        <w:t>Integrate with security tools</w:t>
      </w:r>
      <w:r w:rsidRPr="00DA6998">
        <w:rPr>
          <w:rFonts w:ascii="Times New Roman" w:hAnsi="Times New Roman" w:cs="Times New Roman"/>
          <w:i/>
          <w:iCs/>
          <w:color w:val="000000" w:themeColor="text1"/>
          <w:sz w:val="28"/>
          <w:szCs w:val="28"/>
        </w:rPr>
        <w:t>: Use APIs for automated scanning</w:t>
      </w:r>
      <w:r>
        <w:rPr>
          <w:rFonts w:ascii="Times New Roman" w:hAnsi="Times New Roman" w:cs="Times New Roman"/>
          <w:i/>
          <w:iCs/>
          <w:color w:val="000000" w:themeColor="text1"/>
          <w:sz w:val="28"/>
          <w:szCs w:val="28"/>
        </w:rPr>
        <w:t>.</w:t>
      </w:r>
    </w:p>
    <w:p w:rsidR="00DA6998" w:rsidRDefault="00DA6998" w:rsidP="00DA6998">
      <w:pPr>
        <w:rPr>
          <w:rFonts w:ascii="Times New Roman" w:hAnsi="Times New Roman" w:cs="Times New Roman"/>
          <w:i/>
          <w:iCs/>
          <w:color w:val="000000" w:themeColor="text1"/>
          <w:sz w:val="28"/>
          <w:szCs w:val="28"/>
        </w:rPr>
      </w:pPr>
    </w:p>
    <w:p w:rsidR="00DA6998" w:rsidRDefault="00DA6998" w:rsidP="00DA6998">
      <w:pPr>
        <w:rPr>
          <w:rFonts w:ascii="Times New Roman" w:hAnsi="Times New Roman" w:cs="Times New Roman"/>
          <w:b/>
          <w:bCs/>
          <w:i/>
          <w:iCs/>
          <w:color w:val="000000" w:themeColor="text1"/>
          <w:sz w:val="28"/>
          <w:szCs w:val="28"/>
        </w:rPr>
      </w:pPr>
    </w:p>
    <w:p w:rsidR="00DA6998" w:rsidRPr="00DA6998" w:rsidRDefault="00DA6998" w:rsidP="00DA6998">
      <w:pPr>
        <w:rPr>
          <w:rFonts w:ascii="Times New Roman" w:hAnsi="Times New Roman" w:cs="Times New Roman"/>
          <w:i/>
          <w:iCs/>
          <w:color w:val="000000" w:themeColor="text1"/>
          <w:sz w:val="28"/>
          <w:szCs w:val="28"/>
        </w:rPr>
      </w:pPr>
    </w:p>
    <w:p w:rsidR="00DA6998" w:rsidRPr="009939C7" w:rsidRDefault="00DA6998" w:rsidP="00DA6998">
      <w:pPr>
        <w:rPr>
          <w:rFonts w:ascii="Times New Roman" w:hAnsi="Times New Roman" w:cs="Times New Roman"/>
          <w:i/>
          <w:iCs/>
          <w:color w:val="000000" w:themeColor="text1"/>
          <w:sz w:val="28"/>
          <w:szCs w:val="28"/>
        </w:rPr>
      </w:pPr>
    </w:p>
    <w:p w:rsidR="009939C7" w:rsidRPr="008608A2" w:rsidRDefault="009939C7" w:rsidP="008608A2">
      <w:pPr>
        <w:rPr>
          <w:rFonts w:ascii="Times New Roman" w:hAnsi="Times New Roman" w:cs="Times New Roman"/>
          <w:i/>
          <w:iCs/>
          <w:color w:val="000000" w:themeColor="text1"/>
          <w:sz w:val="28"/>
          <w:szCs w:val="28"/>
        </w:rPr>
      </w:pPr>
    </w:p>
    <w:sectPr w:rsidR="009939C7" w:rsidRPr="008608A2" w:rsidSect="00DA6998">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27E3" w:rsidRDefault="000627E3" w:rsidP="00DA6998">
      <w:pPr>
        <w:spacing w:after="0" w:line="240" w:lineRule="auto"/>
      </w:pPr>
      <w:r>
        <w:separator/>
      </w:r>
    </w:p>
  </w:endnote>
  <w:endnote w:type="continuationSeparator" w:id="0">
    <w:p w:rsidR="000627E3" w:rsidRDefault="000627E3" w:rsidP="00DA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XBd BT">
    <w:panose1 w:val="02020903060505020304"/>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6998" w:rsidRDefault="00DA699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A6998" w:rsidRDefault="00DA6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27E3" w:rsidRDefault="000627E3" w:rsidP="00DA6998">
      <w:pPr>
        <w:spacing w:after="0" w:line="240" w:lineRule="auto"/>
      </w:pPr>
      <w:r>
        <w:separator/>
      </w:r>
    </w:p>
  </w:footnote>
  <w:footnote w:type="continuationSeparator" w:id="0">
    <w:p w:rsidR="000627E3" w:rsidRDefault="000627E3" w:rsidP="00DA6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6998" w:rsidRDefault="00DA6998">
    <w:pPr>
      <w:pStyle w:val="Header"/>
    </w:pPr>
    <w:r>
      <w:t>14 Feb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576"/>
    <w:multiLevelType w:val="multilevel"/>
    <w:tmpl w:val="15EA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2D9"/>
    <w:multiLevelType w:val="multilevel"/>
    <w:tmpl w:val="0AE4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D3A78"/>
    <w:multiLevelType w:val="multilevel"/>
    <w:tmpl w:val="7D8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97600"/>
    <w:multiLevelType w:val="multilevel"/>
    <w:tmpl w:val="5AE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F72BE"/>
    <w:multiLevelType w:val="multilevel"/>
    <w:tmpl w:val="7186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43D17"/>
    <w:multiLevelType w:val="hybridMultilevel"/>
    <w:tmpl w:val="1B061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1E3F3D"/>
    <w:multiLevelType w:val="hybridMultilevel"/>
    <w:tmpl w:val="CD54B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1942A0"/>
    <w:multiLevelType w:val="multilevel"/>
    <w:tmpl w:val="5E6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307933">
    <w:abstractNumId w:val="5"/>
  </w:num>
  <w:num w:numId="2" w16cid:durableId="1684698837">
    <w:abstractNumId w:val="4"/>
  </w:num>
  <w:num w:numId="3" w16cid:durableId="2067677811">
    <w:abstractNumId w:val="3"/>
  </w:num>
  <w:num w:numId="4" w16cid:durableId="732122940">
    <w:abstractNumId w:val="2"/>
  </w:num>
  <w:num w:numId="5" w16cid:durableId="1556744442">
    <w:abstractNumId w:val="7"/>
  </w:num>
  <w:num w:numId="6" w16cid:durableId="604654869">
    <w:abstractNumId w:val="6"/>
  </w:num>
  <w:num w:numId="7" w16cid:durableId="749423195">
    <w:abstractNumId w:val="1"/>
  </w:num>
  <w:num w:numId="8" w16cid:durableId="66539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16"/>
    <w:rsid w:val="000627E3"/>
    <w:rsid w:val="00144DD2"/>
    <w:rsid w:val="00224016"/>
    <w:rsid w:val="00446570"/>
    <w:rsid w:val="005A7A9D"/>
    <w:rsid w:val="008608A2"/>
    <w:rsid w:val="009939C7"/>
    <w:rsid w:val="009C211D"/>
    <w:rsid w:val="00B4465B"/>
    <w:rsid w:val="00C0060B"/>
    <w:rsid w:val="00D64A5D"/>
    <w:rsid w:val="00DA6998"/>
    <w:rsid w:val="00E3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578E"/>
  <w15:chartTrackingRefBased/>
  <w15:docId w15:val="{8177B152-3775-4957-BA3E-E82D4756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0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40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40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40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40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4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0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40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40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40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40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4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016"/>
    <w:rPr>
      <w:rFonts w:eastAsiaTheme="majorEastAsia" w:cstheme="majorBidi"/>
      <w:color w:val="272727" w:themeColor="text1" w:themeTint="D8"/>
    </w:rPr>
  </w:style>
  <w:style w:type="paragraph" w:styleId="Title">
    <w:name w:val="Title"/>
    <w:basedOn w:val="Normal"/>
    <w:next w:val="Normal"/>
    <w:link w:val="TitleChar"/>
    <w:uiPriority w:val="10"/>
    <w:qFormat/>
    <w:rsid w:val="00224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016"/>
    <w:pPr>
      <w:spacing w:before="160"/>
      <w:jc w:val="center"/>
    </w:pPr>
    <w:rPr>
      <w:i/>
      <w:iCs/>
      <w:color w:val="404040" w:themeColor="text1" w:themeTint="BF"/>
    </w:rPr>
  </w:style>
  <w:style w:type="character" w:customStyle="1" w:styleId="QuoteChar">
    <w:name w:val="Quote Char"/>
    <w:basedOn w:val="DefaultParagraphFont"/>
    <w:link w:val="Quote"/>
    <w:uiPriority w:val="29"/>
    <w:rsid w:val="00224016"/>
    <w:rPr>
      <w:i/>
      <w:iCs/>
      <w:color w:val="404040" w:themeColor="text1" w:themeTint="BF"/>
    </w:rPr>
  </w:style>
  <w:style w:type="paragraph" w:styleId="ListParagraph">
    <w:name w:val="List Paragraph"/>
    <w:basedOn w:val="Normal"/>
    <w:uiPriority w:val="34"/>
    <w:qFormat/>
    <w:rsid w:val="00224016"/>
    <w:pPr>
      <w:ind w:left="720"/>
      <w:contextualSpacing/>
    </w:pPr>
  </w:style>
  <w:style w:type="character" w:styleId="IntenseEmphasis">
    <w:name w:val="Intense Emphasis"/>
    <w:basedOn w:val="DefaultParagraphFont"/>
    <w:uiPriority w:val="21"/>
    <w:qFormat/>
    <w:rsid w:val="00224016"/>
    <w:rPr>
      <w:i/>
      <w:iCs/>
      <w:color w:val="2F5496" w:themeColor="accent1" w:themeShade="BF"/>
    </w:rPr>
  </w:style>
  <w:style w:type="paragraph" w:styleId="IntenseQuote">
    <w:name w:val="Intense Quote"/>
    <w:basedOn w:val="Normal"/>
    <w:next w:val="Normal"/>
    <w:link w:val="IntenseQuoteChar"/>
    <w:uiPriority w:val="30"/>
    <w:qFormat/>
    <w:rsid w:val="002240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4016"/>
    <w:rPr>
      <w:i/>
      <w:iCs/>
      <w:color w:val="2F5496" w:themeColor="accent1" w:themeShade="BF"/>
    </w:rPr>
  </w:style>
  <w:style w:type="character" w:styleId="IntenseReference">
    <w:name w:val="Intense Reference"/>
    <w:basedOn w:val="DefaultParagraphFont"/>
    <w:uiPriority w:val="32"/>
    <w:qFormat/>
    <w:rsid w:val="00224016"/>
    <w:rPr>
      <w:b/>
      <w:bCs/>
      <w:smallCaps/>
      <w:color w:val="2F5496" w:themeColor="accent1" w:themeShade="BF"/>
      <w:spacing w:val="5"/>
    </w:rPr>
  </w:style>
  <w:style w:type="character" w:styleId="Hyperlink">
    <w:name w:val="Hyperlink"/>
    <w:basedOn w:val="DefaultParagraphFont"/>
    <w:uiPriority w:val="99"/>
    <w:unhideWhenUsed/>
    <w:rsid w:val="008608A2"/>
    <w:rPr>
      <w:color w:val="0563C1" w:themeColor="hyperlink"/>
      <w:u w:val="single"/>
    </w:rPr>
  </w:style>
  <w:style w:type="character" w:styleId="UnresolvedMention">
    <w:name w:val="Unresolved Mention"/>
    <w:basedOn w:val="DefaultParagraphFont"/>
    <w:uiPriority w:val="99"/>
    <w:semiHidden/>
    <w:unhideWhenUsed/>
    <w:rsid w:val="008608A2"/>
    <w:rPr>
      <w:color w:val="605E5C"/>
      <w:shd w:val="clear" w:color="auto" w:fill="E1DFDD"/>
    </w:rPr>
  </w:style>
  <w:style w:type="table" w:styleId="TableGrid">
    <w:name w:val="Table Grid"/>
    <w:basedOn w:val="TableNormal"/>
    <w:uiPriority w:val="39"/>
    <w:rsid w:val="00860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998"/>
  </w:style>
  <w:style w:type="paragraph" w:styleId="Footer">
    <w:name w:val="footer"/>
    <w:basedOn w:val="Normal"/>
    <w:link w:val="FooterChar"/>
    <w:uiPriority w:val="99"/>
    <w:unhideWhenUsed/>
    <w:rsid w:val="00DA6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7468">
      <w:bodyDiv w:val="1"/>
      <w:marLeft w:val="0"/>
      <w:marRight w:val="0"/>
      <w:marTop w:val="0"/>
      <w:marBottom w:val="0"/>
      <w:divBdr>
        <w:top w:val="none" w:sz="0" w:space="0" w:color="auto"/>
        <w:left w:val="none" w:sz="0" w:space="0" w:color="auto"/>
        <w:bottom w:val="none" w:sz="0" w:space="0" w:color="auto"/>
        <w:right w:val="none" w:sz="0" w:space="0" w:color="auto"/>
      </w:divBdr>
    </w:div>
    <w:div w:id="179779035">
      <w:bodyDiv w:val="1"/>
      <w:marLeft w:val="0"/>
      <w:marRight w:val="0"/>
      <w:marTop w:val="0"/>
      <w:marBottom w:val="0"/>
      <w:divBdr>
        <w:top w:val="none" w:sz="0" w:space="0" w:color="auto"/>
        <w:left w:val="none" w:sz="0" w:space="0" w:color="auto"/>
        <w:bottom w:val="none" w:sz="0" w:space="0" w:color="auto"/>
        <w:right w:val="none" w:sz="0" w:space="0" w:color="auto"/>
      </w:divBdr>
    </w:div>
    <w:div w:id="251355394">
      <w:bodyDiv w:val="1"/>
      <w:marLeft w:val="0"/>
      <w:marRight w:val="0"/>
      <w:marTop w:val="0"/>
      <w:marBottom w:val="0"/>
      <w:divBdr>
        <w:top w:val="none" w:sz="0" w:space="0" w:color="auto"/>
        <w:left w:val="none" w:sz="0" w:space="0" w:color="auto"/>
        <w:bottom w:val="none" w:sz="0" w:space="0" w:color="auto"/>
        <w:right w:val="none" w:sz="0" w:space="0" w:color="auto"/>
      </w:divBdr>
    </w:div>
    <w:div w:id="294263176">
      <w:bodyDiv w:val="1"/>
      <w:marLeft w:val="0"/>
      <w:marRight w:val="0"/>
      <w:marTop w:val="0"/>
      <w:marBottom w:val="0"/>
      <w:divBdr>
        <w:top w:val="none" w:sz="0" w:space="0" w:color="auto"/>
        <w:left w:val="none" w:sz="0" w:space="0" w:color="auto"/>
        <w:bottom w:val="none" w:sz="0" w:space="0" w:color="auto"/>
        <w:right w:val="none" w:sz="0" w:space="0" w:color="auto"/>
      </w:divBdr>
    </w:div>
    <w:div w:id="440103265">
      <w:bodyDiv w:val="1"/>
      <w:marLeft w:val="0"/>
      <w:marRight w:val="0"/>
      <w:marTop w:val="0"/>
      <w:marBottom w:val="0"/>
      <w:divBdr>
        <w:top w:val="none" w:sz="0" w:space="0" w:color="auto"/>
        <w:left w:val="none" w:sz="0" w:space="0" w:color="auto"/>
        <w:bottom w:val="none" w:sz="0" w:space="0" w:color="auto"/>
        <w:right w:val="none" w:sz="0" w:space="0" w:color="auto"/>
      </w:divBdr>
    </w:div>
    <w:div w:id="450785397">
      <w:bodyDiv w:val="1"/>
      <w:marLeft w:val="0"/>
      <w:marRight w:val="0"/>
      <w:marTop w:val="0"/>
      <w:marBottom w:val="0"/>
      <w:divBdr>
        <w:top w:val="none" w:sz="0" w:space="0" w:color="auto"/>
        <w:left w:val="none" w:sz="0" w:space="0" w:color="auto"/>
        <w:bottom w:val="none" w:sz="0" w:space="0" w:color="auto"/>
        <w:right w:val="none" w:sz="0" w:space="0" w:color="auto"/>
      </w:divBdr>
    </w:div>
    <w:div w:id="705637453">
      <w:bodyDiv w:val="1"/>
      <w:marLeft w:val="0"/>
      <w:marRight w:val="0"/>
      <w:marTop w:val="0"/>
      <w:marBottom w:val="0"/>
      <w:divBdr>
        <w:top w:val="none" w:sz="0" w:space="0" w:color="auto"/>
        <w:left w:val="none" w:sz="0" w:space="0" w:color="auto"/>
        <w:bottom w:val="none" w:sz="0" w:space="0" w:color="auto"/>
        <w:right w:val="none" w:sz="0" w:space="0" w:color="auto"/>
      </w:divBdr>
    </w:div>
    <w:div w:id="770004832">
      <w:bodyDiv w:val="1"/>
      <w:marLeft w:val="0"/>
      <w:marRight w:val="0"/>
      <w:marTop w:val="0"/>
      <w:marBottom w:val="0"/>
      <w:divBdr>
        <w:top w:val="none" w:sz="0" w:space="0" w:color="auto"/>
        <w:left w:val="none" w:sz="0" w:space="0" w:color="auto"/>
        <w:bottom w:val="none" w:sz="0" w:space="0" w:color="auto"/>
        <w:right w:val="none" w:sz="0" w:space="0" w:color="auto"/>
      </w:divBdr>
    </w:div>
    <w:div w:id="1392268890">
      <w:bodyDiv w:val="1"/>
      <w:marLeft w:val="0"/>
      <w:marRight w:val="0"/>
      <w:marTop w:val="0"/>
      <w:marBottom w:val="0"/>
      <w:divBdr>
        <w:top w:val="none" w:sz="0" w:space="0" w:color="auto"/>
        <w:left w:val="none" w:sz="0" w:space="0" w:color="auto"/>
        <w:bottom w:val="none" w:sz="0" w:space="0" w:color="auto"/>
        <w:right w:val="none" w:sz="0" w:space="0" w:color="auto"/>
      </w:divBdr>
    </w:div>
    <w:div w:id="1479302890">
      <w:bodyDiv w:val="1"/>
      <w:marLeft w:val="0"/>
      <w:marRight w:val="0"/>
      <w:marTop w:val="0"/>
      <w:marBottom w:val="0"/>
      <w:divBdr>
        <w:top w:val="none" w:sz="0" w:space="0" w:color="auto"/>
        <w:left w:val="none" w:sz="0" w:space="0" w:color="auto"/>
        <w:bottom w:val="none" w:sz="0" w:space="0" w:color="auto"/>
        <w:right w:val="none" w:sz="0" w:space="0" w:color="auto"/>
      </w:divBdr>
    </w:div>
    <w:div w:id="1641883411">
      <w:bodyDiv w:val="1"/>
      <w:marLeft w:val="0"/>
      <w:marRight w:val="0"/>
      <w:marTop w:val="0"/>
      <w:marBottom w:val="0"/>
      <w:divBdr>
        <w:top w:val="none" w:sz="0" w:space="0" w:color="auto"/>
        <w:left w:val="none" w:sz="0" w:space="0" w:color="auto"/>
        <w:bottom w:val="none" w:sz="0" w:space="0" w:color="auto"/>
        <w:right w:val="none" w:sz="0" w:space="0" w:color="auto"/>
      </w:divBdr>
    </w:div>
    <w:div w:id="189977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mitre.org/about/cve_and_nvd_relationshi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d.nist.gov/vuln-metrics/cv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vd.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Khokle</dc:creator>
  <cp:keywords/>
  <dc:description/>
  <cp:lastModifiedBy>Prajwal Khokle</cp:lastModifiedBy>
  <cp:revision>2</cp:revision>
  <dcterms:created xsi:type="dcterms:W3CDTF">2025-02-14T07:14:00Z</dcterms:created>
  <dcterms:modified xsi:type="dcterms:W3CDTF">2025-02-14T09:51:00Z</dcterms:modified>
</cp:coreProperties>
</file>