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240C758D" w:rsidR="00FB7E63" w:rsidRDefault="00FB7E63" w:rsidP="00FB7E63">
      <w:pPr>
        <w:pStyle w:val="Title"/>
      </w:pPr>
      <w:r>
        <w:t>Predicting News Article Stance</w:t>
      </w:r>
    </w:p>
    <w:p w14:paraId="4FABAAA4" w14:textId="6C294C38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F72D78B" w:rsidR="00694231" w:rsidRDefault="00694231" w:rsidP="00694231">
      <w:pPr>
        <w:pStyle w:val="Heading1"/>
      </w:pPr>
      <w:r>
        <w:t>Approach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r>
        <w:rPr>
          <w:noProof/>
        </w:rPr>
        <w:drawing>
          <wp:inline distT="0" distB="0" distL="0" distR="0" wp14:anchorId="16A6A4AD" wp14:editId="71804150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2E0BEFB" w14:textId="365A3EC9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62AEBD0D" w:rsidR="00F04616" w:rsidRP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  <w:bookmarkStart w:id="0" w:name="_GoBack"/>
      <w:bookmarkEnd w:id="0"/>
    </w:p>
    <w:sectPr w:rsidR="00F04616" w:rsidRPr="00F0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171E89"/>
    <w:rsid w:val="005903CF"/>
    <w:rsid w:val="00690F0F"/>
    <w:rsid w:val="00694231"/>
    <w:rsid w:val="008B3080"/>
    <w:rsid w:val="0091098E"/>
    <w:rsid w:val="00995ACB"/>
    <w:rsid w:val="00C04E80"/>
    <w:rsid w:val="00CD1C9E"/>
    <w:rsid w:val="00D83093"/>
    <w:rsid w:val="00E81643"/>
    <w:rsid w:val="00E90565"/>
    <w:rsid w:val="00F04616"/>
    <w:rsid w:val="00FB7E63"/>
    <w:rsid w:val="00F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Partial vs. </a:t>
          </a:r>
          <a:br>
            <a:rPr lang="en-AU"/>
          </a:br>
          <a:r>
            <a:rPr lang="en-AU" b="1"/>
            <a:t>Impartial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Partial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vs. </a:t>
          </a:r>
          <a:br>
            <a:rPr lang="en-AU" sz="1500" kern="1200"/>
          </a:br>
          <a:r>
            <a:rPr lang="en-AU" sz="1500" b="1" kern="1200"/>
            <a:t>Impartial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9</cp:revision>
  <dcterms:created xsi:type="dcterms:W3CDTF">2018-05-23T08:15:00Z</dcterms:created>
  <dcterms:modified xsi:type="dcterms:W3CDTF">2018-05-23T08:37:00Z</dcterms:modified>
</cp:coreProperties>
</file>