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795" w:rsidRPr="00A4402D" w:rsidRDefault="00966CE9" w:rsidP="00A4402D">
      <w:pPr>
        <w:pStyle w:val="Heading1"/>
        <w:rPr>
          <w:sz w:val="22"/>
          <w:szCs w:val="22"/>
        </w:rPr>
      </w:pPr>
      <w:r w:rsidRPr="00A4402D">
        <w:rPr>
          <w:sz w:val="22"/>
          <w:szCs w:val="22"/>
        </w:rPr>
        <w:t>Risk Assessment Reports</w:t>
      </w:r>
    </w:p>
    <w:p w:rsidR="00966CE9" w:rsidRDefault="00966CE9" w:rsidP="00966CE9">
      <w:pPr>
        <w:pStyle w:val="BodyText"/>
        <w:spacing w:after="120" w:line="276" w:lineRule="auto"/>
        <w:ind w:right="230"/>
        <w:rPr>
          <w:rFonts w:asciiTheme="minorHAnsi" w:hAnsiTheme="minorHAnsi" w:cstheme="minorHAnsi"/>
          <w:sz w:val="20"/>
          <w:szCs w:val="20"/>
        </w:rPr>
      </w:pPr>
      <w:r>
        <w:rPr>
          <w:rFonts w:asciiTheme="minorHAnsi" w:hAnsiTheme="minorHAnsi" w:cstheme="minorHAnsi"/>
          <w:sz w:val="20"/>
          <w:szCs w:val="20"/>
        </w:rPr>
        <w:t xml:space="preserve">This </w:t>
      </w:r>
      <w:r w:rsidRPr="00DD2179">
        <w:rPr>
          <w:rFonts w:asciiTheme="minorHAnsi" w:hAnsiTheme="minorHAnsi" w:cstheme="minorHAnsi"/>
          <w:sz w:val="20"/>
          <w:szCs w:val="20"/>
        </w:rPr>
        <w:t>risk assessment report, adapted from NIST’s Special Publication 800-30, provides the essential elements of information that organizations can use to communicate the results of risk assessments.  Risk assessment results provide decision makers with an understanding of the information security risk to organizational operations and assets, individuals, other organizations, or the Nation that derive from the operation and use of organizational information systems and the environments in which those systems operate.</w:t>
      </w:r>
    </w:p>
    <w:p w:rsidR="00966CE9" w:rsidRPr="00281F24" w:rsidRDefault="00966CE9" w:rsidP="00966CE9">
      <w:pPr>
        <w:pStyle w:val="BodyText"/>
        <w:spacing w:after="120" w:line="276" w:lineRule="auto"/>
        <w:ind w:right="230"/>
        <w:rPr>
          <w:rFonts w:asciiTheme="minorHAnsi" w:hAnsiTheme="minorHAnsi" w:cstheme="minorHAnsi"/>
          <w:sz w:val="20"/>
          <w:szCs w:val="20"/>
        </w:rPr>
      </w:pPr>
      <w:r w:rsidRPr="00281F24">
        <w:rPr>
          <w:rFonts w:asciiTheme="minorHAnsi" w:hAnsiTheme="minorHAnsi" w:cstheme="minorHAnsi"/>
          <w:sz w:val="20"/>
          <w:szCs w:val="20"/>
        </w:rPr>
        <w:t>The essential elements of information in a risk assessment can be described in three sections of the risk assessment report (or whatever vehicle is chosen by organizations to convey the results of the assessment): (</w:t>
      </w:r>
      <w:proofErr w:type="spellStart"/>
      <w:r w:rsidRPr="00281F24">
        <w:rPr>
          <w:rFonts w:asciiTheme="minorHAnsi" w:hAnsiTheme="minorHAnsi" w:cstheme="minorHAnsi"/>
          <w:sz w:val="20"/>
          <w:szCs w:val="20"/>
        </w:rPr>
        <w:t>i</w:t>
      </w:r>
      <w:proofErr w:type="spellEnd"/>
      <w:r w:rsidRPr="00281F24">
        <w:rPr>
          <w:rFonts w:asciiTheme="minorHAnsi" w:hAnsiTheme="minorHAnsi" w:cstheme="minorHAnsi"/>
          <w:sz w:val="20"/>
          <w:szCs w:val="20"/>
        </w:rPr>
        <w:t>) an executive summary; (ii) the main body containing detailed risk assessment results; and (iii) supporting</w:t>
      </w:r>
      <w:r w:rsidRPr="00281F24">
        <w:rPr>
          <w:rFonts w:asciiTheme="minorHAnsi" w:hAnsiTheme="minorHAnsi" w:cstheme="minorHAnsi"/>
          <w:spacing w:val="-7"/>
          <w:sz w:val="20"/>
          <w:szCs w:val="20"/>
        </w:rPr>
        <w:t xml:space="preserve"> </w:t>
      </w:r>
      <w:r w:rsidRPr="00281F24">
        <w:rPr>
          <w:rFonts w:asciiTheme="minorHAnsi" w:hAnsiTheme="minorHAnsi" w:cstheme="minorHAnsi"/>
          <w:sz w:val="20"/>
          <w:szCs w:val="20"/>
        </w:rPr>
        <w:t>appendices.</w:t>
      </w:r>
    </w:p>
    <w:p w:rsidR="00001364" w:rsidRDefault="00001364" w:rsidP="00001364">
      <w:pPr>
        <w:pStyle w:val="BodyText"/>
        <w:spacing w:line="237" w:lineRule="auto"/>
        <w:ind w:right="228"/>
        <w:rPr>
          <w:rFonts w:asciiTheme="minorHAnsi" w:hAnsiTheme="minorHAnsi" w:cstheme="minorHAnsi"/>
          <w:sz w:val="20"/>
          <w:szCs w:val="20"/>
        </w:rPr>
      </w:pPr>
      <w:r>
        <w:rPr>
          <w:rFonts w:asciiTheme="minorHAnsi" w:hAnsiTheme="minorHAnsi" w:cstheme="minorHAnsi"/>
          <w:sz w:val="20"/>
          <w:szCs w:val="20"/>
        </w:rPr>
        <w:t>R</w:t>
      </w:r>
      <w:r w:rsidRPr="00281F24">
        <w:rPr>
          <w:rFonts w:asciiTheme="minorHAnsi" w:hAnsiTheme="minorHAnsi" w:cstheme="minorHAnsi"/>
          <w:sz w:val="20"/>
          <w:szCs w:val="20"/>
        </w:rPr>
        <w:t xml:space="preserve">eference </w:t>
      </w:r>
      <w:hyperlink r:id="rId7" w:history="1">
        <w:r w:rsidRPr="00535A3D">
          <w:rPr>
            <w:rStyle w:val="Hyperlink"/>
            <w:rFonts w:asciiTheme="minorHAnsi" w:hAnsiTheme="minorHAnsi" w:cstheme="minorHAnsi"/>
            <w:sz w:val="20"/>
            <w:szCs w:val="20"/>
          </w:rPr>
          <w:t>NIST 800-30 Guide for Conducting Risk Assessments</w:t>
        </w:r>
      </w:hyperlink>
      <w:r w:rsidRPr="00281F24">
        <w:rPr>
          <w:rFonts w:asciiTheme="minorHAnsi" w:hAnsiTheme="minorHAnsi" w:cstheme="minorHAnsi"/>
          <w:sz w:val="20"/>
          <w:szCs w:val="20"/>
        </w:rPr>
        <w:t xml:space="preserve"> as you complete this report, paying </w:t>
      </w:r>
      <w:r>
        <w:rPr>
          <w:rFonts w:asciiTheme="minorHAnsi" w:hAnsiTheme="minorHAnsi" w:cstheme="minorHAnsi"/>
          <w:sz w:val="20"/>
          <w:szCs w:val="20"/>
        </w:rPr>
        <w:t xml:space="preserve">special </w:t>
      </w:r>
      <w:r w:rsidRPr="00281F24">
        <w:rPr>
          <w:rFonts w:asciiTheme="minorHAnsi" w:hAnsiTheme="minorHAnsi" w:cstheme="minorHAnsi"/>
          <w:sz w:val="20"/>
          <w:szCs w:val="20"/>
        </w:rPr>
        <w:t xml:space="preserve">attention to </w:t>
      </w:r>
      <w:hyperlink r:id="rId8" w:anchor="page=26" w:history="1">
        <w:r w:rsidRPr="009B3B43">
          <w:rPr>
            <w:rStyle w:val="Hyperlink"/>
            <w:rFonts w:asciiTheme="minorHAnsi" w:hAnsiTheme="minorHAnsi" w:cstheme="minorHAnsi"/>
            <w:sz w:val="20"/>
            <w:szCs w:val="20"/>
          </w:rPr>
          <w:t>Section 2.4 Application of Risk Assessments</w:t>
        </w:r>
      </w:hyperlink>
      <w:r>
        <w:rPr>
          <w:rFonts w:asciiTheme="minorHAnsi" w:hAnsiTheme="minorHAnsi" w:cstheme="minorHAnsi"/>
          <w:sz w:val="20"/>
          <w:szCs w:val="20"/>
        </w:rPr>
        <w:t>.</w:t>
      </w:r>
    </w:p>
    <w:p w:rsidR="00966CE9" w:rsidRPr="00281F24" w:rsidRDefault="00966CE9" w:rsidP="00001364">
      <w:pPr>
        <w:pStyle w:val="BodyText"/>
        <w:spacing w:before="240" w:after="120" w:line="276" w:lineRule="auto"/>
        <w:ind w:right="230"/>
        <w:rPr>
          <w:rFonts w:asciiTheme="minorHAnsi" w:hAnsiTheme="minorHAnsi" w:cstheme="minorHAnsi"/>
          <w:sz w:val="20"/>
          <w:szCs w:val="20"/>
        </w:rPr>
      </w:pPr>
      <w:r w:rsidRPr="00281F24">
        <w:rPr>
          <w:rFonts w:asciiTheme="minorHAnsi" w:hAnsiTheme="minorHAnsi" w:cstheme="minorHAnsi"/>
          <w:sz w:val="20"/>
          <w:szCs w:val="20"/>
        </w:rPr>
        <w:t xml:space="preserve">*Your report should focus on either Tier 1, Tier 2 or Tier 3. </w:t>
      </w:r>
    </w:p>
    <w:p w:rsidR="00966CE9" w:rsidRDefault="00966CE9" w:rsidP="00966CE9">
      <w:pPr>
        <w:pStyle w:val="BodyText"/>
        <w:spacing w:after="120" w:line="276" w:lineRule="auto"/>
        <w:ind w:right="230"/>
        <w:rPr>
          <w:rFonts w:asciiTheme="minorHAnsi" w:hAnsiTheme="minorHAnsi" w:cstheme="minorHAnsi"/>
          <w:sz w:val="20"/>
          <w:szCs w:val="20"/>
        </w:rPr>
      </w:pPr>
      <w:r w:rsidRPr="00281F24">
        <w:rPr>
          <w:rFonts w:asciiTheme="minorHAnsi" w:hAnsiTheme="minorHAnsi" w:cstheme="minorHAnsi"/>
          <w:b/>
          <w:bCs/>
          <w:sz w:val="20"/>
          <w:szCs w:val="20"/>
        </w:rPr>
        <w:t>Tip</w:t>
      </w:r>
      <w:r w:rsidRPr="00281F24">
        <w:rPr>
          <w:rFonts w:asciiTheme="minorHAnsi" w:hAnsiTheme="minorHAnsi" w:cstheme="minorHAnsi"/>
          <w:sz w:val="20"/>
          <w:szCs w:val="20"/>
        </w:rPr>
        <w:t xml:space="preserve">: </w:t>
      </w:r>
      <w:r w:rsidRPr="00281F24">
        <w:rPr>
          <w:rFonts w:asciiTheme="minorHAnsi" w:hAnsiTheme="minorHAnsi" w:cstheme="minorHAnsi"/>
          <w:i/>
          <w:iCs/>
          <w:sz w:val="20"/>
          <w:szCs w:val="20"/>
        </w:rPr>
        <w:t>Search for “Tier 1” or “Tier 2” or “Tier 3” throughout the NIST 800-30 document for references to these Tiers</w:t>
      </w:r>
      <w:r w:rsidRPr="00281F24">
        <w:rPr>
          <w:rFonts w:asciiTheme="minorHAnsi" w:hAnsiTheme="minorHAnsi" w:cstheme="minorHAnsi"/>
          <w:sz w:val="20"/>
          <w:szCs w:val="20"/>
        </w:rPr>
        <w:t xml:space="preserve">. </w:t>
      </w:r>
    </w:p>
    <w:p w:rsidR="004F6370" w:rsidRDefault="004F6370">
      <w:pPr>
        <w:rPr>
          <w:rFonts w:eastAsia="Times New Roman" w:cstheme="minorHAnsi"/>
          <w:sz w:val="20"/>
          <w:szCs w:val="20"/>
          <w:lang w:bidi="en-US"/>
        </w:rPr>
      </w:pPr>
      <w:r>
        <w:rPr>
          <w:rFonts w:cstheme="minorHAnsi"/>
          <w:sz w:val="20"/>
          <w:szCs w:val="20"/>
        </w:rPr>
        <w:br w:type="page"/>
      </w:r>
    </w:p>
    <w:p w:rsidR="004F6370" w:rsidRPr="00542827" w:rsidRDefault="004F6370" w:rsidP="00F21ECA">
      <w:pPr>
        <w:pStyle w:val="Heading1"/>
        <w:numPr>
          <w:ilvl w:val="0"/>
          <w:numId w:val="5"/>
        </w:numPr>
        <w:rPr>
          <w:rFonts w:cstheme="majorHAnsi"/>
          <w:sz w:val="22"/>
        </w:rPr>
      </w:pPr>
      <w:r w:rsidRPr="00542827">
        <w:rPr>
          <w:rFonts w:cstheme="majorHAnsi"/>
          <w:sz w:val="22"/>
        </w:rPr>
        <w:lastRenderedPageBreak/>
        <w:t>Executive Summary</w:t>
      </w:r>
    </w:p>
    <w:p w:rsidR="004F6370" w:rsidRPr="004F6370" w:rsidRDefault="004F6370" w:rsidP="002C4050">
      <w:pPr>
        <w:spacing w:before="120" w:after="120" w:line="276" w:lineRule="auto"/>
        <w:ind w:left="403" w:hanging="403"/>
        <w:rPr>
          <w:rFonts w:cstheme="minorHAnsi"/>
          <w:i/>
          <w:sz w:val="20"/>
          <w:szCs w:val="20"/>
        </w:rPr>
      </w:pPr>
      <w:bookmarkStart w:id="0" w:name="_Hlk36724635"/>
      <w:r w:rsidRPr="004F6370">
        <w:rPr>
          <w:rFonts w:cstheme="minorHAnsi"/>
          <w:i/>
          <w:sz w:val="20"/>
          <w:szCs w:val="20"/>
        </w:rPr>
        <w:t>Include the following</w:t>
      </w:r>
      <w:r>
        <w:rPr>
          <w:rFonts w:cstheme="minorHAnsi"/>
          <w:i/>
          <w:sz w:val="20"/>
          <w:szCs w:val="20"/>
        </w:rPr>
        <w:t>:</w:t>
      </w:r>
    </w:p>
    <w:bookmarkEnd w:id="0"/>
    <w:p w:rsidR="004F6370" w:rsidRPr="004F6370" w:rsidRDefault="004F6370" w:rsidP="004F6370">
      <w:pPr>
        <w:pStyle w:val="ListParagraph"/>
        <w:numPr>
          <w:ilvl w:val="0"/>
          <w:numId w:val="4"/>
        </w:numPr>
        <w:ind w:left="630" w:hanging="270"/>
        <w:rPr>
          <w:rFonts w:asciiTheme="minorHAnsi" w:hAnsiTheme="minorHAnsi" w:cstheme="minorHAnsi"/>
          <w:sz w:val="20"/>
        </w:rPr>
      </w:pPr>
      <w:r w:rsidRPr="004F6370">
        <w:rPr>
          <w:rFonts w:asciiTheme="minorHAnsi" w:hAnsiTheme="minorHAnsi" w:cstheme="minorHAnsi"/>
          <w:sz w:val="20"/>
        </w:rPr>
        <w:t>List the date of the risk assessment.</w:t>
      </w:r>
    </w:p>
    <w:p w:rsidR="004F6370" w:rsidRPr="004F6370" w:rsidRDefault="004F6370" w:rsidP="004F6370">
      <w:pPr>
        <w:pStyle w:val="ListParagraph"/>
        <w:numPr>
          <w:ilvl w:val="0"/>
          <w:numId w:val="4"/>
        </w:numPr>
        <w:ind w:left="630" w:hanging="270"/>
        <w:rPr>
          <w:rFonts w:asciiTheme="minorHAnsi" w:hAnsiTheme="minorHAnsi" w:cstheme="minorHAnsi"/>
          <w:sz w:val="20"/>
        </w:rPr>
      </w:pPr>
      <w:r w:rsidRPr="004F6370">
        <w:rPr>
          <w:rFonts w:asciiTheme="minorHAnsi" w:hAnsiTheme="minorHAnsi" w:cstheme="minorHAnsi"/>
          <w:sz w:val="20"/>
        </w:rPr>
        <w:t>Summarize the purpose of the risk assessment.</w:t>
      </w:r>
    </w:p>
    <w:p w:rsidR="004F6370" w:rsidRPr="004F6370" w:rsidRDefault="004F6370" w:rsidP="004F6370">
      <w:pPr>
        <w:pStyle w:val="ListParagraph"/>
        <w:numPr>
          <w:ilvl w:val="0"/>
          <w:numId w:val="4"/>
        </w:numPr>
        <w:ind w:left="630" w:hanging="270"/>
        <w:rPr>
          <w:rFonts w:asciiTheme="minorHAnsi" w:hAnsiTheme="minorHAnsi" w:cstheme="minorHAnsi"/>
          <w:sz w:val="20"/>
        </w:rPr>
      </w:pPr>
      <w:r w:rsidRPr="004F6370">
        <w:rPr>
          <w:rFonts w:asciiTheme="minorHAnsi" w:hAnsiTheme="minorHAnsi" w:cstheme="minorHAnsi"/>
          <w:sz w:val="20"/>
        </w:rPr>
        <w:t>Describe the scope of the risk assessment.</w:t>
      </w:r>
    </w:p>
    <w:p w:rsidR="004F6370" w:rsidRPr="004F6370" w:rsidRDefault="004F6370" w:rsidP="004F6370">
      <w:pPr>
        <w:pStyle w:val="ListParagraph"/>
        <w:numPr>
          <w:ilvl w:val="2"/>
          <w:numId w:val="1"/>
        </w:numPr>
        <w:spacing w:before="120" w:line="276" w:lineRule="auto"/>
        <w:ind w:left="1181" w:right="230" w:hanging="274"/>
        <w:rPr>
          <w:rFonts w:asciiTheme="minorHAnsi" w:hAnsiTheme="minorHAnsi" w:cstheme="minorHAnsi"/>
          <w:color w:val="000000" w:themeColor="text1"/>
          <w:sz w:val="20"/>
          <w:szCs w:val="20"/>
        </w:rPr>
      </w:pPr>
      <w:r w:rsidRPr="004F6370">
        <w:rPr>
          <w:rFonts w:asciiTheme="minorHAnsi" w:hAnsiTheme="minorHAnsi" w:cstheme="minorHAnsi"/>
          <w:color w:val="000000" w:themeColor="text1"/>
          <w:sz w:val="20"/>
          <w:szCs w:val="20"/>
        </w:rPr>
        <w:t>For Tier 1 and Tier 2 risk assessments, identify: organizational governance structures or processes associated with the assessment (e.g., risk executive [function], budget process, acquisition process, systems engineering process, enterprise architecture, information security architecture, organizational missions/business functions, mission/business processes, information systems supporting the mission/business processes).</w:t>
      </w:r>
    </w:p>
    <w:p w:rsidR="004F6370" w:rsidRPr="004F6370" w:rsidRDefault="004F6370" w:rsidP="004F6370">
      <w:pPr>
        <w:pStyle w:val="ListParagraph"/>
        <w:numPr>
          <w:ilvl w:val="2"/>
          <w:numId w:val="1"/>
        </w:numPr>
        <w:spacing w:before="120" w:line="276" w:lineRule="auto"/>
        <w:ind w:left="1181" w:right="230" w:hanging="274"/>
        <w:rPr>
          <w:rFonts w:asciiTheme="minorHAnsi" w:hAnsiTheme="minorHAnsi" w:cstheme="minorHAnsi"/>
          <w:color w:val="000000" w:themeColor="text1"/>
          <w:sz w:val="20"/>
          <w:szCs w:val="20"/>
        </w:rPr>
      </w:pPr>
      <w:r w:rsidRPr="004F6370">
        <w:rPr>
          <w:rFonts w:asciiTheme="minorHAnsi" w:hAnsiTheme="minorHAnsi" w:cstheme="minorHAnsi"/>
          <w:color w:val="000000" w:themeColor="text1"/>
          <w:sz w:val="20"/>
          <w:szCs w:val="20"/>
        </w:rPr>
        <w:t>For Tier 3 risk assessments, identify: the information system name and location(s), security categorization, and information system (i.e., authorization)</w:t>
      </w:r>
      <w:r w:rsidRPr="004F6370">
        <w:rPr>
          <w:rFonts w:asciiTheme="minorHAnsi" w:hAnsiTheme="minorHAnsi" w:cstheme="minorHAnsi"/>
          <w:color w:val="000000" w:themeColor="text1"/>
          <w:spacing w:val="-18"/>
          <w:sz w:val="20"/>
          <w:szCs w:val="20"/>
        </w:rPr>
        <w:t xml:space="preserve"> </w:t>
      </w:r>
      <w:r w:rsidRPr="004F6370">
        <w:rPr>
          <w:rFonts w:asciiTheme="minorHAnsi" w:hAnsiTheme="minorHAnsi" w:cstheme="minorHAnsi"/>
          <w:color w:val="000000" w:themeColor="text1"/>
          <w:sz w:val="20"/>
          <w:szCs w:val="20"/>
        </w:rPr>
        <w:t>boundary.</w:t>
      </w:r>
    </w:p>
    <w:p w:rsidR="004F6370" w:rsidRPr="004F6370" w:rsidRDefault="004F6370" w:rsidP="004F6370">
      <w:pPr>
        <w:pStyle w:val="ListParagraph"/>
        <w:numPr>
          <w:ilvl w:val="0"/>
          <w:numId w:val="4"/>
        </w:numPr>
        <w:ind w:left="630" w:hanging="270"/>
        <w:rPr>
          <w:rFonts w:asciiTheme="minorHAnsi" w:hAnsiTheme="minorHAnsi" w:cstheme="minorHAnsi"/>
          <w:color w:val="000000" w:themeColor="text1"/>
          <w:sz w:val="20"/>
          <w:szCs w:val="20"/>
        </w:rPr>
      </w:pPr>
      <w:r w:rsidRPr="004F6370">
        <w:rPr>
          <w:rFonts w:asciiTheme="minorHAnsi" w:hAnsiTheme="minorHAnsi" w:cstheme="minorHAnsi"/>
          <w:color w:val="000000" w:themeColor="text1"/>
          <w:sz w:val="20"/>
          <w:szCs w:val="20"/>
        </w:rPr>
        <w:t>State whether this is an initial or subsequent risk assessment. If a subsequent risk assessment, describe the circumstances that prompted the update and include a reference to the previous Risk Assessment</w:t>
      </w:r>
      <w:r w:rsidRPr="004F6370">
        <w:rPr>
          <w:rFonts w:asciiTheme="minorHAnsi" w:hAnsiTheme="minorHAnsi" w:cstheme="minorHAnsi"/>
          <w:color w:val="000000" w:themeColor="text1"/>
          <w:spacing w:val="-3"/>
          <w:sz w:val="20"/>
          <w:szCs w:val="20"/>
        </w:rPr>
        <w:t xml:space="preserve"> </w:t>
      </w:r>
      <w:r w:rsidRPr="004F6370">
        <w:rPr>
          <w:rFonts w:asciiTheme="minorHAnsi" w:hAnsiTheme="minorHAnsi" w:cstheme="minorHAnsi"/>
          <w:color w:val="000000" w:themeColor="text1"/>
          <w:sz w:val="20"/>
          <w:szCs w:val="20"/>
        </w:rPr>
        <w:t>Report.</w:t>
      </w:r>
    </w:p>
    <w:p w:rsidR="004F6370" w:rsidRPr="004F6370" w:rsidRDefault="004F6370" w:rsidP="004F6370">
      <w:pPr>
        <w:pStyle w:val="ListParagraph"/>
        <w:numPr>
          <w:ilvl w:val="0"/>
          <w:numId w:val="4"/>
        </w:numPr>
        <w:ind w:left="630" w:hanging="270"/>
        <w:rPr>
          <w:rFonts w:asciiTheme="minorHAnsi" w:hAnsiTheme="minorHAnsi" w:cstheme="minorHAnsi"/>
          <w:color w:val="000000" w:themeColor="text1"/>
          <w:sz w:val="20"/>
          <w:szCs w:val="20"/>
        </w:rPr>
      </w:pPr>
      <w:r w:rsidRPr="004F6370">
        <w:rPr>
          <w:rFonts w:asciiTheme="minorHAnsi" w:hAnsiTheme="minorHAnsi" w:cstheme="minorHAnsi"/>
          <w:color w:val="000000" w:themeColor="text1"/>
          <w:sz w:val="20"/>
          <w:szCs w:val="20"/>
        </w:rPr>
        <w:t>Describe the overall level of risk (e.g., Very Low, Low, Moderate, High, or Very</w:t>
      </w:r>
      <w:r w:rsidRPr="004F6370">
        <w:rPr>
          <w:rFonts w:asciiTheme="minorHAnsi" w:hAnsiTheme="minorHAnsi" w:cstheme="minorHAnsi"/>
          <w:color w:val="000000" w:themeColor="text1"/>
          <w:spacing w:val="-23"/>
          <w:sz w:val="20"/>
          <w:szCs w:val="20"/>
        </w:rPr>
        <w:t xml:space="preserve"> </w:t>
      </w:r>
      <w:r w:rsidRPr="004F6370">
        <w:rPr>
          <w:rFonts w:asciiTheme="minorHAnsi" w:hAnsiTheme="minorHAnsi" w:cstheme="minorHAnsi"/>
          <w:color w:val="000000" w:themeColor="text1"/>
          <w:sz w:val="20"/>
          <w:szCs w:val="20"/>
        </w:rPr>
        <w:t>High).</w:t>
      </w:r>
    </w:p>
    <w:p w:rsidR="004F6370" w:rsidRPr="004F6370" w:rsidRDefault="004F6370" w:rsidP="004F6370">
      <w:pPr>
        <w:pStyle w:val="ListParagraph"/>
        <w:numPr>
          <w:ilvl w:val="0"/>
          <w:numId w:val="4"/>
        </w:numPr>
        <w:ind w:left="630" w:hanging="270"/>
        <w:rPr>
          <w:rFonts w:asciiTheme="minorHAnsi" w:hAnsiTheme="minorHAnsi" w:cstheme="minorHAnsi"/>
          <w:color w:val="000000" w:themeColor="text1"/>
          <w:sz w:val="20"/>
          <w:szCs w:val="20"/>
        </w:rPr>
      </w:pPr>
      <w:r w:rsidRPr="004F6370">
        <w:rPr>
          <w:rFonts w:asciiTheme="minorHAnsi" w:hAnsiTheme="minorHAnsi" w:cstheme="minorHAnsi"/>
          <w:color w:val="000000" w:themeColor="text1"/>
          <w:sz w:val="20"/>
          <w:szCs w:val="20"/>
        </w:rPr>
        <w:t>List the number of risks identified for each level of risk (e.g., Very Low, Low, Moderate, High, or Very</w:t>
      </w:r>
      <w:r w:rsidRPr="004F6370">
        <w:rPr>
          <w:rFonts w:asciiTheme="minorHAnsi" w:hAnsiTheme="minorHAnsi" w:cstheme="minorHAnsi"/>
          <w:color w:val="000000" w:themeColor="text1"/>
          <w:spacing w:val="-3"/>
          <w:sz w:val="20"/>
          <w:szCs w:val="20"/>
        </w:rPr>
        <w:t xml:space="preserve"> </w:t>
      </w:r>
      <w:r w:rsidRPr="004F6370">
        <w:rPr>
          <w:rFonts w:asciiTheme="minorHAnsi" w:hAnsiTheme="minorHAnsi" w:cstheme="minorHAnsi"/>
          <w:color w:val="000000" w:themeColor="text1"/>
          <w:sz w:val="20"/>
          <w:szCs w:val="20"/>
        </w:rPr>
        <w:t>High).</w:t>
      </w:r>
    </w:p>
    <w:p w:rsidR="004F6370" w:rsidRPr="00281F24" w:rsidRDefault="004F6370" w:rsidP="004F6370">
      <w:pPr>
        <w:pStyle w:val="BodyText"/>
        <w:spacing w:before="2"/>
        <w:rPr>
          <w:rFonts w:asciiTheme="minorHAnsi" w:hAnsiTheme="minorHAnsi" w:cstheme="minorHAnsi"/>
          <w:sz w:val="20"/>
          <w:szCs w:val="20"/>
        </w:rPr>
      </w:pPr>
    </w:p>
    <w:p w:rsidR="004F6370" w:rsidRPr="00281F24" w:rsidRDefault="004F6370" w:rsidP="00966CE9">
      <w:pPr>
        <w:pStyle w:val="BodyText"/>
        <w:spacing w:after="120" w:line="276" w:lineRule="auto"/>
        <w:ind w:right="230"/>
        <w:rPr>
          <w:rFonts w:asciiTheme="minorHAnsi" w:hAnsiTheme="minorHAnsi" w:cstheme="minorHAnsi"/>
          <w:sz w:val="20"/>
          <w:szCs w:val="20"/>
        </w:rPr>
      </w:pPr>
    </w:p>
    <w:p w:rsidR="00542827" w:rsidRDefault="00542827">
      <w:pPr>
        <w:rPr>
          <w:b/>
        </w:rPr>
      </w:pPr>
      <w:r>
        <w:rPr>
          <w:b/>
        </w:rPr>
        <w:br w:type="page"/>
      </w:r>
      <w:bookmarkStart w:id="1" w:name="_GoBack"/>
      <w:bookmarkEnd w:id="1"/>
    </w:p>
    <w:p w:rsidR="00B9101F" w:rsidRDefault="00B9101F" w:rsidP="00F21ECA">
      <w:pPr>
        <w:pStyle w:val="Heading1"/>
        <w:numPr>
          <w:ilvl w:val="0"/>
          <w:numId w:val="5"/>
        </w:numPr>
        <w:rPr>
          <w:sz w:val="22"/>
        </w:rPr>
      </w:pPr>
      <w:r w:rsidRPr="00B9101F">
        <w:rPr>
          <w:sz w:val="22"/>
        </w:rPr>
        <w:lastRenderedPageBreak/>
        <w:t>Body of the Report</w:t>
      </w:r>
      <w:r>
        <w:rPr>
          <w:sz w:val="22"/>
        </w:rPr>
        <w:t>: Part 1</w:t>
      </w:r>
    </w:p>
    <w:p w:rsidR="001B61A4" w:rsidRPr="001B61A4" w:rsidRDefault="001B61A4" w:rsidP="001B61A4">
      <w:pPr>
        <w:spacing w:before="122"/>
        <w:ind w:left="400" w:hanging="400"/>
        <w:rPr>
          <w:rFonts w:cstheme="minorHAnsi"/>
          <w:i/>
          <w:sz w:val="20"/>
          <w:szCs w:val="20"/>
        </w:rPr>
      </w:pPr>
      <w:r w:rsidRPr="004F6370">
        <w:rPr>
          <w:rFonts w:cstheme="minorHAnsi"/>
          <w:i/>
          <w:sz w:val="20"/>
          <w:szCs w:val="20"/>
        </w:rPr>
        <w:t>Include the following</w:t>
      </w:r>
      <w:r>
        <w:rPr>
          <w:rFonts w:cstheme="minorHAnsi"/>
          <w:i/>
          <w:sz w:val="20"/>
          <w:szCs w:val="20"/>
        </w:rPr>
        <w:t>:</w:t>
      </w:r>
    </w:p>
    <w:p w:rsidR="00B9101F" w:rsidRPr="00B9101F" w:rsidRDefault="00B9101F" w:rsidP="00B9101F">
      <w:pPr>
        <w:pStyle w:val="ListParagraph"/>
        <w:numPr>
          <w:ilvl w:val="0"/>
          <w:numId w:val="4"/>
        </w:numPr>
        <w:ind w:left="630" w:hanging="270"/>
        <w:rPr>
          <w:rFonts w:asciiTheme="minorHAnsi" w:hAnsiTheme="minorHAnsi" w:cstheme="minorHAnsi"/>
          <w:color w:val="000000" w:themeColor="text1"/>
          <w:sz w:val="20"/>
          <w:szCs w:val="20"/>
        </w:rPr>
      </w:pPr>
      <w:r w:rsidRPr="00B9101F">
        <w:rPr>
          <w:rFonts w:asciiTheme="minorHAnsi" w:hAnsiTheme="minorHAnsi" w:cstheme="minorHAnsi"/>
          <w:color w:val="000000" w:themeColor="text1"/>
          <w:sz w:val="20"/>
          <w:szCs w:val="20"/>
        </w:rPr>
        <w:t>Describe the purpose of the risk assessment, including questions to be answered by the assessment. For</w:t>
      </w:r>
      <w:r w:rsidRPr="00B9101F">
        <w:rPr>
          <w:rFonts w:asciiTheme="minorHAnsi" w:hAnsiTheme="minorHAnsi" w:cstheme="minorHAnsi"/>
          <w:color w:val="000000" w:themeColor="text1"/>
          <w:spacing w:val="-3"/>
          <w:sz w:val="20"/>
          <w:szCs w:val="20"/>
        </w:rPr>
        <w:t xml:space="preserve"> </w:t>
      </w:r>
      <w:r w:rsidRPr="00B9101F">
        <w:rPr>
          <w:rFonts w:asciiTheme="minorHAnsi" w:hAnsiTheme="minorHAnsi" w:cstheme="minorHAnsi"/>
          <w:color w:val="000000" w:themeColor="text1"/>
          <w:sz w:val="20"/>
          <w:szCs w:val="20"/>
        </w:rPr>
        <w:t>example:</w:t>
      </w:r>
      <w:bookmarkStart w:id="2" w:name="_bookmark82"/>
      <w:bookmarkEnd w:id="2"/>
    </w:p>
    <w:p w:rsidR="00B9101F" w:rsidRPr="00B9101F" w:rsidRDefault="00B9101F" w:rsidP="00B9101F">
      <w:pPr>
        <w:pStyle w:val="ListParagraph"/>
        <w:numPr>
          <w:ilvl w:val="2"/>
          <w:numId w:val="1"/>
        </w:numPr>
        <w:spacing w:before="120" w:line="276" w:lineRule="auto"/>
        <w:ind w:left="1181" w:right="230" w:hanging="274"/>
        <w:rPr>
          <w:rFonts w:asciiTheme="minorHAnsi" w:hAnsiTheme="minorHAnsi" w:cstheme="minorHAnsi"/>
          <w:color w:val="000000" w:themeColor="text1"/>
          <w:sz w:val="20"/>
          <w:szCs w:val="20"/>
        </w:rPr>
      </w:pPr>
      <w:r w:rsidRPr="00B9101F">
        <w:rPr>
          <w:rFonts w:asciiTheme="minorHAnsi" w:hAnsiTheme="minorHAnsi" w:cstheme="minorHAnsi"/>
          <w:color w:val="000000" w:themeColor="text1"/>
          <w:sz w:val="20"/>
          <w:szCs w:val="20"/>
        </w:rPr>
        <w:t>How the use of a specific information technology would potentially change the risk to organizational missions/business functions if employed in information systems supporting those missions/business functions;</w:t>
      </w:r>
      <w:r w:rsidRPr="00B9101F">
        <w:rPr>
          <w:rFonts w:asciiTheme="minorHAnsi" w:hAnsiTheme="minorHAnsi" w:cstheme="minorHAnsi"/>
          <w:color w:val="000000" w:themeColor="text1"/>
          <w:spacing w:val="-5"/>
          <w:sz w:val="20"/>
          <w:szCs w:val="20"/>
        </w:rPr>
        <w:t xml:space="preserve"> </w:t>
      </w:r>
      <w:r w:rsidRPr="00B9101F">
        <w:rPr>
          <w:rFonts w:asciiTheme="minorHAnsi" w:hAnsiTheme="minorHAnsi" w:cstheme="minorHAnsi"/>
          <w:color w:val="000000" w:themeColor="text1"/>
          <w:sz w:val="20"/>
          <w:szCs w:val="20"/>
        </w:rPr>
        <w:t>or</w:t>
      </w:r>
    </w:p>
    <w:p w:rsidR="00B9101F" w:rsidRDefault="00B9101F" w:rsidP="00B9101F">
      <w:pPr>
        <w:pStyle w:val="ListParagraph"/>
        <w:numPr>
          <w:ilvl w:val="2"/>
          <w:numId w:val="1"/>
        </w:numPr>
        <w:spacing w:before="120" w:line="276" w:lineRule="auto"/>
        <w:ind w:left="1181" w:right="230" w:hanging="274"/>
        <w:rPr>
          <w:rFonts w:asciiTheme="minorHAnsi" w:hAnsiTheme="minorHAnsi" w:cstheme="minorHAnsi"/>
          <w:color w:val="000000" w:themeColor="text1"/>
          <w:sz w:val="20"/>
          <w:szCs w:val="20"/>
        </w:rPr>
      </w:pPr>
      <w:r w:rsidRPr="00B9101F">
        <w:rPr>
          <w:rFonts w:asciiTheme="minorHAnsi" w:hAnsiTheme="minorHAnsi" w:cstheme="minorHAnsi"/>
          <w:color w:val="000000" w:themeColor="text1"/>
          <w:sz w:val="20"/>
          <w:szCs w:val="20"/>
        </w:rPr>
        <w:t>How the risk assessment results are to be used in the context of the RMF (e.g., an initial risk assessment to be used in tailoring security control baselines and/or to guide and inform other decisions and serve as a starting point for subsequent risk assessments; subsequent risk assessment to incorporate results of security control assessments and inform authorization decisions; subsequent risk assessment to support the analysis of alternative courses of action for risk responses; subsequent risk assessment based on risk monitoring to identify new threats or vulnerabilities; subsequent risk assessments to incorporate knowledge gained from incidents or attacks).</w:t>
      </w:r>
    </w:p>
    <w:p w:rsidR="00B9101F" w:rsidRPr="00B9101F" w:rsidRDefault="00B9101F" w:rsidP="00B9101F">
      <w:pPr>
        <w:pStyle w:val="ListParagraph"/>
        <w:numPr>
          <w:ilvl w:val="0"/>
          <w:numId w:val="4"/>
        </w:numPr>
        <w:ind w:left="630" w:hanging="270"/>
        <w:rPr>
          <w:rFonts w:asciiTheme="minorHAnsi" w:hAnsiTheme="minorHAnsi" w:cstheme="minorHAnsi"/>
          <w:color w:val="000000" w:themeColor="text1"/>
          <w:sz w:val="20"/>
          <w:szCs w:val="20"/>
        </w:rPr>
      </w:pPr>
      <w:r w:rsidRPr="00B9101F">
        <w:rPr>
          <w:rFonts w:asciiTheme="minorHAnsi" w:hAnsiTheme="minorHAnsi" w:cstheme="minorHAnsi"/>
          <w:color w:val="000000" w:themeColor="text1"/>
          <w:sz w:val="20"/>
          <w:szCs w:val="20"/>
        </w:rPr>
        <w:t>Identify assumptions and</w:t>
      </w:r>
      <w:r w:rsidRPr="00B9101F">
        <w:rPr>
          <w:rFonts w:asciiTheme="minorHAnsi" w:hAnsiTheme="minorHAnsi" w:cstheme="minorHAnsi"/>
          <w:color w:val="000000" w:themeColor="text1"/>
          <w:spacing w:val="-7"/>
          <w:sz w:val="20"/>
          <w:szCs w:val="20"/>
        </w:rPr>
        <w:t xml:space="preserve"> </w:t>
      </w:r>
      <w:r w:rsidRPr="00B9101F">
        <w:rPr>
          <w:rFonts w:asciiTheme="minorHAnsi" w:hAnsiTheme="minorHAnsi" w:cstheme="minorHAnsi"/>
          <w:color w:val="000000" w:themeColor="text1"/>
          <w:sz w:val="20"/>
          <w:szCs w:val="20"/>
        </w:rPr>
        <w:t>constraints.</w:t>
      </w:r>
    </w:p>
    <w:p w:rsidR="00B9101F" w:rsidRPr="00B9101F" w:rsidRDefault="00B9101F" w:rsidP="00B9101F">
      <w:pPr>
        <w:pStyle w:val="ListParagraph"/>
        <w:numPr>
          <w:ilvl w:val="0"/>
          <w:numId w:val="4"/>
        </w:numPr>
        <w:ind w:left="630" w:hanging="270"/>
        <w:rPr>
          <w:rFonts w:asciiTheme="minorHAnsi" w:hAnsiTheme="minorHAnsi" w:cstheme="minorHAnsi"/>
          <w:color w:val="000000" w:themeColor="text1"/>
          <w:sz w:val="20"/>
          <w:szCs w:val="20"/>
        </w:rPr>
      </w:pPr>
      <w:r w:rsidRPr="00B9101F">
        <w:rPr>
          <w:rFonts w:asciiTheme="minorHAnsi" w:hAnsiTheme="minorHAnsi" w:cstheme="minorHAnsi"/>
          <w:color w:val="000000" w:themeColor="text1"/>
          <w:sz w:val="20"/>
          <w:szCs w:val="20"/>
        </w:rPr>
        <w:t>Describe risk tolerance inputs to the risk assessment (including the range of consequences to be</w:t>
      </w:r>
      <w:r w:rsidRPr="00B9101F">
        <w:rPr>
          <w:rFonts w:asciiTheme="minorHAnsi" w:hAnsiTheme="minorHAnsi" w:cstheme="minorHAnsi"/>
          <w:color w:val="000000" w:themeColor="text1"/>
          <w:spacing w:val="-2"/>
          <w:sz w:val="20"/>
          <w:szCs w:val="20"/>
        </w:rPr>
        <w:t xml:space="preserve"> </w:t>
      </w:r>
      <w:r w:rsidRPr="00B9101F">
        <w:rPr>
          <w:rFonts w:asciiTheme="minorHAnsi" w:hAnsiTheme="minorHAnsi" w:cstheme="minorHAnsi"/>
          <w:color w:val="000000" w:themeColor="text1"/>
          <w:sz w:val="20"/>
          <w:szCs w:val="20"/>
        </w:rPr>
        <w:t>considered).</w:t>
      </w:r>
    </w:p>
    <w:p w:rsidR="00B9101F" w:rsidRPr="00B9101F" w:rsidRDefault="00B9101F" w:rsidP="00B9101F">
      <w:pPr>
        <w:pStyle w:val="ListParagraph"/>
        <w:numPr>
          <w:ilvl w:val="0"/>
          <w:numId w:val="4"/>
        </w:numPr>
        <w:ind w:left="630" w:hanging="270"/>
        <w:rPr>
          <w:rFonts w:asciiTheme="minorHAnsi" w:hAnsiTheme="minorHAnsi" w:cstheme="minorHAnsi"/>
          <w:color w:val="000000" w:themeColor="text1"/>
          <w:sz w:val="20"/>
          <w:szCs w:val="20"/>
        </w:rPr>
      </w:pPr>
      <w:r w:rsidRPr="00B9101F">
        <w:rPr>
          <w:rFonts w:asciiTheme="minorHAnsi" w:hAnsiTheme="minorHAnsi" w:cstheme="minorHAnsi"/>
          <w:color w:val="000000" w:themeColor="text1"/>
          <w:sz w:val="20"/>
          <w:szCs w:val="20"/>
        </w:rPr>
        <w:t>Identify and describe the risk model and analytic approach; provide a reference or include as an appendix, identifying risk factors, value scales, and algorithms for combining values.</w:t>
      </w:r>
    </w:p>
    <w:p w:rsidR="00B9101F" w:rsidRPr="00B9101F" w:rsidRDefault="00B9101F" w:rsidP="00B9101F">
      <w:pPr>
        <w:pStyle w:val="ListParagraph"/>
        <w:numPr>
          <w:ilvl w:val="0"/>
          <w:numId w:val="4"/>
        </w:numPr>
        <w:ind w:left="630" w:hanging="270"/>
        <w:rPr>
          <w:rFonts w:asciiTheme="minorHAnsi" w:hAnsiTheme="minorHAnsi" w:cstheme="minorHAnsi"/>
          <w:color w:val="000000" w:themeColor="text1"/>
          <w:sz w:val="20"/>
          <w:szCs w:val="20"/>
        </w:rPr>
      </w:pPr>
      <w:r w:rsidRPr="00B9101F">
        <w:rPr>
          <w:rFonts w:asciiTheme="minorHAnsi" w:hAnsiTheme="minorHAnsi" w:cstheme="minorHAnsi"/>
          <w:color w:val="000000" w:themeColor="text1"/>
          <w:sz w:val="20"/>
          <w:szCs w:val="20"/>
        </w:rPr>
        <w:t>Provide a rationale for any risk-related decisions during the risk assessment</w:t>
      </w:r>
      <w:r w:rsidRPr="00B9101F">
        <w:rPr>
          <w:rFonts w:asciiTheme="minorHAnsi" w:hAnsiTheme="minorHAnsi" w:cstheme="minorHAnsi"/>
          <w:color w:val="000000" w:themeColor="text1"/>
          <w:spacing w:val="-18"/>
          <w:sz w:val="20"/>
          <w:szCs w:val="20"/>
        </w:rPr>
        <w:t xml:space="preserve"> </w:t>
      </w:r>
      <w:r w:rsidRPr="00B9101F">
        <w:rPr>
          <w:rFonts w:asciiTheme="minorHAnsi" w:hAnsiTheme="minorHAnsi" w:cstheme="minorHAnsi"/>
          <w:color w:val="000000" w:themeColor="text1"/>
          <w:sz w:val="20"/>
          <w:szCs w:val="20"/>
        </w:rPr>
        <w:t>process.</w:t>
      </w:r>
    </w:p>
    <w:p w:rsidR="00B9101F" w:rsidRDefault="00B9101F" w:rsidP="00B9101F">
      <w:pPr>
        <w:pStyle w:val="ListParagraph"/>
        <w:numPr>
          <w:ilvl w:val="0"/>
          <w:numId w:val="4"/>
        </w:numPr>
        <w:ind w:left="630" w:hanging="270"/>
        <w:rPr>
          <w:rFonts w:asciiTheme="minorHAnsi" w:hAnsiTheme="minorHAnsi" w:cstheme="minorHAnsi"/>
          <w:color w:val="000000" w:themeColor="text1"/>
          <w:sz w:val="20"/>
          <w:szCs w:val="20"/>
        </w:rPr>
      </w:pPr>
      <w:r w:rsidRPr="00B9101F">
        <w:rPr>
          <w:rFonts w:asciiTheme="minorHAnsi" w:hAnsiTheme="minorHAnsi" w:cstheme="minorHAnsi"/>
          <w:color w:val="000000" w:themeColor="text1"/>
          <w:sz w:val="20"/>
          <w:szCs w:val="20"/>
        </w:rPr>
        <w:t>Describe the uncertainties within the risk assessment process and how those uncertainties influence</w:t>
      </w:r>
      <w:r w:rsidRPr="00B9101F">
        <w:rPr>
          <w:rFonts w:asciiTheme="minorHAnsi" w:hAnsiTheme="minorHAnsi" w:cstheme="minorHAnsi"/>
          <w:color w:val="000000" w:themeColor="text1"/>
          <w:spacing w:val="-1"/>
          <w:sz w:val="20"/>
          <w:szCs w:val="20"/>
        </w:rPr>
        <w:t xml:space="preserve"> </w:t>
      </w:r>
      <w:r w:rsidRPr="00B9101F">
        <w:rPr>
          <w:rFonts w:asciiTheme="minorHAnsi" w:hAnsiTheme="minorHAnsi" w:cstheme="minorHAnsi"/>
          <w:color w:val="000000" w:themeColor="text1"/>
          <w:sz w:val="20"/>
          <w:szCs w:val="20"/>
        </w:rPr>
        <w:t>decisions.</w:t>
      </w:r>
    </w:p>
    <w:p w:rsidR="001B61A4" w:rsidRDefault="001B61A4" w:rsidP="001B61A4">
      <w:pPr>
        <w:rPr>
          <w:rFonts w:cstheme="minorHAnsi"/>
          <w:color w:val="000000" w:themeColor="text1"/>
          <w:sz w:val="20"/>
          <w:szCs w:val="20"/>
        </w:rPr>
      </w:pPr>
    </w:p>
    <w:p w:rsidR="001B61A4" w:rsidRDefault="001B61A4">
      <w:pPr>
        <w:rPr>
          <w:rFonts w:cstheme="minorHAnsi"/>
          <w:color w:val="000000" w:themeColor="text1"/>
          <w:sz w:val="20"/>
          <w:szCs w:val="20"/>
        </w:rPr>
      </w:pPr>
      <w:r>
        <w:rPr>
          <w:rFonts w:cstheme="minorHAnsi"/>
          <w:color w:val="000000" w:themeColor="text1"/>
          <w:sz w:val="20"/>
          <w:szCs w:val="20"/>
        </w:rPr>
        <w:br w:type="page"/>
      </w:r>
    </w:p>
    <w:p w:rsidR="001B61A4" w:rsidRDefault="001B61A4" w:rsidP="00F21ECA">
      <w:pPr>
        <w:pStyle w:val="Heading1"/>
        <w:numPr>
          <w:ilvl w:val="0"/>
          <w:numId w:val="5"/>
        </w:numPr>
        <w:rPr>
          <w:sz w:val="24"/>
        </w:rPr>
      </w:pPr>
      <w:r w:rsidRPr="001B61A4">
        <w:rPr>
          <w:sz w:val="24"/>
        </w:rPr>
        <w:lastRenderedPageBreak/>
        <w:t>Body of the Report: Part 2</w:t>
      </w:r>
    </w:p>
    <w:p w:rsidR="001B61A4" w:rsidRPr="001B61A4" w:rsidRDefault="001B61A4" w:rsidP="001B61A4">
      <w:pPr>
        <w:spacing w:before="122"/>
        <w:ind w:left="400" w:hanging="400"/>
        <w:rPr>
          <w:rFonts w:cstheme="minorHAnsi"/>
          <w:i/>
          <w:sz w:val="20"/>
          <w:szCs w:val="20"/>
        </w:rPr>
      </w:pPr>
      <w:r w:rsidRPr="004F6370">
        <w:rPr>
          <w:rFonts w:cstheme="minorHAnsi"/>
          <w:i/>
          <w:sz w:val="20"/>
          <w:szCs w:val="20"/>
        </w:rPr>
        <w:t>Include the following</w:t>
      </w:r>
      <w:r>
        <w:rPr>
          <w:rFonts w:cstheme="minorHAnsi"/>
          <w:i/>
          <w:sz w:val="20"/>
          <w:szCs w:val="20"/>
        </w:rPr>
        <w:t>:</w:t>
      </w:r>
    </w:p>
    <w:p w:rsidR="001B61A4" w:rsidRPr="001B61A4" w:rsidRDefault="001B61A4" w:rsidP="001B61A4">
      <w:pPr>
        <w:pStyle w:val="ListParagraph"/>
        <w:numPr>
          <w:ilvl w:val="0"/>
          <w:numId w:val="4"/>
        </w:numPr>
        <w:ind w:left="630" w:hanging="270"/>
        <w:rPr>
          <w:rFonts w:asciiTheme="minorHAnsi" w:hAnsiTheme="minorHAnsi" w:cstheme="minorHAnsi"/>
          <w:color w:val="000000" w:themeColor="text1"/>
          <w:sz w:val="20"/>
          <w:szCs w:val="20"/>
        </w:rPr>
      </w:pPr>
      <w:r w:rsidRPr="001B61A4">
        <w:rPr>
          <w:rFonts w:asciiTheme="minorHAnsi" w:hAnsiTheme="minorHAnsi" w:cstheme="minorHAnsi"/>
          <w:color w:val="000000" w:themeColor="text1"/>
          <w:sz w:val="20"/>
          <w:szCs w:val="20"/>
        </w:rPr>
        <w:t>If the risk assessment includes organizational missions/business functions, describe the missions/functions (e.g., mission/business processes supporting the missions/functions, interconnections and dependencies among related missions/business functions, and information technology that supports the missions/business functions).</w:t>
      </w:r>
    </w:p>
    <w:p w:rsidR="001B61A4" w:rsidRPr="001B61A4" w:rsidRDefault="001B61A4" w:rsidP="001B61A4">
      <w:pPr>
        <w:pStyle w:val="ListParagraph"/>
        <w:numPr>
          <w:ilvl w:val="0"/>
          <w:numId w:val="4"/>
        </w:numPr>
        <w:ind w:left="630" w:hanging="270"/>
        <w:rPr>
          <w:rFonts w:asciiTheme="minorHAnsi" w:hAnsiTheme="minorHAnsi" w:cstheme="minorHAnsi"/>
          <w:color w:val="000000" w:themeColor="text1"/>
          <w:sz w:val="20"/>
          <w:szCs w:val="20"/>
        </w:rPr>
      </w:pPr>
      <w:r w:rsidRPr="001B61A4">
        <w:rPr>
          <w:rFonts w:asciiTheme="minorHAnsi" w:hAnsiTheme="minorHAnsi" w:cstheme="minorHAnsi"/>
          <w:color w:val="000000" w:themeColor="text1"/>
          <w:sz w:val="20"/>
          <w:szCs w:val="20"/>
        </w:rPr>
        <w:t>If the risk assessment includes organizational information systems, describe the systems (e.g., missions/business functions the system is supporting, information flows to/from the systems, and dependencies on other systems, shared services, or common infrastructures).</w:t>
      </w:r>
    </w:p>
    <w:p w:rsidR="001B61A4" w:rsidRPr="001B61A4" w:rsidRDefault="001B61A4" w:rsidP="001B61A4">
      <w:pPr>
        <w:pStyle w:val="ListParagraph"/>
        <w:numPr>
          <w:ilvl w:val="0"/>
          <w:numId w:val="4"/>
        </w:numPr>
        <w:ind w:left="630" w:hanging="270"/>
        <w:rPr>
          <w:rFonts w:asciiTheme="minorHAnsi" w:hAnsiTheme="minorHAnsi" w:cstheme="minorHAnsi"/>
          <w:color w:val="000000" w:themeColor="text1"/>
          <w:sz w:val="20"/>
          <w:szCs w:val="20"/>
        </w:rPr>
      </w:pPr>
      <w:r w:rsidRPr="001B61A4">
        <w:rPr>
          <w:rFonts w:asciiTheme="minorHAnsi" w:hAnsiTheme="minorHAnsi" w:cstheme="minorHAnsi"/>
          <w:color w:val="000000" w:themeColor="text1"/>
          <w:sz w:val="20"/>
          <w:szCs w:val="20"/>
        </w:rPr>
        <w:t>Summarize risk assessment results (e.g., using tables or graphs), in a form that enables decision makers to quickly understand the risk (e.g., number of threat events for different combinations of likelihood and impact, the relative proportion of threat events at different risk levels).</w:t>
      </w:r>
    </w:p>
    <w:p w:rsidR="001B61A4" w:rsidRPr="001B61A4" w:rsidRDefault="001B61A4" w:rsidP="001B61A4">
      <w:pPr>
        <w:pStyle w:val="ListParagraph"/>
        <w:numPr>
          <w:ilvl w:val="0"/>
          <w:numId w:val="4"/>
        </w:numPr>
        <w:ind w:left="630" w:hanging="270"/>
        <w:rPr>
          <w:rFonts w:asciiTheme="minorHAnsi" w:hAnsiTheme="minorHAnsi" w:cstheme="minorHAnsi"/>
          <w:color w:val="000000" w:themeColor="text1"/>
          <w:sz w:val="20"/>
          <w:szCs w:val="20"/>
        </w:rPr>
      </w:pPr>
      <w:r w:rsidRPr="001B61A4">
        <w:rPr>
          <w:rFonts w:asciiTheme="minorHAnsi" w:hAnsiTheme="minorHAnsi" w:cstheme="minorHAnsi"/>
          <w:color w:val="000000" w:themeColor="text1"/>
          <w:sz w:val="20"/>
          <w:szCs w:val="20"/>
        </w:rPr>
        <w:t>Identify the time frame for which the risk assessment is valid (i.e., time frame for which the assessment is intended to support decisions).</w:t>
      </w:r>
    </w:p>
    <w:p w:rsidR="001B61A4" w:rsidRPr="001B61A4" w:rsidRDefault="001B61A4" w:rsidP="001B61A4">
      <w:pPr>
        <w:pStyle w:val="ListParagraph"/>
        <w:numPr>
          <w:ilvl w:val="0"/>
          <w:numId w:val="4"/>
        </w:numPr>
        <w:ind w:left="630" w:hanging="270"/>
        <w:rPr>
          <w:rFonts w:asciiTheme="minorHAnsi" w:hAnsiTheme="minorHAnsi" w:cstheme="minorHAnsi"/>
          <w:color w:val="000000" w:themeColor="text1"/>
          <w:sz w:val="20"/>
          <w:szCs w:val="20"/>
        </w:rPr>
      </w:pPr>
      <w:r w:rsidRPr="001B61A4">
        <w:rPr>
          <w:rFonts w:asciiTheme="minorHAnsi" w:hAnsiTheme="minorHAnsi" w:cstheme="minorHAnsi"/>
          <w:color w:val="000000" w:themeColor="text1"/>
          <w:sz w:val="20"/>
          <w:szCs w:val="20"/>
        </w:rPr>
        <w:t xml:space="preserve">List the risks due to adversarial threats (see </w:t>
      </w:r>
      <w:hyperlink r:id="rId9" w:anchor="page=77" w:history="1">
        <w:r w:rsidRPr="002C25FC">
          <w:rPr>
            <w:rStyle w:val="Hyperlink"/>
            <w:rFonts w:asciiTheme="minorHAnsi" w:hAnsiTheme="minorHAnsi" w:cstheme="minorHAnsi"/>
            <w:sz w:val="20"/>
            <w:szCs w:val="20"/>
          </w:rPr>
          <w:t>Table F-1</w:t>
        </w:r>
        <w:r w:rsidR="00001364" w:rsidRPr="002C25FC">
          <w:rPr>
            <w:rStyle w:val="Hyperlink"/>
            <w:rFonts w:asciiTheme="minorHAnsi" w:hAnsiTheme="minorHAnsi" w:cstheme="minorHAnsi"/>
            <w:sz w:val="20"/>
            <w:szCs w:val="20"/>
          </w:rPr>
          <w:t xml:space="preserve"> in Appendix F</w:t>
        </w:r>
      </w:hyperlink>
      <w:r w:rsidRPr="001B61A4">
        <w:rPr>
          <w:rFonts w:asciiTheme="minorHAnsi" w:hAnsiTheme="minorHAnsi" w:cstheme="minorHAnsi"/>
          <w:color w:val="000000" w:themeColor="text1"/>
          <w:sz w:val="20"/>
          <w:szCs w:val="20"/>
        </w:rPr>
        <w:t>).</w:t>
      </w:r>
    </w:p>
    <w:p w:rsidR="001B61A4" w:rsidRPr="001B61A4" w:rsidRDefault="001B61A4" w:rsidP="001B61A4">
      <w:pPr>
        <w:pStyle w:val="ListParagraph"/>
        <w:numPr>
          <w:ilvl w:val="0"/>
          <w:numId w:val="4"/>
        </w:numPr>
        <w:ind w:left="630" w:hanging="270"/>
        <w:rPr>
          <w:rFonts w:asciiTheme="minorHAnsi" w:hAnsiTheme="minorHAnsi" w:cstheme="minorHAnsi"/>
          <w:color w:val="000000" w:themeColor="text1"/>
          <w:sz w:val="20"/>
          <w:szCs w:val="20"/>
        </w:rPr>
      </w:pPr>
      <w:r w:rsidRPr="001B61A4">
        <w:rPr>
          <w:rFonts w:asciiTheme="minorHAnsi" w:hAnsiTheme="minorHAnsi" w:cstheme="minorHAnsi"/>
          <w:color w:val="000000" w:themeColor="text1"/>
          <w:sz w:val="20"/>
          <w:szCs w:val="20"/>
        </w:rPr>
        <w:t xml:space="preserve">List the risks due to non-adversarial threats (see </w:t>
      </w:r>
      <w:hyperlink r:id="rId10" w:anchor="page=78" w:history="1">
        <w:r w:rsidRPr="002C25FC">
          <w:rPr>
            <w:rStyle w:val="Hyperlink"/>
            <w:rFonts w:asciiTheme="minorHAnsi" w:hAnsiTheme="minorHAnsi" w:cstheme="minorHAnsi"/>
            <w:sz w:val="20"/>
            <w:szCs w:val="20"/>
          </w:rPr>
          <w:t>Table F-2</w:t>
        </w:r>
        <w:r w:rsidR="00001364" w:rsidRPr="002C25FC">
          <w:rPr>
            <w:rStyle w:val="Hyperlink"/>
            <w:rFonts w:asciiTheme="minorHAnsi" w:hAnsiTheme="minorHAnsi" w:cstheme="minorHAnsi"/>
            <w:sz w:val="20"/>
            <w:szCs w:val="20"/>
          </w:rPr>
          <w:t xml:space="preserve"> in Appendix F</w:t>
        </w:r>
      </w:hyperlink>
      <w:r w:rsidRPr="001B61A4">
        <w:rPr>
          <w:rFonts w:asciiTheme="minorHAnsi" w:hAnsiTheme="minorHAnsi" w:cstheme="minorHAnsi"/>
          <w:color w:val="000000" w:themeColor="text1"/>
          <w:sz w:val="20"/>
          <w:szCs w:val="20"/>
        </w:rPr>
        <w:t>).</w:t>
      </w:r>
    </w:p>
    <w:p w:rsidR="001B61A4" w:rsidRPr="001B61A4" w:rsidRDefault="001B61A4" w:rsidP="001B61A4">
      <w:pPr>
        <w:rPr>
          <w:rFonts w:cstheme="minorHAnsi"/>
          <w:color w:val="000000" w:themeColor="text1"/>
          <w:sz w:val="20"/>
          <w:szCs w:val="20"/>
        </w:rPr>
      </w:pPr>
    </w:p>
    <w:p w:rsidR="00966CE9" w:rsidRPr="00B9101F" w:rsidRDefault="00966CE9" w:rsidP="00B9101F"/>
    <w:sectPr w:rsidR="00966CE9" w:rsidRPr="00B9101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DDA" w:rsidRDefault="00A50DDA" w:rsidP="00966CE9">
      <w:pPr>
        <w:spacing w:after="0" w:line="240" w:lineRule="auto"/>
      </w:pPr>
      <w:r>
        <w:separator/>
      </w:r>
    </w:p>
  </w:endnote>
  <w:endnote w:type="continuationSeparator" w:id="0">
    <w:p w:rsidR="00A50DDA" w:rsidRDefault="00A50DDA" w:rsidP="00966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DDA" w:rsidRDefault="00A50DDA" w:rsidP="00966CE9">
      <w:pPr>
        <w:spacing w:after="0" w:line="240" w:lineRule="auto"/>
      </w:pPr>
      <w:r>
        <w:separator/>
      </w:r>
    </w:p>
  </w:footnote>
  <w:footnote w:type="continuationSeparator" w:id="0">
    <w:p w:rsidR="00A50DDA" w:rsidRDefault="00A50DDA" w:rsidP="00966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CE9" w:rsidRPr="00966CE9" w:rsidRDefault="00966CE9" w:rsidP="00966CE9">
    <w:pPr>
      <w:pStyle w:val="Header"/>
      <w:tabs>
        <w:tab w:val="right" w:pos="4680"/>
      </w:tabs>
      <w:jc w:val="center"/>
      <w:rPr>
        <w:sz w:val="18"/>
      </w:rPr>
    </w:pPr>
    <w:r w:rsidRPr="00966CE9">
      <w:rPr>
        <w:sz w:val="18"/>
      </w:rPr>
      <w:t>ISEC630 Risk Assessment Reports Template</w:t>
    </w:r>
    <w:r w:rsidRPr="00966CE9">
      <w:rPr>
        <w:sz w:val="18"/>
      </w:rPr>
      <w:ptab w:relativeTo="margin" w:alignment="center" w:leader="none"/>
    </w:r>
    <w:r w:rsidRPr="00966CE9">
      <w:rPr>
        <w:sz w:val="18"/>
      </w:rPr>
      <w:ptab w:relativeTo="margin" w:alignment="right" w:leader="none"/>
    </w:r>
    <w:r w:rsidRPr="00966CE9">
      <w:rPr>
        <w:sz w:val="18"/>
      </w:rPr>
      <w:t>Name: 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C487E"/>
    <w:multiLevelType w:val="hybridMultilevel"/>
    <w:tmpl w:val="93280064"/>
    <w:lvl w:ilvl="0" w:tplc="7FE4D1C6">
      <w:numFmt w:val="bullet"/>
      <w:lvlText w:val=""/>
      <w:lvlJc w:val="left"/>
      <w:pPr>
        <w:ind w:left="760" w:hanging="360"/>
      </w:pPr>
      <w:rPr>
        <w:rFonts w:ascii="Symbol" w:eastAsia="Symbol" w:hAnsi="Symbol" w:cs="Symbol" w:hint="default"/>
        <w:w w:val="100"/>
        <w:sz w:val="22"/>
        <w:szCs w:val="22"/>
        <w:lang w:val="en-US" w:eastAsia="en-US" w:bidi="en-U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9C16445"/>
    <w:multiLevelType w:val="hybridMultilevel"/>
    <w:tmpl w:val="F3C68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386B40"/>
    <w:multiLevelType w:val="hybridMultilevel"/>
    <w:tmpl w:val="87203F90"/>
    <w:lvl w:ilvl="0" w:tplc="468A7738">
      <w:numFmt w:val="bullet"/>
      <w:lvlText w:val="-"/>
      <w:lvlJc w:val="left"/>
      <w:pPr>
        <w:ind w:left="760" w:hanging="360"/>
      </w:pPr>
      <w:rPr>
        <w:rFonts w:ascii="Times New Roman" w:eastAsia="Times New Roman" w:hAnsi="Times New Roman" w:cs="Times New Roman" w:hint="default"/>
        <w:w w:val="100"/>
        <w:sz w:val="22"/>
        <w:szCs w:val="22"/>
        <w:lang w:val="en-US" w:eastAsia="en-US" w:bidi="en-U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759107F6"/>
    <w:multiLevelType w:val="hybridMultilevel"/>
    <w:tmpl w:val="2DCA1AD8"/>
    <w:lvl w:ilvl="0" w:tplc="468A7738">
      <w:numFmt w:val="bullet"/>
      <w:lvlText w:val="-"/>
      <w:lvlJc w:val="left"/>
      <w:pPr>
        <w:ind w:left="1480" w:hanging="360"/>
      </w:pPr>
      <w:rPr>
        <w:rFonts w:ascii="Times New Roman" w:eastAsia="Times New Roman" w:hAnsi="Times New Roman" w:cs="Times New Roman" w:hint="default"/>
        <w:w w:val="100"/>
        <w:sz w:val="22"/>
        <w:szCs w:val="22"/>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97D35"/>
    <w:multiLevelType w:val="hybridMultilevel"/>
    <w:tmpl w:val="FA7CF90A"/>
    <w:lvl w:ilvl="0" w:tplc="7FE4D1C6">
      <w:numFmt w:val="bullet"/>
      <w:lvlText w:val=""/>
      <w:lvlJc w:val="left"/>
      <w:pPr>
        <w:ind w:left="760" w:hanging="361"/>
      </w:pPr>
      <w:rPr>
        <w:rFonts w:ascii="Symbol" w:eastAsia="Symbol" w:hAnsi="Symbol" w:cs="Symbol" w:hint="default"/>
        <w:w w:val="100"/>
        <w:sz w:val="22"/>
        <w:szCs w:val="22"/>
        <w:lang w:val="en-US" w:eastAsia="en-US" w:bidi="en-US"/>
      </w:rPr>
    </w:lvl>
    <w:lvl w:ilvl="1" w:tplc="7FE4D1C6">
      <w:numFmt w:val="bullet"/>
      <w:lvlText w:val=""/>
      <w:lvlJc w:val="left"/>
      <w:pPr>
        <w:ind w:left="1120" w:hanging="361"/>
      </w:pPr>
      <w:rPr>
        <w:rFonts w:ascii="Symbol" w:eastAsia="Symbol" w:hAnsi="Symbol" w:cs="Symbol" w:hint="default"/>
        <w:w w:val="100"/>
        <w:sz w:val="22"/>
        <w:szCs w:val="22"/>
        <w:lang w:val="en-US" w:eastAsia="en-US" w:bidi="en-US"/>
      </w:rPr>
    </w:lvl>
    <w:lvl w:ilvl="2" w:tplc="468A7738">
      <w:numFmt w:val="bullet"/>
      <w:lvlText w:val="-"/>
      <w:lvlJc w:val="left"/>
      <w:pPr>
        <w:ind w:left="1480" w:hanging="360"/>
      </w:pPr>
      <w:rPr>
        <w:rFonts w:ascii="Times New Roman" w:eastAsia="Times New Roman" w:hAnsi="Times New Roman" w:cs="Times New Roman" w:hint="default"/>
        <w:w w:val="100"/>
        <w:sz w:val="22"/>
        <w:szCs w:val="22"/>
        <w:lang w:val="en-US" w:eastAsia="en-US" w:bidi="en-US"/>
      </w:rPr>
    </w:lvl>
    <w:lvl w:ilvl="3" w:tplc="0D7CB35A">
      <w:numFmt w:val="bullet"/>
      <w:lvlText w:val="•"/>
      <w:lvlJc w:val="left"/>
      <w:pPr>
        <w:ind w:left="2447" w:hanging="360"/>
      </w:pPr>
      <w:rPr>
        <w:rFonts w:hint="default"/>
        <w:lang w:val="en-US" w:eastAsia="en-US" w:bidi="en-US"/>
      </w:rPr>
    </w:lvl>
    <w:lvl w:ilvl="4" w:tplc="18A85F6C">
      <w:numFmt w:val="bullet"/>
      <w:lvlText w:val="•"/>
      <w:lvlJc w:val="left"/>
      <w:pPr>
        <w:ind w:left="3415" w:hanging="360"/>
      </w:pPr>
      <w:rPr>
        <w:rFonts w:hint="default"/>
        <w:lang w:val="en-US" w:eastAsia="en-US" w:bidi="en-US"/>
      </w:rPr>
    </w:lvl>
    <w:lvl w:ilvl="5" w:tplc="383CB370">
      <w:numFmt w:val="bullet"/>
      <w:lvlText w:val="•"/>
      <w:lvlJc w:val="left"/>
      <w:pPr>
        <w:ind w:left="4382" w:hanging="360"/>
      </w:pPr>
      <w:rPr>
        <w:rFonts w:hint="default"/>
        <w:lang w:val="en-US" w:eastAsia="en-US" w:bidi="en-US"/>
      </w:rPr>
    </w:lvl>
    <w:lvl w:ilvl="6" w:tplc="3CF85158">
      <w:numFmt w:val="bullet"/>
      <w:lvlText w:val="•"/>
      <w:lvlJc w:val="left"/>
      <w:pPr>
        <w:ind w:left="5350" w:hanging="360"/>
      </w:pPr>
      <w:rPr>
        <w:rFonts w:hint="default"/>
        <w:lang w:val="en-US" w:eastAsia="en-US" w:bidi="en-US"/>
      </w:rPr>
    </w:lvl>
    <w:lvl w:ilvl="7" w:tplc="FEF6D77C">
      <w:numFmt w:val="bullet"/>
      <w:lvlText w:val="•"/>
      <w:lvlJc w:val="left"/>
      <w:pPr>
        <w:ind w:left="6317" w:hanging="360"/>
      </w:pPr>
      <w:rPr>
        <w:rFonts w:hint="default"/>
        <w:lang w:val="en-US" w:eastAsia="en-US" w:bidi="en-US"/>
      </w:rPr>
    </w:lvl>
    <w:lvl w:ilvl="8" w:tplc="5080B146">
      <w:numFmt w:val="bullet"/>
      <w:lvlText w:val="•"/>
      <w:lvlJc w:val="left"/>
      <w:pPr>
        <w:ind w:left="7285" w:hanging="360"/>
      </w:pPr>
      <w:rPr>
        <w:rFonts w:hint="default"/>
        <w:lang w:val="en-US" w:eastAsia="en-US" w:bidi="en-US"/>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E9"/>
    <w:rsid w:val="00001364"/>
    <w:rsid w:val="000F61C6"/>
    <w:rsid w:val="0014099B"/>
    <w:rsid w:val="001430E2"/>
    <w:rsid w:val="001A28BB"/>
    <w:rsid w:val="001B61A4"/>
    <w:rsid w:val="001D3B46"/>
    <w:rsid w:val="001E4722"/>
    <w:rsid w:val="00210847"/>
    <w:rsid w:val="00221A24"/>
    <w:rsid w:val="00286FB3"/>
    <w:rsid w:val="002A2768"/>
    <w:rsid w:val="002C25FC"/>
    <w:rsid w:val="002C4050"/>
    <w:rsid w:val="00342DF8"/>
    <w:rsid w:val="003D4442"/>
    <w:rsid w:val="004B5CF1"/>
    <w:rsid w:val="004F6370"/>
    <w:rsid w:val="00542827"/>
    <w:rsid w:val="005C4865"/>
    <w:rsid w:val="005D08BA"/>
    <w:rsid w:val="005F57A4"/>
    <w:rsid w:val="00605962"/>
    <w:rsid w:val="006767F4"/>
    <w:rsid w:val="00771847"/>
    <w:rsid w:val="007D164B"/>
    <w:rsid w:val="00804E6E"/>
    <w:rsid w:val="00822503"/>
    <w:rsid w:val="0085557D"/>
    <w:rsid w:val="00911737"/>
    <w:rsid w:val="00964E4A"/>
    <w:rsid w:val="00966CE9"/>
    <w:rsid w:val="00973B3D"/>
    <w:rsid w:val="009E139F"/>
    <w:rsid w:val="00A4402D"/>
    <w:rsid w:val="00A50DDA"/>
    <w:rsid w:val="00AF06FF"/>
    <w:rsid w:val="00B24A68"/>
    <w:rsid w:val="00B558B5"/>
    <w:rsid w:val="00B82BF6"/>
    <w:rsid w:val="00B9101F"/>
    <w:rsid w:val="00BC382C"/>
    <w:rsid w:val="00C1700D"/>
    <w:rsid w:val="00C40CFF"/>
    <w:rsid w:val="00C52C1F"/>
    <w:rsid w:val="00C62652"/>
    <w:rsid w:val="00C6669B"/>
    <w:rsid w:val="00CB651E"/>
    <w:rsid w:val="00D77938"/>
    <w:rsid w:val="00DD27BE"/>
    <w:rsid w:val="00DD7899"/>
    <w:rsid w:val="00DE3E51"/>
    <w:rsid w:val="00E379AF"/>
    <w:rsid w:val="00ED0E37"/>
    <w:rsid w:val="00F21ECA"/>
    <w:rsid w:val="00F84B05"/>
    <w:rsid w:val="00FC74E1"/>
    <w:rsid w:val="00FE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CE00"/>
  <w15:chartTrackingRefBased/>
  <w15:docId w15:val="{845A6F00-73F0-4652-AE1A-261B1C97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8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66CE9"/>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966CE9"/>
    <w:rPr>
      <w:rFonts w:ascii="Times New Roman" w:eastAsia="Times New Roman" w:hAnsi="Times New Roman" w:cs="Times New Roman"/>
      <w:lang w:bidi="en-US"/>
    </w:rPr>
  </w:style>
  <w:style w:type="paragraph" w:styleId="Header">
    <w:name w:val="header"/>
    <w:basedOn w:val="Normal"/>
    <w:link w:val="HeaderChar"/>
    <w:uiPriority w:val="99"/>
    <w:unhideWhenUsed/>
    <w:rsid w:val="00966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CE9"/>
  </w:style>
  <w:style w:type="paragraph" w:styleId="Footer">
    <w:name w:val="footer"/>
    <w:basedOn w:val="Normal"/>
    <w:link w:val="FooterChar"/>
    <w:uiPriority w:val="99"/>
    <w:unhideWhenUsed/>
    <w:rsid w:val="00966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CE9"/>
  </w:style>
  <w:style w:type="paragraph" w:styleId="ListParagraph">
    <w:name w:val="List Paragraph"/>
    <w:basedOn w:val="Normal"/>
    <w:uiPriority w:val="1"/>
    <w:qFormat/>
    <w:rsid w:val="004F6370"/>
    <w:pPr>
      <w:widowControl w:val="0"/>
      <w:autoSpaceDE w:val="0"/>
      <w:autoSpaceDN w:val="0"/>
      <w:spacing w:before="119" w:after="0" w:line="240" w:lineRule="auto"/>
      <w:ind w:left="760" w:hanging="361"/>
    </w:pPr>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54282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01364"/>
    <w:rPr>
      <w:color w:val="0563C1" w:themeColor="hyperlink"/>
      <w:u w:val="single"/>
    </w:rPr>
  </w:style>
  <w:style w:type="character" w:styleId="UnresolvedMention">
    <w:name w:val="Unresolved Mention"/>
    <w:basedOn w:val="DefaultParagraphFont"/>
    <w:uiPriority w:val="99"/>
    <w:semiHidden/>
    <w:unhideWhenUsed/>
    <w:rsid w:val="002C2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Legacy/SP/nistspecialpublication800-30r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vlpubs.nist.gov/nistpubs/Legacy/SP/nistspecialpublication800-30r1.pdf"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yperlink" Target="https://nvlpubs.nist.gov/nistpubs/Legacy/SP/nistspecialpublication800-30r1.pdf" TargetMode="External"/><Relationship Id="rId4" Type="http://schemas.openxmlformats.org/officeDocument/2006/relationships/webSettings" Target="webSettings.xml"/><Relationship Id="rId9" Type="http://schemas.openxmlformats.org/officeDocument/2006/relationships/hyperlink" Target="https://nvlpubs.nist.gov/nistpubs/Legacy/SP/nistspecialpublication800-30r1.pdf"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A69AE5F29DB641AA17D9AF9B59C3F2" ma:contentTypeVersion="32" ma:contentTypeDescription="Create a new document." ma:contentTypeScope="" ma:versionID="6140be306d0fcb5085350f4bf8646f0f">
  <xsd:schema xmlns:xsd="http://www.w3.org/2001/XMLSchema" xmlns:xs="http://www.w3.org/2001/XMLSchema" xmlns:p="http://schemas.microsoft.com/office/2006/metadata/properties" xmlns:ns2="827227CD-87A7-436B-9777-D68B494C744E" xmlns:ns3="827227cd-87a7-436b-9777-d68b494c744e" xmlns:ns4="26d6e9eb-49f0-4d69-9332-7ac85ae1a6d5" targetNamespace="http://schemas.microsoft.com/office/2006/metadata/properties" ma:root="true" ma:fieldsID="b8808480d6bb751311bd3b7307105307" ns2:_="" ns3:_="" ns4:_="">
    <xsd:import namespace="827227CD-87A7-436B-9777-D68B494C744E"/>
    <xsd:import namespace="827227cd-87a7-436b-9777-d68b494c744e"/>
    <xsd:import namespace="26d6e9eb-49f0-4d69-9332-7ac85ae1a6d5"/>
    <xsd:element name="properties">
      <xsd:complexType>
        <xsd:sequence>
          <xsd:element name="documentManagement">
            <xsd:complexType>
              <xsd:all>
                <xsd:element ref="ns2:DFFS_Loader" minOccurs="0"/>
                <xsd:element ref="ns3:Status"/>
                <xsd:element ref="ns4:TaxCatchAll" minOccurs="0"/>
                <xsd:element ref="ns2:Description0" minOccurs="0"/>
                <xsd:element ref="ns3:Week_x002f_Unit" minOccurs="0"/>
                <xsd:element ref="ns3:MediaServiceMetadata" minOccurs="0"/>
                <xsd:element ref="ns3:MediaServiceFastMetadata" minOccurs="0"/>
                <xsd:element ref="ns3:l037cea36c7b49cfa762be53fa0854f4" minOccurs="0"/>
                <xsd:element ref="ns3:Umbrella" minOccurs="0"/>
                <xsd:element ref="ns3:Design_x0020_Year" minOccurs="0"/>
                <xsd:element ref="ns4:SharedWithUsers" minOccurs="0"/>
                <xsd:element ref="ns4: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227CD-87A7-436B-9777-D68B494C744E" elementFormDefault="qualified">
    <xsd:import namespace="http://schemas.microsoft.com/office/2006/documentManagement/types"/>
    <xsd:import namespace="http://schemas.microsoft.com/office/infopath/2007/PartnerControls"/>
    <xsd:element name="DFFS_Loader" ma:index="2" nillable="true" ma:displayName="DFFS Loader by SPJSBlog.com" ma:description="Add this field to activate the DFFS feature." ma:internalName="DFFS_Loader" ma:readOnly="false">
      <xsd:simpleType>
        <xsd:restriction base="dms:Text"/>
      </xsd:simpleType>
    </xsd:element>
    <xsd:element name="Description0" ma:index="6" nillable="true" ma:displayName="Description" ma:internalName="Description0"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7227cd-87a7-436b-9777-d68b494c744e" elementFormDefault="qualified">
    <xsd:import namespace="http://schemas.microsoft.com/office/2006/documentManagement/types"/>
    <xsd:import namespace="http://schemas.microsoft.com/office/infopath/2007/PartnerControls"/>
    <xsd:element name="Status" ma:index="3" ma:displayName="Status" ma:format="Dropdown" ma:indexed="true" ma:internalName="Status" ma:readOnly="false">
      <xsd:simpleType>
        <xsd:restriction base="dms:Choice">
          <xsd:enumeration value="In Progress"/>
          <xsd:enumeration value="Submitted for Approval"/>
          <xsd:enumeration value="Approved"/>
          <xsd:enumeration value="N/A"/>
        </xsd:restriction>
      </xsd:simpleType>
    </xsd:element>
    <xsd:element name="Week_x002f_Unit" ma:index="7" nillable="true" ma:displayName="Week/Unit" ma:internalName="Week_x002f_Unit" ma:requiredMultiChoice="true">
      <xsd:complexType>
        <xsd:complexContent>
          <xsd:extension base="dms:MultiChoice">
            <xsd:sequence>
              <xsd:element name="Value" maxOccurs="unbounded" minOccurs="0" nillable="true">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037cea36c7b49cfa762be53fa0854f4" ma:index="10" ma:taxonomy="true" ma:internalName="l037cea36c7b49cfa762be53fa0854f4" ma:taxonomyFieldName="Document_x0020_Type" ma:displayName="Document Type" ma:indexed="true" ma:readOnly="false" ma:default="" ma:fieldId="{5037cea3-6c7b-49cf-a762-be53fa0854f4}" ma:sspId="b17c3538-0c58-46e2-8d56-f0a842219cf7" ma:termSetId="1bc4e062-c784-4838-b2bc-699fa0d82f12" ma:anchorId="00000000-0000-0000-0000-000000000000" ma:open="true" ma:isKeyword="false">
      <xsd:complexType>
        <xsd:sequence>
          <xsd:element ref="pc:Terms" minOccurs="0" maxOccurs="1"/>
        </xsd:sequence>
      </xsd:complexType>
    </xsd:element>
    <xsd:element name="Umbrella" ma:index="17" nillable="true" ma:displayName="Umbrella" ma:description="Which campus, site, or program does this pertain to?" ma:format="Dropdown" ma:internalName="Umbrella" ma:requiredMultiChoice="true">
      <xsd:complexType>
        <xsd:complexContent>
          <xsd:extension base="dms:MultiChoice">
            <xsd:sequence>
              <xsd:element name="Value" maxOccurs="unbounded" minOccurs="0" nillable="true">
                <xsd:simpleType>
                  <xsd:restriction base="dms:Choice">
                    <xsd:enumeration value="Franklin"/>
                    <xsd:enumeration value="Urbana"/>
                    <xsd:enumeration value="CCP"/>
                    <xsd:enumeration value="LoCI"/>
                  </xsd:restriction>
                </xsd:simpleType>
              </xsd:element>
            </xsd:sequence>
          </xsd:extension>
        </xsd:complexContent>
      </xsd:complexType>
    </xsd:element>
    <xsd:element name="Design_x0020_Year" ma:index="18" nillable="true" ma:displayName="Design Year" ma:description="To which design years does this apply?" ma:format="Dropdown" ma:internalName="Design_x0020_Year" ma:requiredMultiChoice="true">
      <xsd:complexType>
        <xsd:complexContent>
          <xsd:extension base="dms:MultiChoice">
            <xsd:sequence>
              <xsd:element name="Value" maxOccurs="unbounded" minOccurs="0" nillable="true">
                <xsd:simpleType>
                  <xsd:restriction base="dms:Choice">
                    <xsd:enumeration value="Pre '18-'19"/>
                    <xsd:enumeration value="'18-'19"/>
                    <xsd:enumeration value="'19-'20"/>
                    <xsd:enumeration value="'20-'21"/>
                  </xsd:restriction>
                </xsd:simpleType>
              </xsd:element>
            </xsd:sequence>
          </xsd:extension>
        </xsd:complexContent>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d6e9eb-49f0-4d69-9332-7ac85ae1a6d5" elementFormDefault="qualified">
    <xsd:import namespace="http://schemas.microsoft.com/office/2006/documentManagement/types"/>
    <xsd:import namespace="http://schemas.microsoft.com/office/infopath/2007/PartnerControls"/>
    <xsd:element name="TaxCatchAll" ma:index="5" nillable="true" ma:displayName="Taxonomy Catch All Column" ma:hidden="true" ma:list="{c7a4af42-efd1-4bb9-a27f-60acfae740a9}" ma:internalName="TaxCatchAll" ma:showField="CatchAllData" ma:web="26d6e9eb-49f0-4d69-9332-7ac85ae1a6d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mbrella xmlns="827227cd-87a7-436b-9777-d68b494c744e">
      <Value>Franklin</Value>
    </Umbrella>
    <Status xmlns="827227cd-87a7-436b-9777-d68b494c744e">Approved</Status>
    <Week_x002f_Unit xmlns="827227cd-87a7-436b-9777-d68b494c744e">
      <Value>02</Value>
      <Value>04</Value>
      <Value>06</Value>
    </Week_x002f_Unit>
    <l037cea36c7b49cfa762be53fa0854f4 xmlns="827227cd-87a7-436b-9777-d68b494c744e">
      <Terms xmlns="http://schemas.microsoft.com/office/infopath/2007/PartnerControls">
        <TermInfo xmlns="http://schemas.microsoft.com/office/infopath/2007/PartnerControls">
          <TermName xmlns="http://schemas.microsoft.com/office/infopath/2007/PartnerControls">Course Attachment</TermName>
          <TermId xmlns="http://schemas.microsoft.com/office/infopath/2007/PartnerControls">e33f43aa-9b68-4873-b629-17ed65fca7d3</TermId>
        </TermInfo>
      </Terms>
    </l037cea36c7b49cfa762be53fa0854f4>
    <DFFS_Loader xmlns="827227CD-87A7-436B-9777-D68B494C744E" xsi:nil="true"/>
    <Design_x0020_Year xmlns="827227cd-87a7-436b-9777-d68b494c744e">
      <Value>'19-'20</Value>
    </Design_x0020_Year>
    <TaxCatchAll xmlns="26d6e9eb-49f0-4d69-9332-7ac85ae1a6d5">
      <Value>5</Value>
    </TaxCatchAll>
    <Description0 xmlns="827227CD-87A7-436B-9777-D68B494C744E" xsi:nil="true"/>
  </documentManagement>
</p:properties>
</file>

<file path=customXml/itemProps1.xml><?xml version="1.0" encoding="utf-8"?>
<ds:datastoreItem xmlns:ds="http://schemas.openxmlformats.org/officeDocument/2006/customXml" ds:itemID="{BFB8DF57-9DC5-447F-B907-1035F94A2AF3}"/>
</file>

<file path=customXml/itemProps2.xml><?xml version="1.0" encoding="utf-8"?>
<ds:datastoreItem xmlns:ds="http://schemas.openxmlformats.org/officeDocument/2006/customXml" ds:itemID="{0EA5C212-4B01-41ED-AF9E-639122E5D72A}"/>
</file>

<file path=customXml/itemProps3.xml><?xml version="1.0" encoding="utf-8"?>
<ds:datastoreItem xmlns:ds="http://schemas.openxmlformats.org/officeDocument/2006/customXml" ds:itemID="{630721C0-7B11-43C6-8FB8-9C281C21A2E2}"/>
</file>

<file path=docProps/app.xml><?xml version="1.0" encoding="utf-8"?>
<Properties xmlns="http://schemas.openxmlformats.org/officeDocument/2006/extended-properties" xmlns:vt="http://schemas.openxmlformats.org/officeDocument/2006/docPropsVTypes">
  <Template>Normal.dotm</Template>
  <TotalTime>115</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Niche</dc:creator>
  <cp:keywords/>
  <dc:description/>
  <cp:lastModifiedBy>Roberta Niche</cp:lastModifiedBy>
  <cp:revision>4</cp:revision>
  <dcterms:created xsi:type="dcterms:W3CDTF">2020-04-02T16:29:00Z</dcterms:created>
  <dcterms:modified xsi:type="dcterms:W3CDTF">2020-04-02T21:11:00Z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0x01010083A69AE5F29DB641AA17D9AF9B59C3F2</vt:lpwstr>
  </property>
  <property fmtid="{D5CDD505-2E9C-101B-9397-08002B2CF9AE}" pid="3" name="Document Type">
    <vt:lpwstr>5;#Course Attachment|e33f43aa-9b68-4873-b629-17ed65fca7d3</vt:lpwstr>
  </property>
</Properties>
</file>