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color w:val="3730A3"/>
          <w:sz w:val="56"/>
          <w:szCs w:val="56"/>
          <w:rFonts w:ascii="Georgia" w:cs="Georgia" w:eastAsia="Georgia" w:hAnsi="Georgia"/>
        </w:rPr>
        <w:t xml:space="preserve">Sales Dashboard</w:t>
      </w:r>
    </w:p>
    <w:p>
      <w:pPr>
        <w:spacing w:after="120" w:line="360"/>
        <w:jc w:val="left"/>
      </w:pPr>
      <w:r>
        <w:rPr>
          <w:sz w:val="22"/>
          <w:szCs w:val="22"/>
          <w:rFonts w:ascii="Georgia" w:cs="Georgia" w:eastAsia="Georgia" w:hAnsi="Georgia"/>
        </w:rPr>
        <w:t xml:space="preserve">Summary of Q4 performance across all regions.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3730A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Georgia" w:cs="Georgia" w:eastAsia="Georgia" w:hAnsi="Georgia"/>
              </w:rPr>
              <w:t xml:space="preserve">Region</w:t>
            </w:r>
          </w:p>
        </w:tc>
        <w:tc>
          <w:tcPr>
            <w:tcW w:type="dxa" w:w="3009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3730A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Georgia" w:cs="Georgia" w:eastAsia="Georgia" w:hAnsi="Georgia"/>
              </w:rPr>
              <w:t xml:space="preserve">Revenue</w:t>
            </w:r>
          </w:p>
        </w:tc>
        <w:tc>
          <w:tcPr>
            <w:tcW w:type="dxa" w:w="3008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3730A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Georgia" w:cs="Georgia" w:eastAsia="Georgia" w:hAnsi="Georgia"/>
              </w:rPr>
              <w:t xml:space="preserve">Growth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Georgia" w:cs="Georgia" w:eastAsia="Georgia" w:hAnsi="Georgia"/>
              </w:rPr>
              <w:t xml:space="preserve">North America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Georgia" w:cs="Georgia" w:eastAsia="Georgia" w:hAnsi="Georgia"/>
              </w:rPr>
              <w:t xml:space="preserve">$520K</w:t>
            </w:r>
          </w:p>
        </w:tc>
        <w:tc>
          <w:tcPr>
            <w:tcW w:type="dxa" w:w="3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Georgia" w:cs="Georgia" w:eastAsia="Georgia" w:hAnsi="Georgia"/>
              </w:rPr>
              <w:t xml:space="preserve">+12%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Georgia" w:cs="Georgia" w:eastAsia="Georgia" w:hAnsi="Georgia"/>
              </w:rPr>
              <w:t xml:space="preserve">Europe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Georgia" w:cs="Georgia" w:eastAsia="Georgia" w:hAnsi="Georgia"/>
              </w:rPr>
              <w:t xml:space="preserve">$380K</w:t>
            </w:r>
          </w:p>
        </w:tc>
        <w:tc>
          <w:tcPr>
            <w:tcW w:type="dxa" w:w="3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Georgia" w:cs="Georgia" w:eastAsia="Georgia" w:hAnsi="Georgia"/>
              </w:rPr>
              <w:t xml:space="preserve">+18%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Georgia" w:cs="Georgia" w:eastAsia="Georgia" w:hAnsi="Georgia"/>
              </w:rPr>
              <w:t xml:space="preserve">Asia Pacific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Georgia" w:cs="Georgia" w:eastAsia="Georgia" w:hAnsi="Georgia"/>
              </w:rPr>
              <w:t xml:space="preserve">$310K</w:t>
            </w:r>
          </w:p>
        </w:tc>
        <w:tc>
          <w:tcPr>
            <w:tcW w:type="dxa" w:w="3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Georgia" w:cs="Georgia" w:eastAsia="Georgia" w:hAnsi="Georgia"/>
              </w:rPr>
              <w:t xml:space="preserve">+25%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3730A3"/>
          <w:sz w:val="44"/>
          <w:szCs w:val="44"/>
          <w:rFonts w:ascii="Georgia" w:cs="Georgia" w:eastAsia="Georgia" w:hAnsi="Georgia"/>
        </w:rPr>
        <w:t xml:space="preserve">Action Items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sz w:val="22"/>
          <w:szCs w:val="22"/>
          <w:rFonts w:ascii="Georgia" w:cs="Georgia" w:eastAsia="Georgia" w:hAnsi="Georgia"/>
        </w:rPr>
        <w:t xml:space="preserve">Increase APAC marketing spend by 20%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sz w:val="22"/>
          <w:szCs w:val="22"/>
          <w:rFonts w:ascii="Georgia" w:cs="Georgia" w:eastAsia="Georgia" w:hAnsi="Georgia"/>
        </w:rPr>
        <w:t xml:space="preserve">Open Berlin office in Q1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sz w:val="22"/>
          <w:szCs w:val="22"/>
          <w:rFonts w:ascii="Georgia" w:cs="Georgia" w:eastAsia="Georgia" w:hAnsi="Georgia"/>
        </w:rPr>
        <w:t xml:space="preserve">Launch localized pricing for EU</w:t>
      </w:r>
    </w:p>
    <w:p>
      <w:r>
        <w:br w:type="page"/>
      </w:r>
    </w:p>
    <w:p>
      <w:pPr>
        <w:pStyle w:val="Heading2"/>
        <w:spacing w:before="240" w:after="120"/>
      </w:pPr>
      <w:r>
        <w:rPr>
          <w:b/>
          <w:bCs/>
          <w:color w:val="3730A3"/>
          <w:sz w:val="44"/>
          <w:szCs w:val="44"/>
          <w:rFonts w:ascii="Georgia" w:cs="Georgia" w:eastAsia="Georgia" w:hAnsi="Georgia"/>
        </w:rPr>
        <w:t xml:space="preserve">Appendix</w:t>
      </w:r>
    </w:p>
    <w:p>
      <w:pPr>
        <w:spacing w:after="120" w:line="360"/>
        <w:jc w:val="left"/>
      </w:pPr>
      <w:r>
        <w:rPr>
          <w:sz w:val="22"/>
          <w:szCs w:val="22"/>
          <w:rFonts w:ascii="Georgia" w:cs="Georgia" w:eastAsia="Georgia" w:hAnsi="Georgia"/>
        </w:rPr>
        <w:t xml:space="preserve">This page intentionally left for detailed breakdowns.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Dashboard</dc:title>
  <dc:creator>DocxForge</dc:creator>
  <cp:lastModifiedBy>Un-named</cp:lastModifiedBy>
  <cp:revision>1</cp:revision>
  <dcterms:created xsi:type="dcterms:W3CDTF">2026-05-03T14:59:24.109Z</dcterms:created>
  <dcterms:modified xsi:type="dcterms:W3CDTF">2026-05-03T14:59:24.109Z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