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829F" w14:textId="77777777" w:rsidR="00604563" w:rsidRPr="00E0135B" w:rsidRDefault="002143D7" w:rsidP="003D59BE">
      <w:pPr>
        <w:spacing w:after="80"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36"/>
          <w:szCs w:val="36"/>
        </w:rPr>
        <w:t>PREDICTING REGULATORY THRESHOLD BREACH UNDER</w:t>
      </w:r>
    </w:p>
    <w:p w14:paraId="6BFCB5C5" w14:textId="77777777" w:rsidR="00604563" w:rsidRPr="00E0135B" w:rsidRDefault="002143D7" w:rsidP="003D59BE">
      <w:pPr>
        <w:spacing w:after="200"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36"/>
          <w:szCs w:val="36"/>
        </w:rPr>
        <w:t>RBI'S PROMPT CORRECTIVE ACTION FRAMEWORK</w:t>
      </w:r>
    </w:p>
    <w:p w14:paraId="58D6469F" w14:textId="77777777" w:rsidR="00604563" w:rsidRPr="00E0135B" w:rsidRDefault="002143D7" w:rsidP="003D59BE">
      <w:pPr>
        <w:pBdr>
          <w:bottom w:val="single" w:sz="12" w:space="8" w:color="2E75B6"/>
        </w:pBdr>
        <w:spacing w:after="120"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8"/>
          <w:szCs w:val="28"/>
        </w:rPr>
        <w:t>A Panel Probit Analysis of Indian Scheduled Commercial Banks, FY2008–FY2024</w:t>
      </w:r>
    </w:p>
    <w:p w14:paraId="41DDE17A" w14:textId="3051BA3B" w:rsidR="00604563" w:rsidRPr="00E0135B" w:rsidRDefault="0039048A" w:rsidP="003D59BE">
      <w:pPr>
        <w:spacing w:after="480" w:line="360" w:lineRule="auto"/>
        <w:jc w:val="center"/>
        <w:rPr>
          <w:rFonts w:ascii="Times New Roman" w:hAnsi="Times New Roman" w:cs="Times New Roman"/>
          <w:b/>
          <w:bCs/>
          <w:color w:val="auto"/>
          <w:sz w:val="36"/>
          <w:szCs w:val="36"/>
        </w:rPr>
      </w:pPr>
      <w:r w:rsidRPr="00E0135B">
        <w:rPr>
          <w:rFonts w:ascii="Times New Roman" w:hAnsi="Times New Roman" w:cs="Times New Roman"/>
          <w:b/>
          <w:bCs/>
          <w:color w:val="auto"/>
          <w:sz w:val="36"/>
          <w:szCs w:val="36"/>
        </w:rPr>
        <w:t>Econometrics-II Term Paper</w:t>
      </w:r>
    </w:p>
    <w:p w14:paraId="4F5C5BE0" w14:textId="77777777" w:rsidR="00604563" w:rsidRPr="00E0135B" w:rsidRDefault="002143D7" w:rsidP="003D59BE">
      <w:pPr>
        <w:pStyle w:val="Heading1"/>
        <w:pBdr>
          <w:bottom w:val="single" w:sz="6" w:space="4" w:color="2E75B6"/>
        </w:pBdr>
        <w:spacing w:line="360" w:lineRule="auto"/>
        <w:rPr>
          <w:rFonts w:ascii="Times New Roman" w:hAnsi="Times New Roman" w:cs="Times New Roman"/>
          <w:color w:val="auto"/>
          <w:sz w:val="32"/>
          <w:szCs w:val="32"/>
        </w:rPr>
      </w:pPr>
      <w:r w:rsidRPr="00E0135B">
        <w:rPr>
          <w:rFonts w:ascii="Times New Roman" w:hAnsi="Times New Roman" w:cs="Times New Roman"/>
          <w:color w:val="auto"/>
          <w:sz w:val="32"/>
          <w:szCs w:val="32"/>
        </w:rPr>
        <w:t>1. Introduction</w:t>
      </w:r>
    </w:p>
    <w:p w14:paraId="6B1FF87F" w14:textId="36AD745C" w:rsidR="00C27D5B" w:rsidRPr="00E0135B" w:rsidRDefault="00C27D5B"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t xml:space="preserve">The banking sector in India underwent one of the worst portals of financial stress in recent years between 2014 and 2022 that resulted in the </w:t>
      </w:r>
      <w:r w:rsidR="008366C5" w:rsidRPr="00E0135B">
        <w:rPr>
          <w:rFonts w:ascii="Times New Roman" w:hAnsi="Times New Roman" w:cs="Times New Roman"/>
          <w:b w:val="0"/>
          <w:bCs w:val="0"/>
          <w:color w:val="auto"/>
        </w:rPr>
        <w:t>12</w:t>
      </w:r>
      <w:r w:rsidRPr="00E0135B">
        <w:rPr>
          <w:rFonts w:ascii="Times New Roman" w:hAnsi="Times New Roman" w:cs="Times New Roman"/>
          <w:b w:val="0"/>
          <w:bCs w:val="0"/>
          <w:color w:val="auto"/>
        </w:rPr>
        <w:t xml:space="preserve"> Scheduled Commercial Banks (SCBs) being placed under the Prompt Corrective Action (PCA) of the Reserve Bank of India (RBI). PCA framework is a formal supervisory mechanism of early-intervention which allows the RBI to impose corrective measures as a result of failure of a bank to meet the pre-determined obligations with regard to the three dimensions of risk in capital sufficiency, asset quality and profitability. The twelve banks that were PCA during the research period were all the public-sector banks, hence the skewed concentration of the non- performing assets (NPAs) in the </w:t>
      </w:r>
      <w:proofErr w:type="spellStart"/>
      <w:r w:rsidRPr="00E0135B">
        <w:rPr>
          <w:rFonts w:ascii="Times New Roman" w:hAnsi="Times New Roman" w:cs="Times New Roman"/>
          <w:b w:val="0"/>
          <w:bCs w:val="0"/>
          <w:color w:val="auto"/>
        </w:rPr>
        <w:t>nationalised</w:t>
      </w:r>
      <w:proofErr w:type="spellEnd"/>
      <w:r w:rsidRPr="00E0135B">
        <w:rPr>
          <w:rFonts w:ascii="Times New Roman" w:hAnsi="Times New Roman" w:cs="Times New Roman"/>
          <w:b w:val="0"/>
          <w:bCs w:val="0"/>
          <w:color w:val="auto"/>
        </w:rPr>
        <w:t xml:space="preserve"> banks after the credit growth after 2008.</w:t>
      </w:r>
    </w:p>
    <w:p w14:paraId="7072B126" w14:textId="1E63327F" w:rsidR="00C27D5B" w:rsidRPr="00E0135B" w:rsidRDefault="00C27D5B"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t>Although this episode is serious, it is still observed that scholarly research on the topic of Indian banking distress is overwhelmingly of OLS, GMM, and fixed regressions, which attempt to estimate the levels of NPA ratio or capital adequacy as continuous values. None of the published studies have directly modeled the likelihood of excessing the breach of PCA thresholds of the RBI as a binary outcome with the methods of the bank-level panel probit. The gap in this paper is addressing the issue of the discrete concept of PCA breach as a regulatory event and estimating its determinants using the pooled panel probit specification and the sandwich standard errors.</w:t>
      </w:r>
    </w:p>
    <w:p w14:paraId="4E731736" w14:textId="77777777" w:rsidR="00173886" w:rsidRPr="00E0135B" w:rsidRDefault="00C27D5B"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lastRenderedPageBreak/>
        <w:t xml:space="preserve">Empirical exercise is pegged on an exhaustive set of data that was altogether based on publicly accessible sources of RBI contained within the Statistical Tables Relating to Banks in India, bank-wise CRAR Tables and gross NPA data supplemented with the macroeconomic aggregates available in the Ministry of Statistics and </w:t>
      </w:r>
      <w:proofErr w:type="spellStart"/>
      <w:r w:rsidRPr="00E0135B">
        <w:rPr>
          <w:rFonts w:ascii="Times New Roman" w:hAnsi="Times New Roman" w:cs="Times New Roman"/>
          <w:b w:val="0"/>
          <w:bCs w:val="0"/>
          <w:color w:val="auto"/>
        </w:rPr>
        <w:t>Programme</w:t>
      </w:r>
      <w:proofErr w:type="spellEnd"/>
      <w:r w:rsidRPr="00E0135B">
        <w:rPr>
          <w:rFonts w:ascii="Times New Roman" w:hAnsi="Times New Roman" w:cs="Times New Roman"/>
          <w:b w:val="0"/>
          <w:bCs w:val="0"/>
          <w:color w:val="auto"/>
        </w:rPr>
        <w:t xml:space="preserve"> Implementation (</w:t>
      </w:r>
      <w:proofErr w:type="spellStart"/>
      <w:r w:rsidRPr="00E0135B">
        <w:rPr>
          <w:rFonts w:ascii="Times New Roman" w:hAnsi="Times New Roman" w:cs="Times New Roman"/>
          <w:b w:val="0"/>
          <w:bCs w:val="0"/>
          <w:color w:val="auto"/>
        </w:rPr>
        <w:t>MoSPI</w:t>
      </w:r>
      <w:proofErr w:type="spellEnd"/>
      <w:r w:rsidRPr="00E0135B">
        <w:rPr>
          <w:rFonts w:ascii="Times New Roman" w:hAnsi="Times New Roman" w:cs="Times New Roman"/>
          <w:b w:val="0"/>
          <w:bCs w:val="0"/>
          <w:color w:val="auto"/>
        </w:rPr>
        <w:t xml:space="preserve">). The comprehensive approach guarantees the complete replication. </w:t>
      </w:r>
      <w:r w:rsidRPr="00BA6B55">
        <w:rPr>
          <w:rFonts w:ascii="Times New Roman" w:hAnsi="Times New Roman" w:cs="Times New Roman"/>
          <w:b w:val="0"/>
          <w:bCs w:val="0"/>
          <w:color w:val="auto"/>
          <w:highlight w:val="yellow"/>
        </w:rPr>
        <w:t>All bank-specific predictors are lagged one year to ensure that there is true predictive validity ensuring that the model has high direct supervisory applicability as an early-warning instrument.</w:t>
      </w:r>
    </w:p>
    <w:p w14:paraId="23A3717B" w14:textId="2CCCF8D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1.1 Research Objectives and Contributions</w:t>
      </w:r>
    </w:p>
    <w:p w14:paraId="121CC53E" w14:textId="77777777" w:rsidR="00742FF8" w:rsidRPr="00E0135B" w:rsidRDefault="00742FF8" w:rsidP="003D59BE">
      <w:pPr>
        <w:spacing w:after="12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The research contributes in five major ways to the existing literature:</w:t>
      </w:r>
    </w:p>
    <w:p w14:paraId="0E410613" w14:textId="44E5BF91" w:rsidR="00D2192E" w:rsidRPr="00E0135B" w:rsidRDefault="00D2192E" w:rsidP="003D59BE">
      <w:pPr>
        <w:pStyle w:val="ListParagraph"/>
        <w:numPr>
          <w:ilvl w:val="0"/>
          <w:numId w:val="3"/>
        </w:numPr>
        <w:spacing w:after="12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It develops theory on the PCA violation as a binary probit </w:t>
      </w:r>
      <w:proofErr w:type="gramStart"/>
      <w:r w:rsidRPr="00E0135B">
        <w:rPr>
          <w:rFonts w:ascii="Times New Roman" w:hAnsi="Times New Roman" w:cs="Times New Roman"/>
          <w:color w:val="auto"/>
          <w:sz w:val="24"/>
          <w:szCs w:val="24"/>
        </w:rPr>
        <w:t>answer,</w:t>
      </w:r>
      <w:proofErr w:type="gramEnd"/>
      <w:r w:rsidRPr="00E0135B">
        <w:rPr>
          <w:rFonts w:ascii="Times New Roman" w:hAnsi="Times New Roman" w:cs="Times New Roman"/>
          <w:color w:val="auto"/>
          <w:sz w:val="24"/>
          <w:szCs w:val="24"/>
        </w:rPr>
        <w:t xml:space="preserve"> </w:t>
      </w:r>
      <w:r w:rsidR="00C4062D" w:rsidRPr="00E0135B">
        <w:rPr>
          <w:rFonts w:ascii="Times New Roman" w:hAnsi="Times New Roman" w:cs="Times New Roman"/>
          <w:color w:val="auto"/>
          <w:sz w:val="24"/>
          <w:szCs w:val="24"/>
        </w:rPr>
        <w:t>this renders supervisory categorization task into a methodologically strong econometric early</w:t>
      </w:r>
      <w:r w:rsidR="00D150E9" w:rsidRPr="00E0135B">
        <w:rPr>
          <w:rFonts w:ascii="Times New Roman" w:hAnsi="Times New Roman" w:cs="Times New Roman"/>
          <w:color w:val="auto"/>
          <w:sz w:val="24"/>
          <w:szCs w:val="24"/>
        </w:rPr>
        <w:t>-</w:t>
      </w:r>
      <w:r w:rsidR="00C4062D" w:rsidRPr="00E0135B">
        <w:rPr>
          <w:rFonts w:ascii="Times New Roman" w:hAnsi="Times New Roman" w:cs="Times New Roman"/>
          <w:color w:val="auto"/>
          <w:sz w:val="24"/>
          <w:szCs w:val="24"/>
        </w:rPr>
        <w:t>warning</w:t>
      </w:r>
      <w:r w:rsidR="00D150E9" w:rsidRPr="00E0135B">
        <w:rPr>
          <w:rFonts w:ascii="Times New Roman" w:hAnsi="Times New Roman" w:cs="Times New Roman"/>
          <w:color w:val="auto"/>
          <w:sz w:val="24"/>
          <w:szCs w:val="24"/>
        </w:rPr>
        <w:t xml:space="preserve"> framework. It directly includes lagged predictors to confirm the foreseeing command by forecasting ability.</w:t>
      </w:r>
    </w:p>
    <w:p w14:paraId="286971CB" w14:textId="37D21375" w:rsidR="00742FF8" w:rsidRPr="00E0135B" w:rsidRDefault="00742FF8" w:rsidP="003D59BE">
      <w:pPr>
        <w:pStyle w:val="ListParagraph"/>
        <w:numPr>
          <w:ilvl w:val="0"/>
          <w:numId w:val="3"/>
        </w:numPr>
        <w:spacing w:after="12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It places six empirically strong predictors of the likelihood of PCA breach using a multi-specification robustness plan, which effectively distinguishes bona fide predictors, and artefacts caused by collinearity.</w:t>
      </w:r>
    </w:p>
    <w:p w14:paraId="703F37E8" w14:textId="4C0EBD3C" w:rsidR="00742FF8" w:rsidRPr="00E0135B" w:rsidRDefault="00742FF8" w:rsidP="003D59BE">
      <w:pPr>
        <w:pStyle w:val="ListParagraph"/>
        <w:numPr>
          <w:ilvl w:val="0"/>
          <w:numId w:val="3"/>
        </w:numPr>
        <w:spacing w:after="12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It is used to measure the Average Marginal Effects (AMEs), thus converting the probit coefficient estimates into estimates of economically significant changes in the probability which are easily applicable by supervisory practitioners.</w:t>
      </w:r>
    </w:p>
    <w:p w14:paraId="4450C434" w14:textId="6C7E7D56" w:rsidR="00742FF8" w:rsidRPr="00E0135B" w:rsidRDefault="00742FF8" w:rsidP="003D59BE">
      <w:pPr>
        <w:pStyle w:val="ListParagraph"/>
        <w:numPr>
          <w:ilvl w:val="0"/>
          <w:numId w:val="3"/>
        </w:numPr>
        <w:spacing w:after="12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It completes a formal test of total separation, which is a common but often overlooked phenomenon in rare-event binary models, and shows that probit inference can nonetheless be applied to the current data.</w:t>
      </w:r>
    </w:p>
    <w:p w14:paraId="4B21EC8C" w14:textId="4B9B4494" w:rsidR="00604563" w:rsidRPr="00E0135B" w:rsidRDefault="00742FF8" w:rsidP="003D59BE">
      <w:pPr>
        <w:pStyle w:val="ListParagraph"/>
        <w:numPr>
          <w:ilvl w:val="0"/>
          <w:numId w:val="3"/>
        </w:numPr>
        <w:spacing w:after="12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It determines the stability of the models in five different specifications, including a PSB-only subsample with an additional capital measure (Tier 1 CRAR) supporting the strength of the key results.</w:t>
      </w:r>
    </w:p>
    <w:p w14:paraId="6F7C9C9C" w14:textId="77777777" w:rsidR="00604563" w:rsidRPr="00E0135B" w:rsidRDefault="002143D7" w:rsidP="003D59BE">
      <w:pPr>
        <w:pStyle w:val="Heading1"/>
        <w:pBdr>
          <w:bottom w:val="single" w:sz="6" w:space="4" w:color="2E75B6"/>
        </w:pBdr>
        <w:spacing w:line="360" w:lineRule="auto"/>
        <w:rPr>
          <w:rFonts w:ascii="Times New Roman" w:hAnsi="Times New Roman" w:cs="Times New Roman"/>
          <w:color w:val="auto"/>
          <w:sz w:val="32"/>
          <w:szCs w:val="32"/>
        </w:rPr>
      </w:pPr>
      <w:r w:rsidRPr="00E0135B">
        <w:rPr>
          <w:rFonts w:ascii="Times New Roman" w:hAnsi="Times New Roman" w:cs="Times New Roman"/>
          <w:color w:val="auto"/>
          <w:sz w:val="32"/>
          <w:szCs w:val="32"/>
        </w:rPr>
        <w:t>2. Institutional Background</w:t>
      </w:r>
    </w:p>
    <w:p w14:paraId="1A910024"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lastRenderedPageBreak/>
        <w:t>2.1 The RBI Prompt Corrective Action Framework</w:t>
      </w:r>
    </w:p>
    <w:p w14:paraId="0488AA98" w14:textId="38C904C2" w:rsidR="00676F8D" w:rsidRPr="00E0135B" w:rsidRDefault="00676F8D" w:rsidP="003D59BE">
      <w:pPr>
        <w:pStyle w:val="Heading2"/>
        <w:spacing w:line="360" w:lineRule="auto"/>
        <w:jc w:val="both"/>
        <w:rPr>
          <w:rFonts w:ascii="Times New Roman" w:hAnsi="Times New Roman" w:cs="Times New Roman"/>
          <w:b w:val="0"/>
          <w:bCs w:val="0"/>
          <w:color w:val="auto"/>
        </w:rPr>
      </w:pPr>
      <w:r w:rsidRPr="00E0135B">
        <w:rPr>
          <w:rFonts w:ascii="Times New Roman" w:hAnsi="Times New Roman" w:cs="Times New Roman"/>
          <w:b w:val="0"/>
          <w:bCs w:val="0"/>
          <w:color w:val="auto"/>
        </w:rPr>
        <w:t xml:space="preserve">In December 2002 (Circular DBS.CO.PP.BC.9/11.01.005/2002-03) the RBI has borrowed the Structured Early Intervention and Resolution (SEIR) model by the FDIC and developed the Prompt Corrective Action framework. In April 2017, it was revised (Circular </w:t>
      </w:r>
      <w:proofErr w:type="gramStart"/>
      <w:r w:rsidRPr="00E0135B">
        <w:rPr>
          <w:rFonts w:ascii="Times New Roman" w:hAnsi="Times New Roman" w:cs="Times New Roman"/>
          <w:b w:val="0"/>
          <w:bCs w:val="0"/>
          <w:color w:val="auto"/>
        </w:rPr>
        <w:t>BS.CO.PPD.BC.No.</w:t>
      </w:r>
      <w:proofErr w:type="gramEnd"/>
      <w:r w:rsidRPr="00E0135B">
        <w:rPr>
          <w:rFonts w:ascii="Times New Roman" w:hAnsi="Times New Roman" w:cs="Times New Roman"/>
          <w:b w:val="0"/>
          <w:bCs w:val="0"/>
          <w:color w:val="auto"/>
        </w:rPr>
        <w:t xml:space="preserve">8/11.01.005/2016-17) and in November 2021(Circular </w:t>
      </w:r>
      <w:proofErr w:type="gramStart"/>
      <w:r w:rsidRPr="00E0135B">
        <w:rPr>
          <w:rFonts w:ascii="Times New Roman" w:hAnsi="Times New Roman" w:cs="Times New Roman"/>
          <w:b w:val="0"/>
          <w:bCs w:val="0"/>
          <w:color w:val="auto"/>
        </w:rPr>
        <w:t>DOS.CO.PPG.SEC.No.</w:t>
      </w:r>
      <w:proofErr w:type="gramEnd"/>
      <w:r w:rsidRPr="00E0135B">
        <w:rPr>
          <w:rFonts w:ascii="Times New Roman" w:hAnsi="Times New Roman" w:cs="Times New Roman"/>
          <w:b w:val="0"/>
          <w:bCs w:val="0"/>
          <w:color w:val="auto"/>
        </w:rPr>
        <w:t>4/11.01.005/2021-22). The occurrence of falling under PCA leads to a series of limitations in dividend, expansion of the branches, capital expenditure and lending- the extent to which the bank violates the three categories of risks.</w:t>
      </w:r>
    </w:p>
    <w:p w14:paraId="5836EC18" w14:textId="18DB33DF" w:rsidR="007A5DBB" w:rsidRPr="00E0135B" w:rsidRDefault="00676F8D" w:rsidP="003D59BE">
      <w:pPr>
        <w:pStyle w:val="Heading2"/>
        <w:spacing w:line="360" w:lineRule="auto"/>
        <w:jc w:val="both"/>
        <w:rPr>
          <w:rFonts w:ascii="Times New Roman" w:hAnsi="Times New Roman" w:cs="Times New Roman"/>
          <w:b w:val="0"/>
          <w:bCs w:val="0"/>
          <w:color w:val="auto"/>
        </w:rPr>
      </w:pPr>
      <w:r w:rsidRPr="00E0135B">
        <w:rPr>
          <w:rFonts w:ascii="Times New Roman" w:hAnsi="Times New Roman" w:cs="Times New Roman"/>
          <w:b w:val="0"/>
          <w:bCs w:val="0"/>
          <w:color w:val="auto"/>
        </w:rPr>
        <w:t>The model tracks on three types of risks. The evaluation of capital adequacy is through the total CRAR and CET1 requirements, and three risk escalated thresholds, which fall under Basel III to 10.875% to 9.625% in terms of total CRAR. The Net NPA ratio is used to monitor the quality of assets and the breakeven points are 6, 9 and 12. The ROA helps measure profitability, and in fact, a negative ROA of two, three or four years compels more radical measures. A PCA bank with a tag has operational constraints that must not be exceeded until it reaches the upper level of financial indicators.</w:t>
      </w:r>
    </w:p>
    <w:p w14:paraId="074AA366" w14:textId="7E5FF408"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2.2 The NPA Crisis and PCA Placements (2014–2022)</w:t>
      </w:r>
    </w:p>
    <w:p w14:paraId="49B6338C" w14:textId="5E391995" w:rsidR="00F70C7E" w:rsidRPr="00E0135B" w:rsidRDefault="00F70C7E" w:rsidP="003D59BE">
      <w:pPr>
        <w:spacing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There were 12 PCA placements during the study period but they were grouped into one year. The first wave involved United Bank of India and Indian Overseas Bank in 20142015. The larger second wave occurred May-December 2017, where nine more banks were put under PCA following the April 2017 revision of the framework. The econometric analysis has a direct significance to the temporal distribution of placements in 2017, which suggests that the revision revealed the distress that has not been observed before as opposed to artificially increasing the probability of breach- the results of the model support this conclusion.  </w:t>
      </w:r>
    </w:p>
    <w:p w14:paraId="6DE46E34" w14:textId="77777777" w:rsidR="00F70C7E" w:rsidRPr="00E0135B" w:rsidRDefault="00F70C7E" w:rsidP="003D59BE">
      <w:pPr>
        <w:spacing w:line="360" w:lineRule="auto"/>
        <w:jc w:val="both"/>
        <w:rPr>
          <w:rFonts w:ascii="Times New Roman" w:hAnsi="Times New Roman" w:cs="Times New Roman"/>
          <w:color w:val="auto"/>
          <w:sz w:val="24"/>
          <w:szCs w:val="24"/>
        </w:rPr>
      </w:pPr>
    </w:p>
    <w:p w14:paraId="5B71F2C5" w14:textId="004BBF56" w:rsidR="00714B6E" w:rsidRPr="00E0135B" w:rsidRDefault="00F70C7E" w:rsidP="003D59BE">
      <w:pPr>
        <w:spacing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Table 1 shows all the 12 placements made under PCA listing the date of entry, exit performance, and PCA performance, and principal. The </w:t>
      </w:r>
      <w:r w:rsidR="009D3447" w:rsidRPr="00E0135B">
        <w:rPr>
          <w:rFonts w:ascii="Times New Roman" w:hAnsi="Times New Roman" w:cs="Times New Roman"/>
          <w:color w:val="auto"/>
          <w:sz w:val="24"/>
          <w:szCs w:val="24"/>
        </w:rPr>
        <w:t>six</w:t>
      </w:r>
      <w:r w:rsidRPr="00E0135B">
        <w:rPr>
          <w:rFonts w:ascii="Times New Roman" w:hAnsi="Times New Roman" w:cs="Times New Roman"/>
          <w:color w:val="auto"/>
          <w:sz w:val="24"/>
          <w:szCs w:val="24"/>
        </w:rPr>
        <w:t xml:space="preserve"> banks that joined the PCA in the period between 2017 and 2018 were later incorporated into stronger public-sector institutions through the government consolidation </w:t>
      </w:r>
      <w:proofErr w:type="spellStart"/>
      <w:r w:rsidRPr="00E0135B">
        <w:rPr>
          <w:rFonts w:ascii="Times New Roman" w:hAnsi="Times New Roman" w:cs="Times New Roman"/>
          <w:color w:val="auto"/>
          <w:sz w:val="24"/>
          <w:szCs w:val="24"/>
        </w:rPr>
        <w:t>programme</w:t>
      </w:r>
      <w:proofErr w:type="spellEnd"/>
      <w:r w:rsidRPr="00E0135B">
        <w:rPr>
          <w:rFonts w:ascii="Times New Roman" w:hAnsi="Times New Roman" w:cs="Times New Roman"/>
          <w:color w:val="auto"/>
          <w:sz w:val="24"/>
          <w:szCs w:val="24"/>
        </w:rPr>
        <w:t xml:space="preserve"> in April 2020, instead of recovering on their own.</w:t>
      </w:r>
    </w:p>
    <w:p w14:paraId="0624005E" w14:textId="77777777" w:rsidR="00604563" w:rsidRPr="00E0135B" w:rsidRDefault="00604563" w:rsidP="003D59BE">
      <w:pPr>
        <w:spacing w:after="120" w:line="360" w:lineRule="auto"/>
        <w:rPr>
          <w:rFonts w:ascii="Times New Roman" w:hAnsi="Times New Roman" w:cs="Times New Roman"/>
          <w:color w:val="auto"/>
          <w:sz w:val="24"/>
          <w:szCs w:val="24"/>
        </w:rPr>
      </w:pPr>
    </w:p>
    <w:p w14:paraId="3D7B4702" w14:textId="77777777" w:rsidR="00604563" w:rsidRPr="00E0135B" w:rsidRDefault="002143D7" w:rsidP="003D59BE">
      <w:pPr>
        <w:spacing w:after="80" w:line="360" w:lineRule="auto"/>
        <w:rPr>
          <w:rFonts w:ascii="Times New Roman" w:hAnsi="Times New Roman" w:cs="Times New Roman"/>
          <w:color w:val="auto"/>
          <w:sz w:val="24"/>
          <w:szCs w:val="24"/>
        </w:rPr>
      </w:pPr>
      <w:r w:rsidRPr="00E0135B">
        <w:rPr>
          <w:rFonts w:ascii="Times New Roman" w:hAnsi="Times New Roman" w:cs="Times New Roman"/>
          <w:b/>
          <w:bCs/>
          <w:color w:val="auto"/>
        </w:rPr>
        <w:lastRenderedPageBreak/>
        <w:t>Table 1: Banks Placed Under RBI Prompt Corrective Action, 2014–2022</w:t>
      </w:r>
    </w:p>
    <w:tbl>
      <w:tblPr>
        <w:tblStyle w:val="TableGrid"/>
        <w:tblW w:w="9351" w:type="dxa"/>
        <w:tblLook w:val="04A0" w:firstRow="1" w:lastRow="0" w:firstColumn="1" w:lastColumn="0" w:noHBand="0" w:noVBand="1"/>
      </w:tblPr>
      <w:tblGrid>
        <w:gridCol w:w="2500"/>
        <w:gridCol w:w="1300"/>
        <w:gridCol w:w="2000"/>
        <w:gridCol w:w="1500"/>
        <w:gridCol w:w="2051"/>
      </w:tblGrid>
      <w:tr w:rsidR="009E6423" w:rsidRPr="00E0135B" w14:paraId="78F1AE75" w14:textId="77777777" w:rsidTr="006C18B6">
        <w:tc>
          <w:tcPr>
            <w:tcW w:w="2500" w:type="dxa"/>
          </w:tcPr>
          <w:p w14:paraId="3D5FF098"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Bank</w:t>
            </w:r>
          </w:p>
        </w:tc>
        <w:tc>
          <w:tcPr>
            <w:tcW w:w="1300" w:type="dxa"/>
          </w:tcPr>
          <w:p w14:paraId="249DBB08"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PCA Entry</w:t>
            </w:r>
          </w:p>
        </w:tc>
        <w:tc>
          <w:tcPr>
            <w:tcW w:w="2000" w:type="dxa"/>
          </w:tcPr>
          <w:p w14:paraId="521CE424"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Exit / Outcome</w:t>
            </w:r>
          </w:p>
        </w:tc>
        <w:tc>
          <w:tcPr>
            <w:tcW w:w="1500" w:type="dxa"/>
          </w:tcPr>
          <w:p w14:paraId="396928CC"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Duration</w:t>
            </w:r>
          </w:p>
        </w:tc>
        <w:tc>
          <w:tcPr>
            <w:tcW w:w="2051" w:type="dxa"/>
          </w:tcPr>
          <w:p w14:paraId="124EED48"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Primary Trigger</w:t>
            </w:r>
          </w:p>
        </w:tc>
      </w:tr>
      <w:tr w:rsidR="009E6423" w:rsidRPr="00E0135B" w14:paraId="03BF0F30" w14:textId="77777777" w:rsidTr="006C18B6">
        <w:tc>
          <w:tcPr>
            <w:tcW w:w="2500" w:type="dxa"/>
          </w:tcPr>
          <w:p w14:paraId="6ABEAD6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United Bank of India</w:t>
            </w:r>
          </w:p>
        </w:tc>
        <w:tc>
          <w:tcPr>
            <w:tcW w:w="1300" w:type="dxa"/>
          </w:tcPr>
          <w:p w14:paraId="300EF54D"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Feb 2014</w:t>
            </w:r>
          </w:p>
        </w:tc>
        <w:tc>
          <w:tcPr>
            <w:tcW w:w="2000" w:type="dxa"/>
          </w:tcPr>
          <w:p w14:paraId="48E55D3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Merged into PNB (Apr 2020)</w:t>
            </w:r>
          </w:p>
        </w:tc>
        <w:tc>
          <w:tcPr>
            <w:tcW w:w="1500" w:type="dxa"/>
          </w:tcPr>
          <w:p w14:paraId="2236FE4C"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6 years</w:t>
            </w:r>
          </w:p>
        </w:tc>
        <w:tc>
          <w:tcPr>
            <w:tcW w:w="2051" w:type="dxa"/>
          </w:tcPr>
          <w:p w14:paraId="32C67D3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High NPA, negative ROA</w:t>
            </w:r>
          </w:p>
        </w:tc>
      </w:tr>
      <w:tr w:rsidR="009E6423" w:rsidRPr="00E0135B" w14:paraId="1534623A" w14:textId="77777777" w:rsidTr="006C18B6">
        <w:tc>
          <w:tcPr>
            <w:tcW w:w="2500" w:type="dxa"/>
          </w:tcPr>
          <w:p w14:paraId="53B6543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Indian Overseas Bank</w:t>
            </w:r>
          </w:p>
        </w:tc>
        <w:tc>
          <w:tcPr>
            <w:tcW w:w="1300" w:type="dxa"/>
          </w:tcPr>
          <w:p w14:paraId="14CAA405"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Oct 2015</w:t>
            </w:r>
          </w:p>
        </w:tc>
        <w:tc>
          <w:tcPr>
            <w:tcW w:w="2000" w:type="dxa"/>
          </w:tcPr>
          <w:p w14:paraId="3D0310F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Removed Sep 2021</w:t>
            </w:r>
          </w:p>
        </w:tc>
        <w:tc>
          <w:tcPr>
            <w:tcW w:w="1500" w:type="dxa"/>
          </w:tcPr>
          <w:p w14:paraId="39AE693C"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6 years</w:t>
            </w:r>
          </w:p>
        </w:tc>
        <w:tc>
          <w:tcPr>
            <w:tcW w:w="2051" w:type="dxa"/>
          </w:tcPr>
          <w:p w14:paraId="730801A7"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GNPA &gt;9.4%, negative ROA</w:t>
            </w:r>
          </w:p>
        </w:tc>
      </w:tr>
      <w:tr w:rsidR="009E6423" w:rsidRPr="00E0135B" w14:paraId="1A8EB889" w14:textId="77777777" w:rsidTr="006C18B6">
        <w:tc>
          <w:tcPr>
            <w:tcW w:w="2500" w:type="dxa"/>
          </w:tcPr>
          <w:p w14:paraId="15A8F69B" w14:textId="77777777" w:rsidR="00604563" w:rsidRPr="00E0135B" w:rsidRDefault="002143D7" w:rsidP="003D59BE">
            <w:pPr>
              <w:spacing w:line="360" w:lineRule="auto"/>
              <w:rPr>
                <w:rFonts w:ascii="Times New Roman" w:hAnsi="Times New Roman" w:cs="Times New Roman"/>
                <w:color w:val="auto"/>
                <w:sz w:val="24"/>
                <w:szCs w:val="24"/>
              </w:rPr>
            </w:pPr>
            <w:proofErr w:type="spellStart"/>
            <w:r w:rsidRPr="00E0135B">
              <w:rPr>
                <w:rFonts w:ascii="Times New Roman" w:hAnsi="Times New Roman" w:cs="Times New Roman"/>
                <w:color w:val="auto"/>
                <w:sz w:val="20"/>
                <w:szCs w:val="20"/>
              </w:rPr>
              <w:t>Dhanlaxmi</w:t>
            </w:r>
            <w:proofErr w:type="spellEnd"/>
            <w:r w:rsidRPr="00E0135B">
              <w:rPr>
                <w:rFonts w:ascii="Times New Roman" w:hAnsi="Times New Roman" w:cs="Times New Roman"/>
                <w:color w:val="auto"/>
                <w:sz w:val="20"/>
                <w:szCs w:val="20"/>
              </w:rPr>
              <w:t xml:space="preserve"> Bank</w:t>
            </w:r>
          </w:p>
        </w:tc>
        <w:tc>
          <w:tcPr>
            <w:tcW w:w="1300" w:type="dxa"/>
          </w:tcPr>
          <w:p w14:paraId="0E09603E"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Nov 2015</w:t>
            </w:r>
          </w:p>
        </w:tc>
        <w:tc>
          <w:tcPr>
            <w:tcW w:w="2000" w:type="dxa"/>
          </w:tcPr>
          <w:p w14:paraId="18BDEC6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Removed Feb 2019</w:t>
            </w:r>
          </w:p>
        </w:tc>
        <w:tc>
          <w:tcPr>
            <w:tcW w:w="1500" w:type="dxa"/>
          </w:tcPr>
          <w:p w14:paraId="49225ED7"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4 years</w:t>
            </w:r>
          </w:p>
        </w:tc>
        <w:tc>
          <w:tcPr>
            <w:tcW w:w="2051" w:type="dxa"/>
          </w:tcPr>
          <w:p w14:paraId="469D45E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Capital inadequacy, NPA</w:t>
            </w:r>
          </w:p>
        </w:tc>
      </w:tr>
      <w:tr w:rsidR="009E6423" w:rsidRPr="00E0135B" w14:paraId="7415C4BE" w14:textId="77777777" w:rsidTr="006C18B6">
        <w:tc>
          <w:tcPr>
            <w:tcW w:w="2500" w:type="dxa"/>
          </w:tcPr>
          <w:p w14:paraId="704A138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Bank of Maharashtra</w:t>
            </w:r>
          </w:p>
        </w:tc>
        <w:tc>
          <w:tcPr>
            <w:tcW w:w="1300" w:type="dxa"/>
          </w:tcPr>
          <w:p w14:paraId="64DCA90A"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Jun 2017</w:t>
            </w:r>
          </w:p>
        </w:tc>
        <w:tc>
          <w:tcPr>
            <w:tcW w:w="2000" w:type="dxa"/>
          </w:tcPr>
          <w:p w14:paraId="004DD40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Removed Feb 2019</w:t>
            </w:r>
          </w:p>
        </w:tc>
        <w:tc>
          <w:tcPr>
            <w:tcW w:w="1500" w:type="dxa"/>
          </w:tcPr>
          <w:p w14:paraId="44CCD462"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2 years</w:t>
            </w:r>
          </w:p>
        </w:tc>
        <w:tc>
          <w:tcPr>
            <w:tcW w:w="2051" w:type="dxa"/>
          </w:tcPr>
          <w:p w14:paraId="00FC8F6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NNPA 11.76%, ROA −1.09%</w:t>
            </w:r>
          </w:p>
        </w:tc>
      </w:tr>
      <w:tr w:rsidR="009E6423" w:rsidRPr="00E0135B" w14:paraId="60C8B6F5" w14:textId="77777777" w:rsidTr="006C18B6">
        <w:tc>
          <w:tcPr>
            <w:tcW w:w="2500" w:type="dxa"/>
          </w:tcPr>
          <w:p w14:paraId="0229AFE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IDBI Bank</w:t>
            </w:r>
          </w:p>
        </w:tc>
        <w:tc>
          <w:tcPr>
            <w:tcW w:w="1300" w:type="dxa"/>
          </w:tcPr>
          <w:p w14:paraId="144EE2B4"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May 2017</w:t>
            </w:r>
          </w:p>
        </w:tc>
        <w:tc>
          <w:tcPr>
            <w:tcW w:w="2000" w:type="dxa"/>
          </w:tcPr>
          <w:p w14:paraId="315BD16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Removed Mar 2021</w:t>
            </w:r>
          </w:p>
        </w:tc>
        <w:tc>
          <w:tcPr>
            <w:tcW w:w="1500" w:type="dxa"/>
          </w:tcPr>
          <w:p w14:paraId="2A7E6917"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4 years</w:t>
            </w:r>
          </w:p>
        </w:tc>
        <w:tc>
          <w:tcPr>
            <w:tcW w:w="2051" w:type="dxa"/>
          </w:tcPr>
          <w:p w14:paraId="4E92620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NNPA &gt;10%, negative ROA</w:t>
            </w:r>
          </w:p>
        </w:tc>
      </w:tr>
      <w:tr w:rsidR="009E6423" w:rsidRPr="00E0135B" w14:paraId="5D83720A" w14:textId="77777777" w:rsidTr="006C18B6">
        <w:tc>
          <w:tcPr>
            <w:tcW w:w="2500" w:type="dxa"/>
          </w:tcPr>
          <w:p w14:paraId="0F1FC93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UCO Bank</w:t>
            </w:r>
          </w:p>
        </w:tc>
        <w:tc>
          <w:tcPr>
            <w:tcW w:w="1300" w:type="dxa"/>
          </w:tcPr>
          <w:p w14:paraId="5177389E"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May 2017</w:t>
            </w:r>
          </w:p>
        </w:tc>
        <w:tc>
          <w:tcPr>
            <w:tcW w:w="2000" w:type="dxa"/>
          </w:tcPr>
          <w:p w14:paraId="65C3E5F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Removed Sep 2021</w:t>
            </w:r>
          </w:p>
        </w:tc>
        <w:tc>
          <w:tcPr>
            <w:tcW w:w="1500" w:type="dxa"/>
          </w:tcPr>
          <w:p w14:paraId="275AAD32"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5 years</w:t>
            </w:r>
          </w:p>
        </w:tc>
        <w:tc>
          <w:tcPr>
            <w:tcW w:w="2051" w:type="dxa"/>
          </w:tcPr>
          <w:p w14:paraId="5CB316E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NNPA breach, negative ROA</w:t>
            </w:r>
          </w:p>
        </w:tc>
      </w:tr>
      <w:tr w:rsidR="009E6423" w:rsidRPr="00E0135B" w14:paraId="60F37052" w14:textId="77777777" w:rsidTr="006C18B6">
        <w:tc>
          <w:tcPr>
            <w:tcW w:w="2500" w:type="dxa"/>
          </w:tcPr>
          <w:p w14:paraId="16BAD1B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Dena Bank</w:t>
            </w:r>
          </w:p>
        </w:tc>
        <w:tc>
          <w:tcPr>
            <w:tcW w:w="1300" w:type="dxa"/>
          </w:tcPr>
          <w:p w14:paraId="180BF20F"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May 2017</w:t>
            </w:r>
          </w:p>
        </w:tc>
        <w:tc>
          <w:tcPr>
            <w:tcW w:w="2000" w:type="dxa"/>
          </w:tcPr>
          <w:p w14:paraId="1D51F31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 xml:space="preserve">Merged into </w:t>
            </w:r>
            <w:proofErr w:type="spellStart"/>
            <w:r w:rsidRPr="00E0135B">
              <w:rPr>
                <w:rFonts w:ascii="Times New Roman" w:hAnsi="Times New Roman" w:cs="Times New Roman"/>
                <w:color w:val="auto"/>
                <w:sz w:val="20"/>
                <w:szCs w:val="20"/>
              </w:rPr>
              <w:t>BoB</w:t>
            </w:r>
            <w:proofErr w:type="spellEnd"/>
            <w:r w:rsidRPr="00E0135B">
              <w:rPr>
                <w:rFonts w:ascii="Times New Roman" w:hAnsi="Times New Roman" w:cs="Times New Roman"/>
                <w:color w:val="auto"/>
                <w:sz w:val="20"/>
                <w:szCs w:val="20"/>
              </w:rPr>
              <w:t xml:space="preserve"> (Apr 2019)</w:t>
            </w:r>
          </w:p>
        </w:tc>
        <w:tc>
          <w:tcPr>
            <w:tcW w:w="1500" w:type="dxa"/>
          </w:tcPr>
          <w:p w14:paraId="6BE81B7D"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2 years</w:t>
            </w:r>
          </w:p>
        </w:tc>
        <w:tc>
          <w:tcPr>
            <w:tcW w:w="2051" w:type="dxa"/>
          </w:tcPr>
          <w:p w14:paraId="42736B98"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High NPA, capital stress</w:t>
            </w:r>
          </w:p>
        </w:tc>
      </w:tr>
      <w:tr w:rsidR="009E6423" w:rsidRPr="00E0135B" w14:paraId="03B8807C" w14:textId="77777777" w:rsidTr="006C18B6">
        <w:tc>
          <w:tcPr>
            <w:tcW w:w="2500" w:type="dxa"/>
          </w:tcPr>
          <w:p w14:paraId="7628EC47"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Central Bank of India</w:t>
            </w:r>
          </w:p>
        </w:tc>
        <w:tc>
          <w:tcPr>
            <w:tcW w:w="1300" w:type="dxa"/>
          </w:tcPr>
          <w:p w14:paraId="1AFD4E9D"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Jun 2017</w:t>
            </w:r>
          </w:p>
        </w:tc>
        <w:tc>
          <w:tcPr>
            <w:tcW w:w="2000" w:type="dxa"/>
          </w:tcPr>
          <w:p w14:paraId="02BDA964"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Removed Sep 2022</w:t>
            </w:r>
          </w:p>
        </w:tc>
        <w:tc>
          <w:tcPr>
            <w:tcW w:w="1500" w:type="dxa"/>
          </w:tcPr>
          <w:p w14:paraId="41181853"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6 years</w:t>
            </w:r>
          </w:p>
        </w:tc>
        <w:tc>
          <w:tcPr>
            <w:tcW w:w="2051" w:type="dxa"/>
          </w:tcPr>
          <w:p w14:paraId="546A0E6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CRAR breach, high NNPA</w:t>
            </w:r>
          </w:p>
        </w:tc>
      </w:tr>
      <w:tr w:rsidR="009E6423" w:rsidRPr="00E0135B" w14:paraId="704C5565" w14:textId="77777777" w:rsidTr="006C18B6">
        <w:tc>
          <w:tcPr>
            <w:tcW w:w="2500" w:type="dxa"/>
          </w:tcPr>
          <w:p w14:paraId="5825C57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Bank of India</w:t>
            </w:r>
          </w:p>
        </w:tc>
        <w:tc>
          <w:tcPr>
            <w:tcW w:w="1300" w:type="dxa"/>
          </w:tcPr>
          <w:p w14:paraId="3C14B3A8"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Dec 2017</w:t>
            </w:r>
          </w:p>
        </w:tc>
        <w:tc>
          <w:tcPr>
            <w:tcW w:w="2000" w:type="dxa"/>
          </w:tcPr>
          <w:p w14:paraId="013CF69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Removed Jan 2019</w:t>
            </w:r>
          </w:p>
        </w:tc>
        <w:tc>
          <w:tcPr>
            <w:tcW w:w="1500" w:type="dxa"/>
          </w:tcPr>
          <w:p w14:paraId="1ACBFDE8"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2 years</w:t>
            </w:r>
          </w:p>
        </w:tc>
        <w:tc>
          <w:tcPr>
            <w:tcW w:w="2051" w:type="dxa"/>
          </w:tcPr>
          <w:p w14:paraId="1ED86FF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CRAR breach, NPA stress</w:t>
            </w:r>
          </w:p>
        </w:tc>
      </w:tr>
      <w:tr w:rsidR="009E6423" w:rsidRPr="00E0135B" w14:paraId="703BD52E" w14:textId="77777777" w:rsidTr="006C18B6">
        <w:tc>
          <w:tcPr>
            <w:tcW w:w="2500" w:type="dxa"/>
          </w:tcPr>
          <w:p w14:paraId="3B74F32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Oriental Bank of Commerce</w:t>
            </w:r>
          </w:p>
        </w:tc>
        <w:tc>
          <w:tcPr>
            <w:tcW w:w="1300" w:type="dxa"/>
          </w:tcPr>
          <w:p w14:paraId="10A0C6CF"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Dec 2017</w:t>
            </w:r>
          </w:p>
        </w:tc>
        <w:tc>
          <w:tcPr>
            <w:tcW w:w="2000" w:type="dxa"/>
          </w:tcPr>
          <w:p w14:paraId="02F7AA0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Merged into PNB (Apr 2020)</w:t>
            </w:r>
          </w:p>
        </w:tc>
        <w:tc>
          <w:tcPr>
            <w:tcW w:w="1500" w:type="dxa"/>
          </w:tcPr>
          <w:p w14:paraId="724366B2"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2 years</w:t>
            </w:r>
          </w:p>
        </w:tc>
        <w:tc>
          <w:tcPr>
            <w:tcW w:w="2051" w:type="dxa"/>
          </w:tcPr>
          <w:p w14:paraId="1EC7C0C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NPA breach</w:t>
            </w:r>
          </w:p>
        </w:tc>
      </w:tr>
      <w:tr w:rsidR="009E6423" w:rsidRPr="00E0135B" w14:paraId="3ECA901D" w14:textId="77777777" w:rsidTr="006C18B6">
        <w:tc>
          <w:tcPr>
            <w:tcW w:w="2500" w:type="dxa"/>
          </w:tcPr>
          <w:p w14:paraId="426E30B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Corporation Bank</w:t>
            </w:r>
          </w:p>
        </w:tc>
        <w:tc>
          <w:tcPr>
            <w:tcW w:w="1300" w:type="dxa"/>
          </w:tcPr>
          <w:p w14:paraId="184F7848"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Dec 2017</w:t>
            </w:r>
          </w:p>
        </w:tc>
        <w:tc>
          <w:tcPr>
            <w:tcW w:w="2000" w:type="dxa"/>
          </w:tcPr>
          <w:p w14:paraId="3BC6248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Merged into Union Bank (Apr 2020)</w:t>
            </w:r>
          </w:p>
        </w:tc>
        <w:tc>
          <w:tcPr>
            <w:tcW w:w="1500" w:type="dxa"/>
          </w:tcPr>
          <w:p w14:paraId="3B74BFCA"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2 years</w:t>
            </w:r>
          </w:p>
        </w:tc>
        <w:tc>
          <w:tcPr>
            <w:tcW w:w="2051" w:type="dxa"/>
          </w:tcPr>
          <w:p w14:paraId="08EE7351"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NPA breach, capital stress</w:t>
            </w:r>
          </w:p>
        </w:tc>
      </w:tr>
      <w:tr w:rsidR="009E6423" w:rsidRPr="00E0135B" w14:paraId="174D57AA" w14:textId="77777777" w:rsidTr="006C18B6">
        <w:tc>
          <w:tcPr>
            <w:tcW w:w="2500" w:type="dxa"/>
          </w:tcPr>
          <w:p w14:paraId="7C07906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Allahabad Bank</w:t>
            </w:r>
          </w:p>
        </w:tc>
        <w:tc>
          <w:tcPr>
            <w:tcW w:w="1300" w:type="dxa"/>
          </w:tcPr>
          <w:p w14:paraId="493AF65D"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Jan 2018</w:t>
            </w:r>
          </w:p>
        </w:tc>
        <w:tc>
          <w:tcPr>
            <w:tcW w:w="2000" w:type="dxa"/>
          </w:tcPr>
          <w:p w14:paraId="760A23E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Merged into Indian Bank (Apr 2020)</w:t>
            </w:r>
          </w:p>
        </w:tc>
        <w:tc>
          <w:tcPr>
            <w:tcW w:w="1500" w:type="dxa"/>
          </w:tcPr>
          <w:p w14:paraId="7E0F3D42"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2 years</w:t>
            </w:r>
          </w:p>
        </w:tc>
        <w:tc>
          <w:tcPr>
            <w:tcW w:w="2051" w:type="dxa"/>
          </w:tcPr>
          <w:p w14:paraId="29AE1AF8"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NPA breach, capital stress</w:t>
            </w:r>
          </w:p>
        </w:tc>
      </w:tr>
    </w:tbl>
    <w:p w14:paraId="0D28D7BF" w14:textId="77777777" w:rsidR="00604563" w:rsidRPr="00E0135B" w:rsidRDefault="002143D7" w:rsidP="003D59BE">
      <w:pPr>
        <w:spacing w:before="80" w:after="200" w:line="360" w:lineRule="auto"/>
        <w:rPr>
          <w:rFonts w:ascii="Times New Roman" w:hAnsi="Times New Roman" w:cs="Times New Roman"/>
          <w:color w:val="auto"/>
          <w:sz w:val="20"/>
          <w:szCs w:val="20"/>
        </w:rPr>
      </w:pPr>
      <w:r w:rsidRPr="00E0135B">
        <w:rPr>
          <w:rFonts w:ascii="Times New Roman" w:hAnsi="Times New Roman" w:cs="Times New Roman"/>
          <w:color w:val="auto"/>
          <w:sz w:val="20"/>
          <w:szCs w:val="20"/>
        </w:rPr>
        <w:t>Source: RBI PCA entry/exit notifications; Trend and Progress of Banking in India, various years.</w:t>
      </w:r>
    </w:p>
    <w:p w14:paraId="55C5BC1B" w14:textId="1DCE2A02" w:rsidR="00714B6E" w:rsidRPr="00E0135B" w:rsidRDefault="00714B6E" w:rsidP="003D59BE">
      <w:pPr>
        <w:spacing w:line="360" w:lineRule="auto"/>
        <w:rPr>
          <w:rFonts w:ascii="Times New Roman" w:hAnsi="Times New Roman" w:cs="Times New Roman"/>
          <w:color w:val="auto"/>
          <w:sz w:val="20"/>
          <w:szCs w:val="20"/>
        </w:rPr>
      </w:pPr>
      <w:r w:rsidRPr="00E0135B">
        <w:rPr>
          <w:rFonts w:ascii="Times New Roman" w:hAnsi="Times New Roman" w:cs="Times New Roman"/>
          <w:color w:val="auto"/>
          <w:sz w:val="20"/>
          <w:szCs w:val="20"/>
        </w:rPr>
        <w:br w:type="page"/>
      </w:r>
    </w:p>
    <w:p w14:paraId="72E97CB2" w14:textId="77777777" w:rsidR="00604563" w:rsidRPr="00E0135B" w:rsidRDefault="002143D7" w:rsidP="003D59BE">
      <w:pPr>
        <w:pStyle w:val="Heading1"/>
        <w:pBdr>
          <w:bottom w:val="single" w:sz="6" w:space="4" w:color="2E75B6"/>
        </w:pBdr>
        <w:spacing w:line="360" w:lineRule="auto"/>
        <w:rPr>
          <w:rFonts w:ascii="Times New Roman" w:hAnsi="Times New Roman" w:cs="Times New Roman"/>
          <w:color w:val="auto"/>
          <w:sz w:val="32"/>
          <w:szCs w:val="32"/>
        </w:rPr>
      </w:pPr>
      <w:r w:rsidRPr="00E0135B">
        <w:rPr>
          <w:rFonts w:ascii="Times New Roman" w:hAnsi="Times New Roman" w:cs="Times New Roman"/>
          <w:color w:val="auto"/>
          <w:sz w:val="32"/>
          <w:szCs w:val="32"/>
        </w:rPr>
        <w:lastRenderedPageBreak/>
        <w:t>3. Data and Variables</w:t>
      </w:r>
    </w:p>
    <w:p w14:paraId="0261AF5B"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3.1 Sample and Dataset Construction</w:t>
      </w:r>
    </w:p>
    <w:p w14:paraId="6471B4BA" w14:textId="4D0F31EF" w:rsidR="00FC18B9" w:rsidRPr="00E0135B" w:rsidRDefault="00FC18B9"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t>The main data set is an uneven panel (population = 102 Indian scheduled commercial banks) of regular (2008-2024 old) Basel CRAR-values obtained at the Reserve Bank of India (RBI). The research design uses 139 banks starting in FY 2005; the research design analysis of the capital adequacy is limited to a subsample of 1,080 bank-years which covers FY 2008 to FY 2024. The data on 40 *separate PCA breaches among 12 banks (see Table</w:t>
      </w:r>
      <w:r w:rsidRPr="00E0135B">
        <w:rPr>
          <w:rFonts w:ascii="Cambria Math" w:hAnsi="Cambria Math" w:cs="Cambria Math"/>
          <w:b w:val="0"/>
          <w:bCs w:val="0"/>
          <w:color w:val="auto"/>
        </w:rPr>
        <w:t>⎬</w:t>
      </w:r>
      <w:r w:rsidRPr="00E0135B">
        <w:rPr>
          <w:rFonts w:ascii="Times New Roman" w:hAnsi="Times New Roman" w:cs="Times New Roman"/>
          <w:b w:val="0"/>
          <w:bCs w:val="0"/>
          <w:color w:val="auto"/>
        </w:rPr>
        <w:t>1) provide the event rate of about 3.7% which is quite a rare event which should be interpreted with caution related to the dichotomization discussed and the sample size of the probit estimator.</w:t>
      </w:r>
    </w:p>
    <w:p w14:paraId="2017D05A" w14:textId="6E01FDE4" w:rsidR="00FC18B9" w:rsidRPr="00E0135B" w:rsidRDefault="00FC18B9"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t xml:space="preserve">The variables were all procured out of publicly available repositories of RBI. The balance sheet items, such as total assets, advances, deposits, investments, capital and reserves were borrowed through RBI Statistical Tables Relating to Banks in India. The indicators of profitability were calculated based on the awarded tables of the earnings and expenses in the same series. The capital adequate ratios were obtained based on the RBI bank-wise CRAR table (STRBI B3) and the net written off gross bad-asset (NPA) were obtained based on RBI Table20. Other covariates that denoted the macro-economic variables were obtained in the Ministry of Statistics and </w:t>
      </w:r>
      <w:proofErr w:type="spellStart"/>
      <w:r w:rsidRPr="00E0135B">
        <w:rPr>
          <w:rFonts w:ascii="Times New Roman" w:hAnsi="Times New Roman" w:cs="Times New Roman"/>
          <w:b w:val="0"/>
          <w:bCs w:val="0"/>
          <w:color w:val="auto"/>
        </w:rPr>
        <w:t>Programme</w:t>
      </w:r>
      <w:proofErr w:type="spellEnd"/>
      <w:r w:rsidRPr="00E0135B">
        <w:rPr>
          <w:rFonts w:ascii="Times New Roman" w:hAnsi="Times New Roman" w:cs="Times New Roman"/>
          <w:b w:val="0"/>
          <w:bCs w:val="0"/>
          <w:color w:val="auto"/>
        </w:rPr>
        <w:t xml:space="preserve"> Implementation (</w:t>
      </w:r>
      <w:proofErr w:type="spellStart"/>
      <w:r w:rsidRPr="00E0135B">
        <w:rPr>
          <w:rFonts w:ascii="Times New Roman" w:hAnsi="Times New Roman" w:cs="Times New Roman"/>
          <w:b w:val="0"/>
          <w:bCs w:val="0"/>
          <w:color w:val="auto"/>
        </w:rPr>
        <w:t>MoSPI</w:t>
      </w:r>
      <w:proofErr w:type="spellEnd"/>
      <w:r w:rsidRPr="00E0135B">
        <w:rPr>
          <w:rFonts w:ascii="Times New Roman" w:hAnsi="Times New Roman" w:cs="Times New Roman"/>
          <w:b w:val="0"/>
          <w:bCs w:val="0"/>
          <w:color w:val="auto"/>
        </w:rPr>
        <w:t>) national accounts statistics as well as the RBI Handbook of statistics. The coding process followed was a manual one, in constructing the PCA breach dummy variable, using individual RBI PCA entry and exit circulars, which in turn were later verified against the annual compendium, Trend and Progress of Banking in India.</w:t>
      </w:r>
    </w:p>
    <w:p w14:paraId="7A5E9B1E" w14:textId="77777777" w:rsidR="00FC18B9" w:rsidRPr="00E0135B" w:rsidRDefault="00FC18B9"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t xml:space="preserve">The structural discontinuity that is created by bank mergers in the panel data. As a result, an institution is considered an independent variable all the way to the fiscal year right before a merger; a 1-merger dummy is then created during this final year of independent operation, and the institution is then not reported again. This construction maintains the pre-merger pathway of the PCA-carrying years of PCA-bearing institutions like Dena Bank, Oriental Bank of Commerce, Corporation Bank and Allahabad Bank which were </w:t>
      </w:r>
      <w:proofErr w:type="spellStart"/>
      <w:r w:rsidRPr="00E0135B">
        <w:rPr>
          <w:rFonts w:ascii="Times New Roman" w:hAnsi="Times New Roman" w:cs="Times New Roman"/>
          <w:b w:val="0"/>
          <w:bCs w:val="0"/>
          <w:color w:val="auto"/>
        </w:rPr>
        <w:t>nationalised</w:t>
      </w:r>
      <w:proofErr w:type="spellEnd"/>
      <w:r w:rsidRPr="00E0135B">
        <w:rPr>
          <w:rFonts w:ascii="Times New Roman" w:hAnsi="Times New Roman" w:cs="Times New Roman"/>
          <w:b w:val="0"/>
          <w:bCs w:val="0"/>
          <w:color w:val="auto"/>
        </w:rPr>
        <w:t xml:space="preserve"> into bigger state-owned banks in April 2020.</w:t>
      </w:r>
    </w:p>
    <w:p w14:paraId="77E80E3E" w14:textId="5AFB6BAC"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lastRenderedPageBreak/>
        <w:t>3.2 Dependent Variable</w:t>
      </w:r>
    </w:p>
    <w:p w14:paraId="11781AB9" w14:textId="5272B894" w:rsidR="0071466B" w:rsidRDefault="0071466B" w:rsidP="003D59BE">
      <w:pPr>
        <w:pStyle w:val="Heading2"/>
        <w:spacing w:line="360" w:lineRule="auto"/>
        <w:jc w:val="both"/>
        <w:rPr>
          <w:rFonts w:ascii="Times New Roman" w:hAnsi="Times New Roman" w:cs="Times New Roman"/>
          <w:b w:val="0"/>
          <w:bCs w:val="0"/>
          <w:color w:val="auto"/>
        </w:rPr>
      </w:pPr>
      <w:r w:rsidRPr="00E0135B">
        <w:rPr>
          <w:rFonts w:ascii="Times New Roman" w:hAnsi="Times New Roman" w:cs="Times New Roman"/>
          <w:b w:val="0"/>
          <w:bCs w:val="0"/>
          <w:color w:val="auto"/>
        </w:rPr>
        <w:t>Dependent variable PCA</w:t>
      </w:r>
      <w:r w:rsidR="002D267A" w:rsidRPr="00E0135B">
        <w:rPr>
          <w:rFonts w:ascii="Times New Roman" w:hAnsi="Times New Roman" w:cs="Times New Roman"/>
          <w:b w:val="0"/>
          <w:bCs w:val="0"/>
          <w:color w:val="auto"/>
        </w:rPr>
        <w:t>_</w:t>
      </w:r>
      <w:r w:rsidRPr="00E0135B">
        <w:rPr>
          <w:rFonts w:ascii="Times New Roman" w:hAnsi="Times New Roman" w:cs="Times New Roman"/>
          <w:b w:val="0"/>
          <w:bCs w:val="0"/>
          <w:color w:val="auto"/>
        </w:rPr>
        <w:t xml:space="preserve">BREACH represents coded </w:t>
      </w:r>
      <w:r w:rsidR="001E27FD" w:rsidRPr="00E0135B">
        <w:rPr>
          <w:rFonts w:ascii="Times New Roman" w:hAnsi="Times New Roman" w:cs="Times New Roman"/>
          <w:b w:val="0"/>
          <w:bCs w:val="0"/>
          <w:color w:val="auto"/>
        </w:rPr>
        <w:t>1</w:t>
      </w:r>
      <w:r w:rsidRPr="00E0135B">
        <w:rPr>
          <w:rFonts w:ascii="Times New Roman" w:hAnsi="Times New Roman" w:cs="Times New Roman"/>
          <w:b w:val="0"/>
          <w:bCs w:val="0"/>
          <w:color w:val="auto"/>
        </w:rPr>
        <w:t xml:space="preserve"> when a bank by the end of the financial year t was under the regime of the Prompt Corrective Action of the Reserve Bank of India, and coded as </w:t>
      </w:r>
      <w:r w:rsidR="001E27FD" w:rsidRPr="00E0135B">
        <w:rPr>
          <w:rFonts w:ascii="Times New Roman" w:hAnsi="Times New Roman" w:cs="Times New Roman"/>
          <w:b w:val="0"/>
          <w:bCs w:val="0"/>
          <w:color w:val="auto"/>
        </w:rPr>
        <w:t>0</w:t>
      </w:r>
      <w:r w:rsidRPr="00E0135B">
        <w:rPr>
          <w:rFonts w:ascii="Times New Roman" w:hAnsi="Times New Roman" w:cs="Times New Roman"/>
          <w:b w:val="0"/>
          <w:bCs w:val="0"/>
          <w:color w:val="auto"/>
        </w:rPr>
        <w:t xml:space="preserve"> otherwise. This coding scheme captures the regulatory position of the bank in year t, and all bank specific covariates are observed in year </w:t>
      </w:r>
      <w:proofErr w:type="spellStart"/>
      <w:r w:rsidRPr="00E0135B">
        <w:rPr>
          <w:rFonts w:ascii="Times New Roman" w:hAnsi="Times New Roman" w:cs="Times New Roman"/>
          <w:b w:val="0"/>
          <w:bCs w:val="0"/>
          <w:color w:val="auto"/>
        </w:rPr>
        <w:t>t</w:t>
      </w:r>
      <w:proofErr w:type="spellEnd"/>
      <w:r w:rsidRPr="00E0135B">
        <w:rPr>
          <w:rFonts w:ascii="Times New Roman" w:hAnsi="Times New Roman" w:cs="Times New Roman"/>
          <w:b w:val="0"/>
          <w:bCs w:val="0"/>
          <w:color w:val="auto"/>
        </w:rPr>
        <w:t xml:space="preserve"> 1 (i.e. lagged by one year) such that the model might only isolate leading indicators of distress and not contemporaries.</w:t>
      </w:r>
      <w:r w:rsidR="006D7A1A" w:rsidRPr="00E0135B">
        <w:rPr>
          <w:rFonts w:ascii="Times New Roman" w:hAnsi="Times New Roman" w:cs="Times New Roman"/>
          <w:b w:val="0"/>
          <w:bCs w:val="0"/>
          <w:color w:val="auto"/>
        </w:rPr>
        <w:t xml:space="preserve"> T</w:t>
      </w:r>
      <w:r w:rsidRPr="00E0135B">
        <w:rPr>
          <w:rFonts w:ascii="Times New Roman" w:hAnsi="Times New Roman" w:cs="Times New Roman"/>
          <w:b w:val="0"/>
          <w:bCs w:val="0"/>
          <w:color w:val="auto"/>
        </w:rPr>
        <w:t>he secondary analysis of real numbers is an ordered probit specification PCA</w:t>
      </w:r>
      <w:r w:rsidR="002D267A" w:rsidRPr="00E0135B">
        <w:rPr>
          <w:rFonts w:ascii="Times New Roman" w:hAnsi="Times New Roman" w:cs="Times New Roman"/>
          <w:b w:val="0"/>
          <w:bCs w:val="0"/>
          <w:color w:val="auto"/>
        </w:rPr>
        <w:t>_</w:t>
      </w:r>
      <w:r w:rsidRPr="00E0135B">
        <w:rPr>
          <w:rFonts w:ascii="Times New Roman" w:hAnsi="Times New Roman" w:cs="Times New Roman"/>
          <w:b w:val="0"/>
          <w:bCs w:val="0"/>
          <w:color w:val="auto"/>
        </w:rPr>
        <w:t>GRADE (between 0 and 3 and progressively increasing in severity of breach), but the main findings of the research concern the empirical results of the binary probit model used in the first place.</w:t>
      </w:r>
    </w:p>
    <w:p w14:paraId="65E0D449" w14:textId="77777777" w:rsidR="00E0135B" w:rsidRDefault="00E0135B" w:rsidP="003D59BE">
      <w:pPr>
        <w:pStyle w:val="Heading2"/>
        <w:spacing w:line="360" w:lineRule="auto"/>
        <w:jc w:val="both"/>
        <w:rPr>
          <w:rFonts w:ascii="Times New Roman" w:hAnsi="Times New Roman" w:cs="Times New Roman"/>
          <w:b w:val="0"/>
          <w:bCs w:val="0"/>
          <w:color w:val="auto"/>
        </w:rPr>
      </w:pPr>
    </w:p>
    <w:p w14:paraId="243AC943" w14:textId="77777777" w:rsidR="00E0135B" w:rsidRPr="00E0135B" w:rsidRDefault="00E0135B" w:rsidP="003D59BE">
      <w:pPr>
        <w:pStyle w:val="Heading2"/>
        <w:spacing w:line="360" w:lineRule="auto"/>
        <w:jc w:val="both"/>
        <w:rPr>
          <w:rFonts w:ascii="Times New Roman" w:hAnsi="Times New Roman" w:cs="Times New Roman"/>
          <w:b w:val="0"/>
          <w:bCs w:val="0"/>
          <w:color w:val="auto"/>
        </w:rPr>
      </w:pPr>
    </w:p>
    <w:p w14:paraId="296DA0D6" w14:textId="47EE0665"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3.3 Explanatory Variables</w:t>
      </w:r>
    </w:p>
    <w:p w14:paraId="3D32085C" w14:textId="1D8521EB" w:rsidR="008460A7" w:rsidRPr="00E0135B" w:rsidRDefault="00EE0DCB"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t>The explanatory variables have been classified into four unique groups which comprise bank-specific financial ratios, balance sheet constrain</w:t>
      </w:r>
      <w:r w:rsidR="008460A7" w:rsidRPr="00E0135B">
        <w:rPr>
          <w:rFonts w:ascii="Times New Roman" w:hAnsi="Times New Roman" w:cs="Times New Roman"/>
          <w:color w:val="auto"/>
          <w:sz w:val="28"/>
          <w:szCs w:val="28"/>
        </w:rPr>
        <w:t xml:space="preserve"> </w:t>
      </w:r>
      <w:r w:rsidR="008460A7" w:rsidRPr="00E0135B">
        <w:rPr>
          <w:rFonts w:ascii="Times New Roman" w:hAnsi="Times New Roman" w:cs="Times New Roman"/>
          <w:b w:val="0"/>
          <w:bCs w:val="0"/>
          <w:color w:val="auto"/>
        </w:rPr>
        <w:t xml:space="preserve">Explanatory variables are grouped into four thereby </w:t>
      </w:r>
      <w:proofErr w:type="spellStart"/>
      <w:r w:rsidR="008460A7" w:rsidRPr="00E0135B">
        <w:rPr>
          <w:rFonts w:ascii="Times New Roman" w:hAnsi="Times New Roman" w:cs="Times New Roman"/>
          <w:b w:val="0"/>
          <w:bCs w:val="0"/>
          <w:color w:val="auto"/>
        </w:rPr>
        <w:t>totalling</w:t>
      </w:r>
      <w:proofErr w:type="spellEnd"/>
      <w:r w:rsidR="008460A7" w:rsidRPr="00E0135B">
        <w:rPr>
          <w:rFonts w:ascii="Times New Roman" w:hAnsi="Times New Roman" w:cs="Times New Roman"/>
          <w:b w:val="0"/>
          <w:bCs w:val="0"/>
          <w:color w:val="auto"/>
        </w:rPr>
        <w:t xml:space="preserve"> up to four different groups that include bank specific financial ratio, balance sheet constraints, macroeconomic indicators and dummies of interest rate policies. Table 2 below shows a brief version of the expected sign-conventions and the underlying theoretical considerations. The year-lagged total CRAR percentage, which acts as the major PCA driver, augmented in the RBI scheme (principle: banks with a CRAR value less than 10.25 per cent., are better capitalized, as of 2019), is anticipated to have a negative impact, meaning there is a hypothesis that less capitalized banks have less chance of breach. In the complementary specification M5, the general CRAR variable is instead specified by Tier1 CRAR to determine whether the structural composition of core equity capital provides a more verbose variable of financial statement than total regulatory capital which also includes the less loss-absorbent Tier2 instruments.</w:t>
      </w:r>
    </w:p>
    <w:p w14:paraId="05448D7B" w14:textId="39CE9C50" w:rsidR="008460A7" w:rsidRPr="00E0135B" w:rsidRDefault="008460A7"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t xml:space="preserve">The GNPA ratio, which is lagged by one year and used as a proxy of official PCA trigger (Net NPA ratio), is an indicator of quality of assets. The correlation between GNPA and NNPA at the </w:t>
      </w:r>
      <w:r w:rsidRPr="00E0135B">
        <w:rPr>
          <w:rFonts w:ascii="Times New Roman" w:hAnsi="Times New Roman" w:cs="Times New Roman"/>
          <w:b w:val="0"/>
          <w:bCs w:val="0"/>
          <w:color w:val="auto"/>
        </w:rPr>
        <w:lastRenderedPageBreak/>
        <w:t xml:space="preserve">bank level is empirically revealed to be true and hence has a correlation of above 0.95 hence validating GNPA as a good surrogate. The anticipated does is positive. The single-year lagged profitability proxy, which is the ROA percentage is assumed to have a negative relationship, but it can be expected to be collinear with CRAR. The delayed credit growth one-year is an indicator of pre-crisis credit growth, which can serve as the source of future NPA growth. Regulations in macroeconomic act include GDP growth, CPI inflation and M3 growth. In the pre-specification represented in the </w:t>
      </w:r>
      <w:proofErr w:type="spellStart"/>
      <w:r w:rsidRPr="00E0135B">
        <w:rPr>
          <w:rFonts w:ascii="Times New Roman" w:hAnsi="Times New Roman" w:cs="Times New Roman"/>
          <w:b w:val="0"/>
          <w:bCs w:val="0"/>
          <w:color w:val="auto"/>
        </w:rPr>
        <w:t>PCA_Probit_Results</w:t>
      </w:r>
      <w:proofErr w:type="spellEnd"/>
      <w:r w:rsidRPr="00E0135B">
        <w:rPr>
          <w:rFonts w:ascii="Times New Roman" w:hAnsi="Times New Roman" w:cs="Times New Roman"/>
          <w:b w:val="0"/>
          <w:bCs w:val="0"/>
          <w:color w:val="auto"/>
        </w:rPr>
        <w:t xml:space="preserve"> document, the repo rate was first included but later removed in the final formulas because of its extreme multicollinearity with CPI and GDP which inflated standard errors and thus obscurantism of the actual impacts of the predictors.</w:t>
      </w:r>
    </w:p>
    <w:p w14:paraId="1C3B4252" w14:textId="010577B3" w:rsidR="00BF0958" w:rsidRPr="00E0135B" w:rsidRDefault="008460A7"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t xml:space="preserve">The policymaking dummy includes three structural breaks, namely IBC_DUMMY (since equal to one in FY2017, when the Insolvency and Bankruptcy Code was adopted), PCA_REVISION_2017 (since equal to one since FY2018, according to the April amendment of the framework), and a combined NPA Forbearance dummy in FY2021, effectively replacing the previous COVID and Moratorium dummies, which showed near-perfect </w:t>
      </w:r>
      <w:proofErr w:type="spellStart"/>
      <w:r w:rsidRPr="00E0135B">
        <w:rPr>
          <w:rFonts w:ascii="Times New Roman" w:hAnsi="Times New Roman" w:cs="Times New Roman"/>
          <w:b w:val="0"/>
          <w:bCs w:val="0"/>
          <w:color w:val="auto"/>
        </w:rPr>
        <w:t>collinearity.</w:t>
      </w:r>
      <w:r w:rsidR="00EE0DCB" w:rsidRPr="00E0135B">
        <w:rPr>
          <w:rFonts w:ascii="Times New Roman" w:hAnsi="Times New Roman" w:cs="Times New Roman"/>
          <w:b w:val="0"/>
          <w:bCs w:val="0"/>
          <w:color w:val="auto"/>
        </w:rPr>
        <w:t>ts</w:t>
      </w:r>
      <w:proofErr w:type="spellEnd"/>
      <w:r w:rsidR="00EE0DCB" w:rsidRPr="00E0135B">
        <w:rPr>
          <w:rFonts w:ascii="Times New Roman" w:hAnsi="Times New Roman" w:cs="Times New Roman"/>
          <w:b w:val="0"/>
          <w:bCs w:val="0"/>
          <w:color w:val="auto"/>
        </w:rPr>
        <w:t>, macroeconomic indicators as well as policy dummies. Table 2 is a summary of the expected signs and theoretical considerations. The CRAR Total Percentage lagged one year behind, which is the leading PCA driver in the RBI system (principle: CRAR less than 10.25 percent of Basel III banks as of 2019). The proposed sign is negative as it represents the hypothesis that better-</w:t>
      </w:r>
      <w:proofErr w:type="spellStart"/>
      <w:r w:rsidR="00EE0DCB" w:rsidRPr="00E0135B">
        <w:rPr>
          <w:rFonts w:ascii="Times New Roman" w:hAnsi="Times New Roman" w:cs="Times New Roman"/>
          <w:b w:val="0"/>
          <w:bCs w:val="0"/>
          <w:color w:val="auto"/>
        </w:rPr>
        <w:t>capitalised</w:t>
      </w:r>
      <w:proofErr w:type="spellEnd"/>
      <w:r w:rsidR="00EE0DCB" w:rsidRPr="00E0135B">
        <w:rPr>
          <w:rFonts w:ascii="Times New Roman" w:hAnsi="Times New Roman" w:cs="Times New Roman"/>
          <w:b w:val="0"/>
          <w:bCs w:val="0"/>
          <w:color w:val="auto"/>
        </w:rPr>
        <w:t xml:space="preserve"> banks have a lower chance of breach. In the complementary specification M5, the overall CRAR variable is substituted with Tier 1 CRAR to test whether the format of core equity capital permanently is a more meaningful financial statement variable compared to total regulatory capital which includes the less loss absorbent Tier 2 instruments. </w:t>
      </w:r>
    </w:p>
    <w:p w14:paraId="0C712B37" w14:textId="045DC42A" w:rsidR="00E850C8" w:rsidRPr="00E0135B" w:rsidRDefault="00EE0DCB"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t xml:space="preserve">The GNPA Ratio 1 year lagged and used as the proxy to the official PCA trigger (Net NPA ratio) is used to measure the asset quality. The relationship existing between the GNPA and the NNPA in the bank level is generally above 0.95 which makes GNPA a good surrogate. The anticipated direction is positive. The proxy of profitability is the ROA percentage lagged 1 year, the resemblance of which is negative in nature, though collinearity with CRAR is likely to exist. The one-year lag in credit growth reflects the pre-crisis credit growth that can be used to create a further accumulation of NPAs.  </w:t>
      </w:r>
    </w:p>
    <w:p w14:paraId="58264C3F" w14:textId="24504FFC" w:rsidR="00E850C8" w:rsidRPr="00E0135B" w:rsidRDefault="00EE0DCB"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lastRenderedPageBreak/>
        <w:t xml:space="preserve">Macroeconomic regulations include GDP growth (the negative relationship is expected, and a slowdown increases the stress on borrowers), the CPI inflation, and M3 growth. In an initial specification (the original model reported in the </w:t>
      </w:r>
      <w:proofErr w:type="spellStart"/>
      <w:r w:rsidRPr="00E0135B">
        <w:rPr>
          <w:rFonts w:ascii="Times New Roman" w:hAnsi="Times New Roman" w:cs="Times New Roman"/>
          <w:b w:val="0"/>
          <w:bCs w:val="0"/>
          <w:color w:val="auto"/>
        </w:rPr>
        <w:t>PCA</w:t>
      </w:r>
      <w:r w:rsidR="00E850C8" w:rsidRPr="00E0135B">
        <w:rPr>
          <w:rFonts w:ascii="Times New Roman" w:hAnsi="Times New Roman" w:cs="Times New Roman"/>
          <w:b w:val="0"/>
          <w:bCs w:val="0"/>
          <w:color w:val="auto"/>
        </w:rPr>
        <w:t>_</w:t>
      </w:r>
      <w:r w:rsidRPr="00E0135B">
        <w:rPr>
          <w:rFonts w:ascii="Times New Roman" w:hAnsi="Times New Roman" w:cs="Times New Roman"/>
          <w:b w:val="0"/>
          <w:bCs w:val="0"/>
          <w:color w:val="auto"/>
        </w:rPr>
        <w:t>Probit</w:t>
      </w:r>
      <w:r w:rsidR="00E850C8" w:rsidRPr="00E0135B">
        <w:rPr>
          <w:rFonts w:ascii="Times New Roman" w:hAnsi="Times New Roman" w:cs="Times New Roman"/>
          <w:b w:val="0"/>
          <w:bCs w:val="0"/>
          <w:color w:val="auto"/>
        </w:rPr>
        <w:t>_</w:t>
      </w:r>
      <w:r w:rsidRPr="00E0135B">
        <w:rPr>
          <w:rFonts w:ascii="Times New Roman" w:hAnsi="Times New Roman" w:cs="Times New Roman"/>
          <w:b w:val="0"/>
          <w:bCs w:val="0"/>
          <w:color w:val="auto"/>
        </w:rPr>
        <w:t>Results</w:t>
      </w:r>
      <w:proofErr w:type="spellEnd"/>
      <w:r w:rsidRPr="00E0135B">
        <w:rPr>
          <w:rFonts w:ascii="Times New Roman" w:hAnsi="Times New Roman" w:cs="Times New Roman"/>
          <w:b w:val="0"/>
          <w:bCs w:val="0"/>
          <w:color w:val="auto"/>
        </w:rPr>
        <w:t xml:space="preserve"> document) the repo rate was included but not in any final specifications, after it was reali</w:t>
      </w:r>
      <w:r w:rsidR="000B077C" w:rsidRPr="00E0135B">
        <w:rPr>
          <w:rFonts w:ascii="Times New Roman" w:hAnsi="Times New Roman" w:cs="Times New Roman"/>
          <w:b w:val="0"/>
          <w:bCs w:val="0"/>
          <w:color w:val="auto"/>
        </w:rPr>
        <w:t>z</w:t>
      </w:r>
      <w:r w:rsidRPr="00E0135B">
        <w:rPr>
          <w:rFonts w:ascii="Times New Roman" w:hAnsi="Times New Roman" w:cs="Times New Roman"/>
          <w:b w:val="0"/>
          <w:bCs w:val="0"/>
          <w:color w:val="auto"/>
        </w:rPr>
        <w:t>ed that on the one hand the repo rate displayed major multicollinearity with CPI and GDP, which exaggerated standard errors and obscure true predictor effects.</w:t>
      </w:r>
    </w:p>
    <w:p w14:paraId="756D7112" w14:textId="77777777" w:rsidR="00E850C8" w:rsidRPr="00E0135B" w:rsidRDefault="00EE0DCB"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b w:val="0"/>
          <w:bCs w:val="0"/>
          <w:color w:val="auto"/>
        </w:rPr>
        <w:t>Policymaking dummy is a capture of three structural breaks: IBCDUMMY (equal to one in FY2017, when the Insolvency and Bankruptcy Code was voted into law), PCAREVISION2017 (equal to one in FY2018 and onwards, according to the April 2017 framework amendment), and combined NPA Forbearance dummy in the FY2021 (which replaces the previously specified COVID and Moratorium dummies that were pretty much perfectly collinear).</w:t>
      </w:r>
    </w:p>
    <w:p w14:paraId="61F4C8F9" w14:textId="77777777" w:rsidR="00CB740B" w:rsidRPr="00E0135B" w:rsidRDefault="00CB740B" w:rsidP="003D59BE">
      <w:pPr>
        <w:pStyle w:val="Heading2"/>
        <w:spacing w:line="360" w:lineRule="auto"/>
        <w:rPr>
          <w:rFonts w:ascii="Times New Roman" w:hAnsi="Times New Roman" w:cs="Times New Roman"/>
          <w:b w:val="0"/>
          <w:bCs w:val="0"/>
          <w:color w:val="auto"/>
        </w:rPr>
      </w:pPr>
    </w:p>
    <w:p w14:paraId="6AE2EE23" w14:textId="50480179" w:rsidR="00604563" w:rsidRPr="00E0135B" w:rsidRDefault="002143D7" w:rsidP="003D59BE">
      <w:pPr>
        <w:pStyle w:val="Heading2"/>
        <w:spacing w:line="360" w:lineRule="auto"/>
        <w:rPr>
          <w:rFonts w:ascii="Times New Roman" w:hAnsi="Times New Roman" w:cs="Times New Roman"/>
          <w:b w:val="0"/>
          <w:bCs w:val="0"/>
          <w:color w:val="auto"/>
        </w:rPr>
      </w:pPr>
      <w:r w:rsidRPr="00E0135B">
        <w:rPr>
          <w:rFonts w:ascii="Times New Roman" w:hAnsi="Times New Roman" w:cs="Times New Roman"/>
          <w:color w:val="auto"/>
          <w:sz w:val="28"/>
          <w:szCs w:val="28"/>
        </w:rPr>
        <w:t>3.4 Research Hypotheses</w:t>
      </w:r>
    </w:p>
    <w:p w14:paraId="1ED6A63C"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Table 2 presents the ten formal research hypotheses tested in this study, along with the relevant variable, expected sign, and empirical outcome.</w:t>
      </w:r>
    </w:p>
    <w:p w14:paraId="3468E5B0" w14:textId="77777777" w:rsidR="00604563" w:rsidRPr="00E0135B" w:rsidRDefault="002143D7" w:rsidP="003D59BE">
      <w:pPr>
        <w:spacing w:after="80" w:line="360" w:lineRule="auto"/>
        <w:rPr>
          <w:rFonts w:ascii="Times New Roman" w:hAnsi="Times New Roman" w:cs="Times New Roman"/>
          <w:color w:val="auto"/>
          <w:sz w:val="24"/>
          <w:szCs w:val="24"/>
        </w:rPr>
      </w:pPr>
      <w:r w:rsidRPr="00E0135B">
        <w:rPr>
          <w:rFonts w:ascii="Times New Roman" w:hAnsi="Times New Roman" w:cs="Times New Roman"/>
          <w:b/>
          <w:bCs/>
          <w:color w:val="auto"/>
        </w:rPr>
        <w:t>Table 2: Research Hypotheses and Empirical Outcomes</w:t>
      </w:r>
    </w:p>
    <w:tbl>
      <w:tblPr>
        <w:tblStyle w:val="TableGrid"/>
        <w:tblW w:w="9760" w:type="dxa"/>
        <w:tblLook w:val="04A0" w:firstRow="1" w:lastRow="0" w:firstColumn="1" w:lastColumn="0" w:noHBand="0" w:noVBand="1"/>
      </w:tblPr>
      <w:tblGrid>
        <w:gridCol w:w="561"/>
        <w:gridCol w:w="3716"/>
        <w:gridCol w:w="1388"/>
        <w:gridCol w:w="1182"/>
        <w:gridCol w:w="2913"/>
      </w:tblGrid>
      <w:tr w:rsidR="009E6423" w:rsidRPr="00E0135B" w14:paraId="7A5B90D6" w14:textId="77777777" w:rsidTr="006C18B6">
        <w:tc>
          <w:tcPr>
            <w:tcW w:w="400" w:type="dxa"/>
          </w:tcPr>
          <w:p w14:paraId="37405E57"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w:t>
            </w:r>
          </w:p>
        </w:tc>
        <w:tc>
          <w:tcPr>
            <w:tcW w:w="3800" w:type="dxa"/>
          </w:tcPr>
          <w:p w14:paraId="3B6FFB6F"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Hypothesis</w:t>
            </w:r>
          </w:p>
        </w:tc>
        <w:tc>
          <w:tcPr>
            <w:tcW w:w="1400" w:type="dxa"/>
          </w:tcPr>
          <w:p w14:paraId="520DA445"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Variable</w:t>
            </w:r>
          </w:p>
        </w:tc>
        <w:tc>
          <w:tcPr>
            <w:tcW w:w="1200" w:type="dxa"/>
          </w:tcPr>
          <w:p w14:paraId="7063C7D3"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Exp. Sign</w:t>
            </w:r>
          </w:p>
        </w:tc>
        <w:tc>
          <w:tcPr>
            <w:tcW w:w="2960" w:type="dxa"/>
          </w:tcPr>
          <w:p w14:paraId="3EF5E4E9"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Outcome</w:t>
            </w:r>
          </w:p>
        </w:tc>
      </w:tr>
      <w:tr w:rsidR="009E6423" w:rsidRPr="00E0135B" w14:paraId="08D3FC7A" w14:textId="77777777" w:rsidTr="006C18B6">
        <w:tc>
          <w:tcPr>
            <w:tcW w:w="400" w:type="dxa"/>
          </w:tcPr>
          <w:p w14:paraId="25D06BE9"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H1</w:t>
            </w:r>
          </w:p>
        </w:tc>
        <w:tc>
          <w:tcPr>
            <w:tcW w:w="3800" w:type="dxa"/>
          </w:tcPr>
          <w:p w14:paraId="47C8A16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Higher CRAR reduces PCA breach probability</w:t>
            </w:r>
          </w:p>
        </w:tc>
        <w:tc>
          <w:tcPr>
            <w:tcW w:w="1400" w:type="dxa"/>
          </w:tcPr>
          <w:p w14:paraId="76E4215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CRAR (lag 1)</w:t>
            </w:r>
          </w:p>
        </w:tc>
        <w:tc>
          <w:tcPr>
            <w:tcW w:w="1200" w:type="dxa"/>
          </w:tcPr>
          <w:p w14:paraId="28DFE04C"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20"/>
                <w:szCs w:val="20"/>
              </w:rPr>
              <w:t>−</w:t>
            </w:r>
          </w:p>
        </w:tc>
        <w:tc>
          <w:tcPr>
            <w:tcW w:w="2960" w:type="dxa"/>
          </w:tcPr>
          <w:p w14:paraId="2FAC876C"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Segoe UI Symbol" w:hAnsi="Segoe UI Symbol" w:cs="Segoe UI Symbol"/>
                <w:color w:val="auto"/>
                <w:sz w:val="20"/>
                <w:szCs w:val="20"/>
              </w:rPr>
              <w:t>✓</w:t>
            </w:r>
            <w:r w:rsidRPr="00E0135B">
              <w:rPr>
                <w:rFonts w:ascii="Times New Roman" w:hAnsi="Times New Roman" w:cs="Times New Roman"/>
                <w:color w:val="auto"/>
                <w:sz w:val="20"/>
                <w:szCs w:val="20"/>
              </w:rPr>
              <w:t xml:space="preserve"> SUPPORTED (β=−0.317, p&lt;0.001)</w:t>
            </w:r>
          </w:p>
        </w:tc>
      </w:tr>
      <w:tr w:rsidR="009E6423" w:rsidRPr="00E0135B" w14:paraId="66756756" w14:textId="77777777" w:rsidTr="006C18B6">
        <w:tc>
          <w:tcPr>
            <w:tcW w:w="400" w:type="dxa"/>
          </w:tcPr>
          <w:p w14:paraId="47897750"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H2</w:t>
            </w:r>
          </w:p>
        </w:tc>
        <w:tc>
          <w:tcPr>
            <w:tcW w:w="3800" w:type="dxa"/>
          </w:tcPr>
          <w:p w14:paraId="7FB30B3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Higher GNPA ratio increases breach probability</w:t>
            </w:r>
          </w:p>
        </w:tc>
        <w:tc>
          <w:tcPr>
            <w:tcW w:w="1400" w:type="dxa"/>
          </w:tcPr>
          <w:p w14:paraId="12C2C81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GNPA (lag 1)</w:t>
            </w:r>
          </w:p>
        </w:tc>
        <w:tc>
          <w:tcPr>
            <w:tcW w:w="1200" w:type="dxa"/>
          </w:tcPr>
          <w:p w14:paraId="5583560D"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20"/>
                <w:szCs w:val="20"/>
              </w:rPr>
              <w:t>+</w:t>
            </w:r>
          </w:p>
        </w:tc>
        <w:tc>
          <w:tcPr>
            <w:tcW w:w="2960" w:type="dxa"/>
          </w:tcPr>
          <w:p w14:paraId="2A890AF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Segoe UI Symbol" w:hAnsi="Segoe UI Symbol" w:cs="Segoe UI Symbol"/>
                <w:color w:val="auto"/>
                <w:sz w:val="20"/>
                <w:szCs w:val="20"/>
              </w:rPr>
              <w:t>✓</w:t>
            </w:r>
            <w:r w:rsidRPr="00E0135B">
              <w:rPr>
                <w:rFonts w:ascii="Times New Roman" w:hAnsi="Times New Roman" w:cs="Times New Roman"/>
                <w:color w:val="auto"/>
                <w:sz w:val="20"/>
                <w:szCs w:val="20"/>
              </w:rPr>
              <w:t xml:space="preserve"> SUPPORTED (β=+0.125, p&lt;0.01)</w:t>
            </w:r>
          </w:p>
        </w:tc>
      </w:tr>
      <w:tr w:rsidR="009E6423" w:rsidRPr="00E0135B" w14:paraId="70BEDBD5" w14:textId="77777777" w:rsidTr="006C18B6">
        <w:tc>
          <w:tcPr>
            <w:tcW w:w="400" w:type="dxa"/>
          </w:tcPr>
          <w:p w14:paraId="410A3964"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H3</w:t>
            </w:r>
          </w:p>
        </w:tc>
        <w:tc>
          <w:tcPr>
            <w:tcW w:w="3800" w:type="dxa"/>
          </w:tcPr>
          <w:p w14:paraId="4048816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Negative ROA increases breach probability</w:t>
            </w:r>
          </w:p>
        </w:tc>
        <w:tc>
          <w:tcPr>
            <w:tcW w:w="1400" w:type="dxa"/>
          </w:tcPr>
          <w:p w14:paraId="389A131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ROA (lag 1)</w:t>
            </w:r>
          </w:p>
        </w:tc>
        <w:tc>
          <w:tcPr>
            <w:tcW w:w="1200" w:type="dxa"/>
          </w:tcPr>
          <w:p w14:paraId="09DBCADA"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20"/>
                <w:szCs w:val="20"/>
              </w:rPr>
              <w:t>−</w:t>
            </w:r>
          </w:p>
        </w:tc>
        <w:tc>
          <w:tcPr>
            <w:tcW w:w="2960" w:type="dxa"/>
          </w:tcPr>
          <w:p w14:paraId="5001D114"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Segoe UI Symbol" w:hAnsi="Segoe UI Symbol" w:cs="Segoe UI Symbol"/>
                <w:color w:val="auto"/>
                <w:sz w:val="20"/>
                <w:szCs w:val="20"/>
              </w:rPr>
              <w:t>✗</w:t>
            </w:r>
            <w:r w:rsidRPr="00E0135B">
              <w:rPr>
                <w:rFonts w:ascii="Times New Roman" w:hAnsi="Times New Roman" w:cs="Times New Roman"/>
                <w:color w:val="auto"/>
                <w:sz w:val="20"/>
                <w:szCs w:val="20"/>
              </w:rPr>
              <w:t xml:space="preserve"> NOT SUPPORTED (p=0.54, collinear with CRAR)</w:t>
            </w:r>
          </w:p>
        </w:tc>
      </w:tr>
      <w:tr w:rsidR="009E6423" w:rsidRPr="00E0135B" w14:paraId="697FD174" w14:textId="77777777" w:rsidTr="006C18B6">
        <w:tc>
          <w:tcPr>
            <w:tcW w:w="400" w:type="dxa"/>
          </w:tcPr>
          <w:p w14:paraId="650465F9"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H4</w:t>
            </w:r>
          </w:p>
        </w:tc>
        <w:tc>
          <w:tcPr>
            <w:tcW w:w="3800" w:type="dxa"/>
          </w:tcPr>
          <w:p w14:paraId="74C8FB5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Higher cost-income ratio increases breach probability</w:t>
            </w:r>
          </w:p>
        </w:tc>
        <w:tc>
          <w:tcPr>
            <w:tcW w:w="1400" w:type="dxa"/>
          </w:tcPr>
          <w:p w14:paraId="5D600CE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Cost-Income</w:t>
            </w:r>
          </w:p>
        </w:tc>
        <w:tc>
          <w:tcPr>
            <w:tcW w:w="1200" w:type="dxa"/>
          </w:tcPr>
          <w:p w14:paraId="48DCE0E6"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20"/>
                <w:szCs w:val="20"/>
              </w:rPr>
              <w:t>+</w:t>
            </w:r>
          </w:p>
        </w:tc>
        <w:tc>
          <w:tcPr>
            <w:tcW w:w="2960" w:type="dxa"/>
          </w:tcPr>
          <w:p w14:paraId="5CACBA9C"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Segoe UI Symbol" w:hAnsi="Segoe UI Symbol" w:cs="Segoe UI Symbol"/>
                <w:color w:val="auto"/>
                <w:sz w:val="20"/>
                <w:szCs w:val="20"/>
              </w:rPr>
              <w:t>✗</w:t>
            </w:r>
            <w:r w:rsidRPr="00E0135B">
              <w:rPr>
                <w:rFonts w:ascii="Times New Roman" w:hAnsi="Times New Roman" w:cs="Times New Roman"/>
                <w:color w:val="auto"/>
                <w:sz w:val="20"/>
                <w:szCs w:val="20"/>
              </w:rPr>
              <w:t xml:space="preserve"> NOT SUPPORTED (p=0.13)</w:t>
            </w:r>
          </w:p>
        </w:tc>
      </w:tr>
      <w:tr w:rsidR="009E6423" w:rsidRPr="00E0135B" w14:paraId="2EE0FB3C" w14:textId="77777777" w:rsidTr="006C18B6">
        <w:tc>
          <w:tcPr>
            <w:tcW w:w="400" w:type="dxa"/>
          </w:tcPr>
          <w:p w14:paraId="679346B9"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H5</w:t>
            </w:r>
          </w:p>
        </w:tc>
        <w:tc>
          <w:tcPr>
            <w:tcW w:w="3800" w:type="dxa"/>
          </w:tcPr>
          <w:p w14:paraId="180D2384"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PSBs face higher breach probability than private banks</w:t>
            </w:r>
          </w:p>
        </w:tc>
        <w:tc>
          <w:tcPr>
            <w:tcW w:w="1400" w:type="dxa"/>
          </w:tcPr>
          <w:p w14:paraId="4B183F8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PSB Dummy</w:t>
            </w:r>
          </w:p>
        </w:tc>
        <w:tc>
          <w:tcPr>
            <w:tcW w:w="1200" w:type="dxa"/>
          </w:tcPr>
          <w:p w14:paraId="7C4A80FF"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20"/>
                <w:szCs w:val="20"/>
              </w:rPr>
              <w:t>+</w:t>
            </w:r>
          </w:p>
        </w:tc>
        <w:tc>
          <w:tcPr>
            <w:tcW w:w="2960" w:type="dxa"/>
          </w:tcPr>
          <w:p w14:paraId="5143BE1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Segoe UI Symbol" w:hAnsi="Segoe UI Symbol" w:cs="Segoe UI Symbol"/>
                <w:color w:val="auto"/>
                <w:sz w:val="20"/>
                <w:szCs w:val="20"/>
              </w:rPr>
              <w:t>✓</w:t>
            </w:r>
            <w:r w:rsidRPr="00E0135B">
              <w:rPr>
                <w:rFonts w:ascii="Times New Roman" w:hAnsi="Times New Roman" w:cs="Times New Roman"/>
                <w:color w:val="auto"/>
                <w:sz w:val="20"/>
                <w:szCs w:val="20"/>
              </w:rPr>
              <w:t xml:space="preserve"> SUPPORTED (β=+1.615, p&lt;0.05)</w:t>
            </w:r>
          </w:p>
        </w:tc>
      </w:tr>
      <w:tr w:rsidR="009E6423" w:rsidRPr="00E0135B" w14:paraId="355B0B96" w14:textId="77777777" w:rsidTr="006C18B6">
        <w:tc>
          <w:tcPr>
            <w:tcW w:w="400" w:type="dxa"/>
          </w:tcPr>
          <w:p w14:paraId="0812F615"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H6</w:t>
            </w:r>
          </w:p>
        </w:tc>
        <w:tc>
          <w:tcPr>
            <w:tcW w:w="3800" w:type="dxa"/>
          </w:tcPr>
          <w:p w14:paraId="5A772977"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Rapid credit growth increases future breach probability</w:t>
            </w:r>
          </w:p>
        </w:tc>
        <w:tc>
          <w:tcPr>
            <w:tcW w:w="1400" w:type="dxa"/>
          </w:tcPr>
          <w:p w14:paraId="287EB00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Credit Growth (lag 1)</w:t>
            </w:r>
          </w:p>
        </w:tc>
        <w:tc>
          <w:tcPr>
            <w:tcW w:w="1200" w:type="dxa"/>
          </w:tcPr>
          <w:p w14:paraId="1F3377FA"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20"/>
                <w:szCs w:val="20"/>
              </w:rPr>
              <w:t>+</w:t>
            </w:r>
          </w:p>
        </w:tc>
        <w:tc>
          <w:tcPr>
            <w:tcW w:w="2960" w:type="dxa"/>
          </w:tcPr>
          <w:p w14:paraId="148E623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Segoe UI Symbol" w:hAnsi="Segoe UI Symbol" w:cs="Segoe UI Symbol"/>
                <w:color w:val="auto"/>
                <w:sz w:val="20"/>
                <w:szCs w:val="20"/>
              </w:rPr>
              <w:t>✓</w:t>
            </w:r>
            <w:r w:rsidRPr="00E0135B">
              <w:rPr>
                <w:rFonts w:ascii="Times New Roman" w:hAnsi="Times New Roman" w:cs="Times New Roman"/>
                <w:color w:val="auto"/>
                <w:sz w:val="20"/>
                <w:szCs w:val="20"/>
              </w:rPr>
              <w:t xml:space="preserve"> SUPPORTED — sign reversed; reflects regulatory shrinkage</w:t>
            </w:r>
          </w:p>
        </w:tc>
      </w:tr>
      <w:tr w:rsidR="009E6423" w:rsidRPr="00E0135B" w14:paraId="632444B6" w14:textId="77777777" w:rsidTr="006C18B6">
        <w:tc>
          <w:tcPr>
            <w:tcW w:w="400" w:type="dxa"/>
          </w:tcPr>
          <w:p w14:paraId="00D83C08"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lastRenderedPageBreak/>
              <w:t>H7</w:t>
            </w:r>
          </w:p>
        </w:tc>
        <w:tc>
          <w:tcPr>
            <w:tcW w:w="3800" w:type="dxa"/>
          </w:tcPr>
          <w:p w14:paraId="0283BDC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GDP slowdown increases breach probability</w:t>
            </w:r>
          </w:p>
        </w:tc>
        <w:tc>
          <w:tcPr>
            <w:tcW w:w="1400" w:type="dxa"/>
          </w:tcPr>
          <w:p w14:paraId="1314179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GDP Growth</w:t>
            </w:r>
          </w:p>
        </w:tc>
        <w:tc>
          <w:tcPr>
            <w:tcW w:w="1200" w:type="dxa"/>
          </w:tcPr>
          <w:p w14:paraId="04DAE0B4"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20"/>
                <w:szCs w:val="20"/>
              </w:rPr>
              <w:t>−</w:t>
            </w:r>
          </w:p>
        </w:tc>
        <w:tc>
          <w:tcPr>
            <w:tcW w:w="2960" w:type="dxa"/>
          </w:tcPr>
          <w:p w14:paraId="5BEB0B7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 PARTIAL — significant but positive; lag effects likely</w:t>
            </w:r>
          </w:p>
        </w:tc>
      </w:tr>
      <w:tr w:rsidR="009E6423" w:rsidRPr="00E0135B" w14:paraId="0170E65D" w14:textId="77777777" w:rsidTr="006C18B6">
        <w:tc>
          <w:tcPr>
            <w:tcW w:w="400" w:type="dxa"/>
          </w:tcPr>
          <w:p w14:paraId="016CE62B"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H8</w:t>
            </w:r>
          </w:p>
        </w:tc>
        <w:tc>
          <w:tcPr>
            <w:tcW w:w="3800" w:type="dxa"/>
          </w:tcPr>
          <w:p w14:paraId="49C6B04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Higher repo rate increases breach probability</w:t>
            </w:r>
          </w:p>
        </w:tc>
        <w:tc>
          <w:tcPr>
            <w:tcW w:w="1400" w:type="dxa"/>
          </w:tcPr>
          <w:p w14:paraId="66645CA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Repo Rate</w:t>
            </w:r>
          </w:p>
        </w:tc>
        <w:tc>
          <w:tcPr>
            <w:tcW w:w="1200" w:type="dxa"/>
          </w:tcPr>
          <w:p w14:paraId="3343F41F"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20"/>
                <w:szCs w:val="20"/>
              </w:rPr>
              <w:t>+</w:t>
            </w:r>
          </w:p>
        </w:tc>
        <w:tc>
          <w:tcPr>
            <w:tcW w:w="2960" w:type="dxa"/>
          </w:tcPr>
          <w:p w14:paraId="50F9279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Segoe UI Symbol" w:hAnsi="Segoe UI Symbol" w:cs="Segoe UI Symbol"/>
                <w:color w:val="auto"/>
                <w:sz w:val="20"/>
                <w:szCs w:val="20"/>
              </w:rPr>
              <w:t>✗</w:t>
            </w:r>
            <w:r w:rsidRPr="00E0135B">
              <w:rPr>
                <w:rFonts w:ascii="Times New Roman" w:hAnsi="Times New Roman" w:cs="Times New Roman"/>
                <w:color w:val="auto"/>
                <w:sz w:val="20"/>
                <w:szCs w:val="20"/>
              </w:rPr>
              <w:t xml:space="preserve"> EXCLUDED — multicollinearity with CPI and GDP</w:t>
            </w:r>
          </w:p>
        </w:tc>
      </w:tr>
      <w:tr w:rsidR="009E6423" w:rsidRPr="00E0135B" w14:paraId="277D8AF3" w14:textId="77777777" w:rsidTr="006C18B6">
        <w:tc>
          <w:tcPr>
            <w:tcW w:w="400" w:type="dxa"/>
          </w:tcPr>
          <w:p w14:paraId="63421FBA"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H9</w:t>
            </w:r>
          </w:p>
        </w:tc>
        <w:tc>
          <w:tcPr>
            <w:tcW w:w="3800" w:type="dxa"/>
          </w:tcPr>
          <w:p w14:paraId="7AC8074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2017 PCA revision deterred future breaches</w:t>
            </w:r>
          </w:p>
        </w:tc>
        <w:tc>
          <w:tcPr>
            <w:tcW w:w="1400" w:type="dxa"/>
          </w:tcPr>
          <w:p w14:paraId="66CBF287"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PCA Rev. 2017</w:t>
            </w:r>
          </w:p>
        </w:tc>
        <w:tc>
          <w:tcPr>
            <w:tcW w:w="1200" w:type="dxa"/>
          </w:tcPr>
          <w:p w14:paraId="392406AD"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20"/>
                <w:szCs w:val="20"/>
              </w:rPr>
              <w:t>−</w:t>
            </w:r>
          </w:p>
        </w:tc>
        <w:tc>
          <w:tcPr>
            <w:tcW w:w="2960" w:type="dxa"/>
          </w:tcPr>
          <w:p w14:paraId="3620E85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Segoe UI Symbol" w:hAnsi="Segoe UI Symbol" w:cs="Segoe UI Symbol"/>
                <w:color w:val="auto"/>
                <w:sz w:val="20"/>
                <w:szCs w:val="20"/>
              </w:rPr>
              <w:t>✗</w:t>
            </w:r>
            <w:r w:rsidRPr="00E0135B">
              <w:rPr>
                <w:rFonts w:ascii="Times New Roman" w:hAnsi="Times New Roman" w:cs="Times New Roman"/>
                <w:color w:val="auto"/>
                <w:sz w:val="20"/>
                <w:szCs w:val="20"/>
              </w:rPr>
              <w:t xml:space="preserve"> NOT SUPPORTED — positive sign; framework revealed hidden stress</w:t>
            </w:r>
          </w:p>
        </w:tc>
      </w:tr>
      <w:tr w:rsidR="009E6423" w:rsidRPr="00E0135B" w14:paraId="7998EF50" w14:textId="77777777" w:rsidTr="006C18B6">
        <w:tc>
          <w:tcPr>
            <w:tcW w:w="400" w:type="dxa"/>
          </w:tcPr>
          <w:p w14:paraId="16485B1B"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sz w:val="20"/>
                <w:szCs w:val="20"/>
              </w:rPr>
              <w:t>H10</w:t>
            </w:r>
          </w:p>
        </w:tc>
        <w:tc>
          <w:tcPr>
            <w:tcW w:w="3800" w:type="dxa"/>
          </w:tcPr>
          <w:p w14:paraId="70DBD194"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IBC enactment reduced breach probability</w:t>
            </w:r>
          </w:p>
        </w:tc>
        <w:tc>
          <w:tcPr>
            <w:tcW w:w="1400" w:type="dxa"/>
          </w:tcPr>
          <w:p w14:paraId="3C04128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IBC Dummy</w:t>
            </w:r>
          </w:p>
        </w:tc>
        <w:tc>
          <w:tcPr>
            <w:tcW w:w="1200" w:type="dxa"/>
          </w:tcPr>
          <w:p w14:paraId="03469C89"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sz w:val="20"/>
                <w:szCs w:val="20"/>
              </w:rPr>
              <w:t>−</w:t>
            </w:r>
          </w:p>
        </w:tc>
        <w:tc>
          <w:tcPr>
            <w:tcW w:w="2960" w:type="dxa"/>
          </w:tcPr>
          <w:p w14:paraId="46EFD3B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 MARGINAL — significant only in PSB subsample</w:t>
            </w:r>
          </w:p>
        </w:tc>
      </w:tr>
    </w:tbl>
    <w:p w14:paraId="64D88D0C" w14:textId="0302977C" w:rsidR="00134A57" w:rsidRPr="00E0135B" w:rsidRDefault="002143D7" w:rsidP="003D59BE">
      <w:pPr>
        <w:spacing w:before="80" w:after="200"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 xml:space="preserve">Note: </w:t>
      </w:r>
      <w:r w:rsidRPr="00E0135B">
        <w:rPr>
          <w:rFonts w:ascii="Segoe UI Symbol" w:hAnsi="Segoe UI Symbol" w:cs="Segoe UI Symbol"/>
          <w:color w:val="auto"/>
          <w:sz w:val="20"/>
          <w:szCs w:val="20"/>
        </w:rPr>
        <w:t>✓</w:t>
      </w:r>
      <w:r w:rsidRPr="00E0135B">
        <w:rPr>
          <w:rFonts w:ascii="Times New Roman" w:hAnsi="Times New Roman" w:cs="Times New Roman"/>
          <w:color w:val="auto"/>
          <w:sz w:val="20"/>
          <w:szCs w:val="20"/>
        </w:rPr>
        <w:t xml:space="preserve"> = supported; </w:t>
      </w:r>
      <w:r w:rsidRPr="00E0135B">
        <w:rPr>
          <w:rFonts w:ascii="Segoe UI Symbol" w:hAnsi="Segoe UI Symbol" w:cs="Segoe UI Symbol"/>
          <w:color w:val="auto"/>
          <w:sz w:val="20"/>
          <w:szCs w:val="20"/>
        </w:rPr>
        <w:t>✗</w:t>
      </w:r>
      <w:r w:rsidRPr="00E0135B">
        <w:rPr>
          <w:rFonts w:ascii="Times New Roman" w:hAnsi="Times New Roman" w:cs="Times New Roman"/>
          <w:color w:val="auto"/>
          <w:sz w:val="20"/>
          <w:szCs w:val="20"/>
        </w:rPr>
        <w:t xml:space="preserve"> = not supported; ~ = partially supported. See Section 5 for full discussion.</w:t>
      </w:r>
    </w:p>
    <w:p w14:paraId="5917AB47" w14:textId="3ED74E03" w:rsidR="00604563" w:rsidRPr="00E0135B" w:rsidRDefault="002143D7" w:rsidP="003D59BE">
      <w:pPr>
        <w:pStyle w:val="Heading1"/>
        <w:pBdr>
          <w:bottom w:val="single" w:sz="6" w:space="4" w:color="2E75B6"/>
        </w:pBdr>
        <w:spacing w:line="360" w:lineRule="auto"/>
        <w:rPr>
          <w:rFonts w:ascii="Times New Roman" w:hAnsi="Times New Roman" w:cs="Times New Roman"/>
          <w:color w:val="auto"/>
          <w:sz w:val="32"/>
          <w:szCs w:val="32"/>
        </w:rPr>
      </w:pPr>
      <w:r w:rsidRPr="00E0135B">
        <w:rPr>
          <w:rFonts w:ascii="Times New Roman" w:hAnsi="Times New Roman" w:cs="Times New Roman"/>
          <w:color w:val="auto"/>
          <w:sz w:val="32"/>
          <w:szCs w:val="32"/>
        </w:rPr>
        <w:t>4. Econometric Methodology</w:t>
      </w:r>
    </w:p>
    <w:p w14:paraId="7C12BB33"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4.1 The Panel Probit Model</w:t>
      </w:r>
    </w:p>
    <w:p w14:paraId="75A48FC1"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The primary estimating equation is a pooled panel probit model where the dependent variable is the binary PCA breach indicator. For bank </w:t>
      </w:r>
      <w:proofErr w:type="spellStart"/>
      <w:r w:rsidRPr="00E0135B">
        <w:rPr>
          <w:rFonts w:ascii="Times New Roman" w:hAnsi="Times New Roman" w:cs="Times New Roman"/>
          <w:color w:val="auto"/>
          <w:sz w:val="24"/>
          <w:szCs w:val="24"/>
        </w:rPr>
        <w:t>i</w:t>
      </w:r>
      <w:proofErr w:type="spellEnd"/>
      <w:r w:rsidRPr="00E0135B">
        <w:rPr>
          <w:rFonts w:ascii="Times New Roman" w:hAnsi="Times New Roman" w:cs="Times New Roman"/>
          <w:color w:val="auto"/>
          <w:sz w:val="24"/>
          <w:szCs w:val="24"/>
        </w:rPr>
        <w:t xml:space="preserve"> in year t, the model is:</w:t>
      </w:r>
    </w:p>
    <w:p w14:paraId="51BE1568" w14:textId="7018C157" w:rsidR="00F767CA" w:rsidRPr="00E0135B" w:rsidRDefault="0030687A" w:rsidP="003D59BE">
      <w:pPr>
        <w:spacing w:before="80" w:after="140" w:line="360" w:lineRule="auto"/>
        <w:jc w:val="both"/>
        <w:rPr>
          <w:rFonts w:ascii="Times New Roman" w:hAnsi="Times New Roman" w:cs="Times New Roman"/>
          <w:color w:val="auto"/>
          <w:sz w:val="32"/>
          <w:szCs w:val="32"/>
        </w:rPr>
      </w:pPr>
      <m:oMath>
        <m:r>
          <w:rPr>
            <w:rFonts w:ascii="Cambria Math" w:hAnsi="Cambria Math" w:cs="Times New Roman"/>
            <w:color w:val="auto"/>
            <w:sz w:val="24"/>
            <w:szCs w:val="24"/>
          </w:rPr>
          <m:t>P</m:t>
        </m:r>
        <m:d>
          <m:dPr>
            <m:ctrlPr>
              <w:rPr>
                <w:rFonts w:ascii="Cambria Math" w:hAnsi="Cambria Math" w:cs="Times New Roman"/>
                <w:i/>
                <w:color w:val="auto"/>
                <w:sz w:val="24"/>
                <w:szCs w:val="24"/>
              </w:rPr>
            </m:ctrlPr>
          </m:dPr>
          <m:e>
            <m:r>
              <w:rPr>
                <w:rFonts w:ascii="Cambria Math" w:hAnsi="Cambria Math" w:cs="Times New Roman"/>
                <w:color w:val="auto"/>
                <w:sz w:val="24"/>
                <w:szCs w:val="24"/>
              </w:rPr>
              <m:t>PC</m:t>
            </m:r>
            <m:r>
              <w:rPr>
                <w:rFonts w:ascii="Cambria Math" w:hAnsi="Cambria Math" w:cs="Times New Roman"/>
                <w:color w:val="auto"/>
                <w:sz w:val="24"/>
                <w:szCs w:val="24"/>
              </w:rPr>
              <m:t>A_BREACH_HIT</m:t>
            </m:r>
            <m:r>
              <w:rPr>
                <w:rFonts w:ascii="Cambria Math" w:hAnsi="Cambria Math" w:cs="Times New Roman"/>
                <w:color w:val="auto"/>
                <w:sz w:val="24"/>
                <w:szCs w:val="24"/>
              </w:rPr>
              <m:t>=1</m:t>
            </m:r>
          </m:e>
        </m:d>
        <m:r>
          <w:rPr>
            <w:rFonts w:ascii="Cambria Math" w:hAnsi="Cambria Math" w:cs="Times New Roman"/>
            <w:color w:val="auto"/>
            <w:sz w:val="24"/>
            <w:szCs w:val="24"/>
          </w:rPr>
          <m:t>=</m:t>
        </m:r>
        <m:r>
          <m:rPr>
            <m:sty m:val="p"/>
          </m:rPr>
          <w:rPr>
            <w:rFonts w:ascii="Cambria Math" w:hAnsi="Cambria Math" w:cs="Times New Roman"/>
            <w:color w:val="auto"/>
            <w:sz w:val="24"/>
            <w:szCs w:val="24"/>
          </w:rPr>
          <m:t>Φ</m:t>
        </m:r>
        <m:r>
          <w:rPr>
            <w:rFonts w:ascii="Cambria Math" w:hAnsi="Cambria Math" w:cs="Times New Roman"/>
            <w:color w:val="auto"/>
            <w:sz w:val="24"/>
            <w:szCs w:val="24"/>
          </w:rPr>
          <m:t>(α+</m:t>
        </m:r>
        <m:nary>
          <m:naryPr>
            <m:chr m:val="∑"/>
            <m:limLoc m:val="undOvr"/>
            <m:ctrlPr>
              <w:rPr>
                <w:rFonts w:ascii="Cambria Math" w:hAnsi="Cambria Math" w:cs="Times New Roman"/>
                <w:i/>
                <w:color w:val="auto"/>
                <w:sz w:val="24"/>
                <w:szCs w:val="24"/>
              </w:rPr>
            </m:ctrlPr>
          </m:naryPr>
          <m:sub>
            <m:r>
              <w:rPr>
                <w:rFonts w:ascii="Cambria Math" w:hAnsi="Cambria Math" w:cs="Times New Roman"/>
                <w:color w:val="auto"/>
                <w:sz w:val="24"/>
                <w:szCs w:val="24"/>
              </w:rPr>
              <m:t>k</m:t>
            </m:r>
          </m:sub>
          <m:sup>
            <m:r>
              <w:rPr>
                <w:rFonts w:ascii="Cambria Math" w:hAnsi="Cambria Math" w:cs="Times New Roman"/>
                <w:color w:val="auto"/>
                <w:sz w:val="24"/>
                <w:szCs w:val="24"/>
              </w:rPr>
              <m:t>`</m:t>
            </m:r>
          </m:sup>
          <m:e>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β</m:t>
                </m:r>
              </m:e>
              <m:sub>
                <m:r>
                  <w:rPr>
                    <w:rFonts w:ascii="Cambria Math" w:hAnsi="Cambria Math" w:cs="Times New Roman"/>
                    <w:color w:val="auto"/>
                    <w:sz w:val="24"/>
                    <w:szCs w:val="24"/>
                  </w:rPr>
                  <m:t>k</m:t>
                </m:r>
              </m:sub>
            </m:sSub>
            <m:r>
              <w:rPr>
                <w:rFonts w:ascii="Cambria Math" w:hAnsi="Cambria Math" w:cs="Times New Roman"/>
                <w:color w:val="auto"/>
                <w:sz w:val="24"/>
                <w:szCs w:val="24"/>
              </w:rPr>
              <m:t xml:space="preserve"> </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k,i,t-1</m:t>
                </m:r>
              </m:sub>
            </m:sSub>
            <m:r>
              <w:rPr>
                <w:rFonts w:ascii="Cambria Math" w:hAnsi="Cambria Math" w:cs="Times New Roman"/>
                <w:color w:val="auto"/>
                <w:sz w:val="24"/>
                <w:szCs w:val="24"/>
              </w:rPr>
              <m:t>+</m:t>
            </m:r>
            <m:nary>
              <m:naryPr>
                <m:chr m:val="∑"/>
                <m:limLoc m:val="undOvr"/>
                <m:supHide m:val="1"/>
                <m:ctrlPr>
                  <w:rPr>
                    <w:rFonts w:ascii="Cambria Math" w:hAnsi="Cambria Math" w:cs="Times New Roman"/>
                    <w:i/>
                    <w:color w:val="auto"/>
                    <w:sz w:val="24"/>
                    <w:szCs w:val="24"/>
                  </w:rPr>
                </m:ctrlPr>
              </m:naryPr>
              <m:sub>
                <m:r>
                  <w:rPr>
                    <w:rFonts w:ascii="Cambria Math" w:hAnsi="Cambria Math" w:cs="Times New Roman"/>
                    <w:color w:val="auto"/>
                    <w:sz w:val="24"/>
                    <w:szCs w:val="24"/>
                  </w:rPr>
                  <m:t>j</m:t>
                </m:r>
              </m:sub>
              <m:sup/>
              <m:e>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γ</m:t>
                    </m:r>
                  </m:e>
                  <m:sub>
                    <m:r>
                      <w:rPr>
                        <w:rFonts w:ascii="Cambria Math" w:hAnsi="Cambria Math" w:cs="Times New Roman"/>
                        <w:color w:val="auto"/>
                        <w:sz w:val="24"/>
                        <w:szCs w:val="24"/>
                      </w:rPr>
                      <m:t>j</m:t>
                    </m:r>
                  </m:sub>
                </m:sSub>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M</m:t>
                    </m:r>
                  </m:e>
                  <m:sub>
                    <m:r>
                      <w:rPr>
                        <w:rFonts w:ascii="Cambria Math" w:hAnsi="Cambria Math" w:cs="Times New Roman"/>
                        <w:color w:val="auto"/>
                        <w:sz w:val="24"/>
                        <w:szCs w:val="24"/>
                      </w:rPr>
                      <m:t>j,t</m:t>
                    </m:r>
                  </m:sub>
                </m:sSub>
                <m:r>
                  <w:rPr>
                    <w:rFonts w:ascii="Cambria Math" w:hAnsi="Cambria Math" w:cs="Times New Roman"/>
                    <w:color w:val="auto"/>
                    <w:sz w:val="24"/>
                    <w:szCs w:val="24"/>
                  </w:rPr>
                  <m:t>+</m:t>
                </m:r>
                <m:nary>
                  <m:naryPr>
                    <m:chr m:val="∑"/>
                    <m:limLoc m:val="undOvr"/>
                    <m:supHide m:val="1"/>
                    <m:ctrlPr>
                      <w:rPr>
                        <w:rFonts w:ascii="Cambria Math" w:hAnsi="Cambria Math" w:cs="Times New Roman"/>
                        <w:i/>
                        <w:color w:val="auto"/>
                        <w:sz w:val="24"/>
                        <w:szCs w:val="24"/>
                      </w:rPr>
                    </m:ctrlPr>
                  </m:naryPr>
                  <m:sub>
                    <m:r>
                      <w:rPr>
                        <w:rFonts w:ascii="Cambria Math" w:hAnsi="Cambria Math" w:cs="Times New Roman"/>
                        <w:color w:val="auto"/>
                        <w:sz w:val="24"/>
                        <w:szCs w:val="24"/>
                      </w:rPr>
                      <m:t>p</m:t>
                    </m:r>
                  </m:sub>
                  <m:sup/>
                  <m:e>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δ</m:t>
                        </m:r>
                      </m:e>
                      <m:sub>
                        <m:r>
                          <w:rPr>
                            <w:rFonts w:ascii="Cambria Math" w:hAnsi="Cambria Math" w:cs="Times New Roman"/>
                            <w:color w:val="auto"/>
                            <w:sz w:val="24"/>
                            <w:szCs w:val="24"/>
                          </w:rPr>
                          <m:t>p</m:t>
                        </m:r>
                      </m:sub>
                    </m:sSub>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D</m:t>
                        </m:r>
                      </m:e>
                      <m:sub>
                        <m:r>
                          <w:rPr>
                            <w:rFonts w:ascii="Cambria Math" w:hAnsi="Cambria Math" w:cs="Times New Roman"/>
                            <w:color w:val="auto"/>
                            <w:sz w:val="24"/>
                            <w:szCs w:val="24"/>
                          </w:rPr>
                          <m:t>pt</m:t>
                        </m:r>
                      </m:sub>
                    </m:sSub>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ϵ</m:t>
                        </m:r>
                      </m:e>
                      <m:sub>
                        <m:r>
                          <w:rPr>
                            <w:rFonts w:ascii="Cambria Math" w:hAnsi="Cambria Math" w:cs="Times New Roman"/>
                            <w:color w:val="auto"/>
                            <w:sz w:val="24"/>
                            <w:szCs w:val="24"/>
                          </w:rPr>
                          <m:t>it</m:t>
                        </m:r>
                      </m:sub>
                    </m:sSub>
                  </m:e>
                </m:nary>
              </m:e>
            </m:nary>
          </m:e>
        </m:nary>
      </m:oMath>
      <w:r w:rsidR="00951A4D" w:rsidRPr="00E0135B">
        <w:rPr>
          <w:rFonts w:ascii="Times New Roman" w:hAnsi="Times New Roman" w:cs="Times New Roman"/>
          <w:color w:val="auto"/>
          <w:sz w:val="32"/>
          <w:szCs w:val="32"/>
        </w:rPr>
        <w:t>)</w:t>
      </w:r>
    </w:p>
    <w:p w14:paraId="40146D4F"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where Φ(.) is the standard normal cumulative distribution function; </w:t>
      </w:r>
      <w:proofErr w:type="gramStart"/>
      <w:r w:rsidRPr="00E0135B">
        <w:rPr>
          <w:rFonts w:ascii="Times New Roman" w:hAnsi="Times New Roman" w:cs="Times New Roman"/>
          <w:color w:val="auto"/>
          <w:sz w:val="24"/>
          <w:szCs w:val="24"/>
        </w:rPr>
        <w:t>Xk,i</w:t>
      </w:r>
      <w:proofErr w:type="gramEnd"/>
      <w:r w:rsidRPr="00E0135B">
        <w:rPr>
          <w:rFonts w:ascii="Times New Roman" w:hAnsi="Times New Roman" w:cs="Times New Roman"/>
          <w:color w:val="auto"/>
          <w:sz w:val="24"/>
          <w:szCs w:val="24"/>
        </w:rPr>
        <w:t xml:space="preserve">,t-1 are bank-specific predictors lagged one period (capital adequacy, asset quality, profitability, size, credit growth); </w:t>
      </w:r>
      <w:proofErr w:type="spellStart"/>
      <w:r w:rsidRPr="00E0135B">
        <w:rPr>
          <w:rFonts w:ascii="Times New Roman" w:hAnsi="Times New Roman" w:cs="Times New Roman"/>
          <w:color w:val="auto"/>
          <w:sz w:val="24"/>
          <w:szCs w:val="24"/>
        </w:rPr>
        <w:t>Mjt</w:t>
      </w:r>
      <w:proofErr w:type="spellEnd"/>
      <w:r w:rsidRPr="00E0135B">
        <w:rPr>
          <w:rFonts w:ascii="Times New Roman" w:hAnsi="Times New Roman" w:cs="Times New Roman"/>
          <w:color w:val="auto"/>
          <w:sz w:val="24"/>
          <w:szCs w:val="24"/>
        </w:rPr>
        <w:t xml:space="preserve"> are macroeconomic controls measured in year t; </w:t>
      </w:r>
      <w:proofErr w:type="spellStart"/>
      <w:r w:rsidRPr="00E0135B">
        <w:rPr>
          <w:rFonts w:ascii="Times New Roman" w:hAnsi="Times New Roman" w:cs="Times New Roman"/>
          <w:color w:val="auto"/>
          <w:sz w:val="24"/>
          <w:szCs w:val="24"/>
        </w:rPr>
        <w:t>Dpt</w:t>
      </w:r>
      <w:proofErr w:type="spellEnd"/>
      <w:r w:rsidRPr="00E0135B">
        <w:rPr>
          <w:rFonts w:ascii="Times New Roman" w:hAnsi="Times New Roman" w:cs="Times New Roman"/>
          <w:color w:val="auto"/>
          <w:sz w:val="24"/>
          <w:szCs w:val="24"/>
        </w:rPr>
        <w:t xml:space="preserve"> are policy dummies; and </w:t>
      </w:r>
      <w:proofErr w:type="spellStart"/>
      <w:r w:rsidRPr="00E0135B">
        <w:rPr>
          <w:rFonts w:ascii="Times New Roman" w:hAnsi="Times New Roman" w:cs="Times New Roman"/>
          <w:color w:val="auto"/>
          <w:sz w:val="24"/>
          <w:szCs w:val="24"/>
        </w:rPr>
        <w:t>εit</w:t>
      </w:r>
      <w:proofErr w:type="spellEnd"/>
      <w:r w:rsidRPr="00E0135B">
        <w:rPr>
          <w:rFonts w:ascii="Times New Roman" w:hAnsi="Times New Roman" w:cs="Times New Roman"/>
          <w:color w:val="auto"/>
          <w:sz w:val="24"/>
          <w:szCs w:val="24"/>
        </w:rPr>
        <w:t xml:space="preserve"> is the idiosyncratic error term.</w:t>
      </w:r>
    </w:p>
    <w:p w14:paraId="6AB24F28"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Standard errors are computed using the Huber-White sandwich (HC1) estimator, which accounts for potential heteroskedasticity and within-cluster correlation without requiring strong distributional assumptions about the error structure. This choice is motivated by the relatively small number of clusters (102 banks) and the unbalanced nature of the panel, where traditional clustered standard errors can be unreliable.</w:t>
      </w:r>
    </w:p>
    <w:p w14:paraId="55939B1B"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4.2 Identification Strategy and Endogeneity</w:t>
      </w:r>
    </w:p>
    <w:p w14:paraId="1AB23207"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lastRenderedPageBreak/>
        <w:t>The one-year lag applied to all bank-specific predictors is the primary identification device. By constructing the model as a prediction of year-t breach status from year-(t-1) financial ratios, the analysis avoids the most direct forms of reverse causality — a bank cannot manipulate its lagged CRAR in response to its future PCA breach. However, some residual endogeneity concerns remain. First, forward-looking banks that anticipate distress may increase provisioning or reduce credit in the pre-breach period, which could attenuate the estimated coefficients on credit growth and ROA. Second, the positive coefficient on GDP growth reflects the temporal pattern of PCA placements (concentrated in the post-boom period following the FY2011–FY2014 credit expansion) rather than a structural causal relationship, and should be interpreted with this caveat.</w:t>
      </w:r>
    </w:p>
    <w:p w14:paraId="4135FA81"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Random effects (RE) panel probit is specified as an extension to the base pooled model. RE are preferred over fixed effects for two reasons: first, key policy dummies (IBC_DUMMY, PCA_REVISION_2017) are time-invariant within sub-periods and would be absorbed by bank fixed effects, precluding estimation of their coefficients. Second, the RE estimator is consistent under the assumption that bank-level unobserved heterogeneity is uncorrelated with regressors — plausible given that PCA breach is driven predominantly by macroeconomic shocks and sector-wide credit cycles rather than purely bank-specific permanent characteristics.</w:t>
      </w:r>
    </w:p>
    <w:p w14:paraId="4ED7F709"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4.3 Complete Separation and Rare-Event Properties</w:t>
      </w:r>
    </w:p>
    <w:p w14:paraId="4E2CFBBF"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With 40 PCA breach events in 1,080 observations (3.7% event rate), the dataset is </w:t>
      </w:r>
      <w:proofErr w:type="spellStart"/>
      <w:r w:rsidRPr="00E0135B">
        <w:rPr>
          <w:rFonts w:ascii="Times New Roman" w:hAnsi="Times New Roman" w:cs="Times New Roman"/>
          <w:color w:val="auto"/>
          <w:sz w:val="24"/>
          <w:szCs w:val="24"/>
        </w:rPr>
        <w:t>characterised</w:t>
      </w:r>
      <w:proofErr w:type="spellEnd"/>
      <w:r w:rsidRPr="00E0135B">
        <w:rPr>
          <w:rFonts w:ascii="Times New Roman" w:hAnsi="Times New Roman" w:cs="Times New Roman"/>
          <w:color w:val="auto"/>
          <w:sz w:val="24"/>
          <w:szCs w:val="24"/>
        </w:rPr>
        <w:t xml:space="preserve"> by a rare binary outcome. In such settings, two problems can arise: (1) complete or quasi-complete separation, where a predictor perfectly or near-perfectly predicts the outcome, causing probit coefficients to diverge to infinity with inflated standard errors; and (2) small-sample bias in maximum likelihood estimation, which tends to overestimate the absolute value of coefficients in rare-event settings (King and Zeng, 2001).</w:t>
      </w:r>
    </w:p>
    <w:p w14:paraId="2EC2A24F"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Both concerns were explicitly addressed. Complete separation was tested by examining the overlap in predictor values between PCA=1 and PCA=0 observations for all twelve predictors. All predictors showed value overlap across both outcome categories, confirming that complete separation is absent and standard probit maximum likelihood inference is valid. Firth's </w:t>
      </w:r>
      <w:proofErr w:type="spellStart"/>
      <w:r w:rsidRPr="00E0135B">
        <w:rPr>
          <w:rFonts w:ascii="Times New Roman" w:hAnsi="Times New Roman" w:cs="Times New Roman"/>
          <w:color w:val="auto"/>
          <w:sz w:val="24"/>
          <w:szCs w:val="24"/>
        </w:rPr>
        <w:t>penalised</w:t>
      </w:r>
      <w:proofErr w:type="spellEnd"/>
      <w:r w:rsidRPr="00E0135B">
        <w:rPr>
          <w:rFonts w:ascii="Times New Roman" w:hAnsi="Times New Roman" w:cs="Times New Roman"/>
          <w:color w:val="auto"/>
          <w:sz w:val="24"/>
          <w:szCs w:val="24"/>
        </w:rPr>
        <w:t xml:space="preserve"> likelihood correction was therefore not required. The exceptionally high AUC (0.9897) reflects </w:t>
      </w:r>
      <w:r w:rsidRPr="00E0135B">
        <w:rPr>
          <w:rFonts w:ascii="Times New Roman" w:hAnsi="Times New Roman" w:cs="Times New Roman"/>
          <w:color w:val="auto"/>
          <w:sz w:val="24"/>
          <w:szCs w:val="24"/>
        </w:rPr>
        <w:lastRenderedPageBreak/>
        <w:t>genuine joint predictive power of CRAR and GNPA — the very metrics RBI uses to define PCA triggers — rather than a numerical separation artefact.</w:t>
      </w:r>
    </w:p>
    <w:p w14:paraId="7BD974F5"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4.4 Average Marginal Effects</w:t>
      </w:r>
    </w:p>
    <w:p w14:paraId="6068C70D"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Probit coefficients represent the effect of each predictor on the latent index Φ⁻¹[P(PCA=1)] and cannot be directly interpreted as probability changes. Average Marginal Effects (AMEs) are computed as the sample-average of the individual marginal effects, evaluated at each observation's covariate values. The AME for a continuous predictor </w:t>
      </w:r>
      <w:proofErr w:type="spellStart"/>
      <w:r w:rsidRPr="00E0135B">
        <w:rPr>
          <w:rFonts w:ascii="Times New Roman" w:hAnsi="Times New Roman" w:cs="Times New Roman"/>
          <w:color w:val="auto"/>
          <w:sz w:val="24"/>
          <w:szCs w:val="24"/>
        </w:rPr>
        <w:t>xk</w:t>
      </w:r>
      <w:proofErr w:type="spellEnd"/>
      <w:r w:rsidRPr="00E0135B">
        <w:rPr>
          <w:rFonts w:ascii="Times New Roman" w:hAnsi="Times New Roman" w:cs="Times New Roman"/>
          <w:color w:val="auto"/>
          <w:sz w:val="24"/>
          <w:szCs w:val="24"/>
        </w:rPr>
        <w:t xml:space="preserve"> is:</w:t>
      </w:r>
    </w:p>
    <w:p w14:paraId="02CF5F28" w14:textId="457ED159" w:rsidR="00EE1BD0" w:rsidRPr="00E0135B" w:rsidRDefault="00EE1BD0" w:rsidP="003D59BE">
      <w:pPr>
        <w:spacing w:before="80" w:after="140" w:line="360" w:lineRule="auto"/>
        <w:jc w:val="both"/>
        <w:rPr>
          <w:rFonts w:ascii="Times New Roman" w:hAnsi="Times New Roman" w:cs="Times New Roman"/>
          <w:color w:val="auto"/>
          <w:sz w:val="24"/>
          <w:szCs w:val="24"/>
        </w:rPr>
      </w:pPr>
      <m:oMathPara>
        <m:oMath>
          <m:r>
            <w:rPr>
              <w:rFonts w:ascii="Cambria Math" w:hAnsi="Cambria Math" w:cs="Times New Roman"/>
              <w:color w:val="auto"/>
              <w:sz w:val="24"/>
              <w:szCs w:val="24"/>
            </w:rPr>
            <m:t>AME</m:t>
          </m:r>
          <m:d>
            <m:dPr>
              <m:ctrlPr>
                <w:rPr>
                  <w:rFonts w:ascii="Cambria Math" w:hAnsi="Cambria Math" w:cs="Times New Roman"/>
                  <w:i/>
                  <w:color w:val="auto"/>
                  <w:sz w:val="24"/>
                  <w:szCs w:val="24"/>
                </w:rPr>
              </m:ctrlPr>
            </m:dPr>
            <m:e>
              <m:sSub>
                <m:sSubPr>
                  <m:ctrlPr>
                    <w:rPr>
                      <w:rFonts w:ascii="Cambria Math" w:hAnsi="Cambria Math" w:cs="Times New Roman"/>
                      <w:i/>
                      <w:color w:val="auto"/>
                      <w:sz w:val="24"/>
                      <w:szCs w:val="24"/>
                    </w:rPr>
                  </m:ctrlPr>
                </m:sSubPr>
                <m:e>
                  <m:r>
                    <w:rPr>
                      <w:rFonts w:ascii="Cambria Math" w:hAnsi="Cambria Math" w:cs="Times New Roman"/>
                      <w:color w:val="auto"/>
                      <w:sz w:val="24"/>
                      <w:szCs w:val="24"/>
                    </w:rPr>
                    <m:t>x</m:t>
                  </m:r>
                </m:e>
                <m:sub>
                  <m:r>
                    <w:rPr>
                      <w:rFonts w:ascii="Cambria Math" w:hAnsi="Cambria Math" w:cs="Times New Roman"/>
                      <w:color w:val="auto"/>
                      <w:sz w:val="24"/>
                      <w:szCs w:val="24"/>
                    </w:rPr>
                    <m:t>k</m:t>
                  </m:r>
                </m:sub>
              </m:sSub>
            </m:e>
          </m:d>
          <m:r>
            <w:rPr>
              <w:rFonts w:ascii="Cambria Math" w:hAnsi="Cambria Math" w:cs="Times New Roman"/>
              <w:color w:val="auto"/>
              <w:sz w:val="24"/>
              <w:szCs w:val="24"/>
            </w:rPr>
            <m:t>=</m:t>
          </m:r>
          <m:f>
            <m:fPr>
              <m:ctrlPr>
                <w:rPr>
                  <w:rFonts w:ascii="Cambria Math" w:hAnsi="Cambria Math" w:cs="Times New Roman"/>
                  <w:i/>
                  <w:color w:val="auto"/>
                  <w:sz w:val="24"/>
                  <w:szCs w:val="24"/>
                </w:rPr>
              </m:ctrlPr>
            </m:fPr>
            <m:num>
              <m:r>
                <w:rPr>
                  <w:rFonts w:ascii="Cambria Math" w:hAnsi="Cambria Math" w:cs="Times New Roman"/>
                  <w:color w:val="auto"/>
                  <w:sz w:val="24"/>
                  <w:szCs w:val="24"/>
                </w:rPr>
                <m:t>1</m:t>
              </m:r>
            </m:num>
            <m:den>
              <m:r>
                <w:rPr>
                  <w:rFonts w:ascii="Cambria Math" w:hAnsi="Cambria Math" w:cs="Times New Roman"/>
                  <w:color w:val="auto"/>
                  <w:sz w:val="24"/>
                  <w:szCs w:val="24"/>
                </w:rPr>
                <m:t>n</m:t>
              </m:r>
            </m:den>
          </m:f>
          <m:nary>
            <m:naryPr>
              <m:chr m:val="∑"/>
              <m:limLoc m:val="undOvr"/>
              <m:ctrlPr>
                <w:rPr>
                  <w:rFonts w:ascii="Cambria Math" w:hAnsi="Cambria Math" w:cs="Times New Roman"/>
                  <w:i/>
                  <w:color w:val="auto"/>
                  <w:sz w:val="24"/>
                  <w:szCs w:val="24"/>
                </w:rPr>
              </m:ctrlPr>
            </m:naryPr>
            <m:sub>
              <m:r>
                <w:rPr>
                  <w:rFonts w:ascii="Cambria Math" w:hAnsi="Cambria Math" w:cs="Times New Roman"/>
                  <w:color w:val="auto"/>
                  <w:sz w:val="24"/>
                  <w:szCs w:val="24"/>
                </w:rPr>
                <m:t>i=1</m:t>
              </m:r>
            </m:sub>
            <m:sup>
              <m:r>
                <w:rPr>
                  <w:rFonts w:ascii="Cambria Math" w:hAnsi="Cambria Math" w:cs="Times New Roman"/>
                  <w:color w:val="auto"/>
                  <w:sz w:val="24"/>
                  <w:szCs w:val="24"/>
                </w:rPr>
                <m:t>n</m:t>
              </m:r>
            </m:sup>
            <m:e>
              <m:r>
                <w:rPr>
                  <w:rFonts w:ascii="Cambria Math" w:hAnsi="Cambria Math" w:cs="Times New Roman"/>
                  <w:color w:val="auto"/>
                  <w:sz w:val="24"/>
                  <w:szCs w:val="24"/>
                </w:rPr>
                <m:t>ϕ</m:t>
              </m:r>
              <m:d>
                <m:dPr>
                  <m:ctrlPr>
                    <w:rPr>
                      <w:rFonts w:ascii="Cambria Math" w:hAnsi="Cambria Math" w:cs="Times New Roman"/>
                      <w:i/>
                      <w:color w:val="auto"/>
                      <w:sz w:val="24"/>
                      <w:szCs w:val="24"/>
                    </w:rPr>
                  </m:ctrlPr>
                </m:dPr>
                <m:e>
                  <m:sSub>
                    <m:sSubPr>
                      <m:ctrlPr>
                        <w:rPr>
                          <w:rFonts w:ascii="Cambria Math" w:hAnsi="Cambria Math" w:cs="Times New Roman"/>
                          <w:i/>
                          <w:color w:val="auto"/>
                          <w:sz w:val="24"/>
                          <w:szCs w:val="24"/>
                        </w:rPr>
                      </m:ctrlPr>
                    </m:sSubPr>
                    <m:e>
                      <m:acc>
                        <m:accPr>
                          <m:ctrlPr>
                            <w:rPr>
                              <w:rFonts w:ascii="Cambria Math" w:hAnsi="Cambria Math" w:cs="Times New Roman"/>
                              <w:i/>
                              <w:color w:val="auto"/>
                              <w:sz w:val="24"/>
                              <w:szCs w:val="24"/>
                            </w:rPr>
                          </m:ctrlPr>
                        </m:accPr>
                        <m:e>
                          <m:r>
                            <w:rPr>
                              <w:rFonts w:ascii="Cambria Math" w:hAnsi="Cambria Math" w:cs="Times New Roman"/>
                              <w:color w:val="auto"/>
                              <w:sz w:val="24"/>
                              <w:szCs w:val="24"/>
                            </w:rPr>
                            <m:t>x</m:t>
                          </m:r>
                        </m:e>
                      </m:acc>
                    </m:e>
                    <m:sub>
                      <m:r>
                        <w:rPr>
                          <w:rFonts w:ascii="Cambria Math" w:hAnsi="Cambria Math" w:cs="Times New Roman"/>
                          <w:color w:val="auto"/>
                          <w:sz w:val="24"/>
                          <w:szCs w:val="24"/>
                        </w:rPr>
                        <m:t>i</m:t>
                      </m:r>
                    </m:sub>
                  </m:sSub>
                  <m:acc>
                    <m:accPr>
                      <m:ctrlPr>
                        <w:rPr>
                          <w:rFonts w:ascii="Cambria Math" w:hAnsi="Cambria Math" w:cs="Times New Roman"/>
                          <w:i/>
                          <w:color w:val="auto"/>
                          <w:sz w:val="24"/>
                          <w:szCs w:val="24"/>
                        </w:rPr>
                      </m:ctrlPr>
                    </m:accPr>
                    <m:e>
                      <m:r>
                        <w:rPr>
                          <w:rFonts w:ascii="Cambria Math" w:hAnsi="Cambria Math" w:cs="Times New Roman"/>
                          <w:color w:val="auto"/>
                          <w:sz w:val="24"/>
                          <w:szCs w:val="24"/>
                        </w:rPr>
                        <m:t>β</m:t>
                      </m:r>
                    </m:e>
                  </m:acc>
                </m:e>
              </m:d>
              <m:r>
                <w:rPr>
                  <w:rFonts w:ascii="Cambria Math" w:hAnsi="Cambria Math" w:cs="Times New Roman"/>
                  <w:color w:val="auto"/>
                  <w:sz w:val="24"/>
                  <w:szCs w:val="24"/>
                </w:rPr>
                <m:t>*</m:t>
              </m:r>
              <m:sSub>
                <m:sSubPr>
                  <m:ctrlPr>
                    <w:rPr>
                      <w:rFonts w:ascii="Cambria Math" w:hAnsi="Cambria Math" w:cs="Times New Roman"/>
                      <w:i/>
                      <w:color w:val="auto"/>
                      <w:sz w:val="24"/>
                      <w:szCs w:val="24"/>
                    </w:rPr>
                  </m:ctrlPr>
                </m:sSubPr>
                <m:e>
                  <m:acc>
                    <m:accPr>
                      <m:ctrlPr>
                        <w:rPr>
                          <w:rFonts w:ascii="Cambria Math" w:hAnsi="Cambria Math" w:cs="Times New Roman"/>
                          <w:i/>
                          <w:color w:val="auto"/>
                          <w:sz w:val="24"/>
                          <w:szCs w:val="24"/>
                        </w:rPr>
                      </m:ctrlPr>
                    </m:accPr>
                    <m:e>
                      <m:r>
                        <w:rPr>
                          <w:rFonts w:ascii="Cambria Math" w:hAnsi="Cambria Math" w:cs="Times New Roman"/>
                          <w:color w:val="auto"/>
                          <w:sz w:val="24"/>
                          <w:szCs w:val="24"/>
                        </w:rPr>
                        <m:t>β</m:t>
                      </m:r>
                    </m:e>
                  </m:acc>
                </m:e>
                <m:sub>
                  <m:r>
                    <w:rPr>
                      <w:rFonts w:ascii="Cambria Math" w:hAnsi="Cambria Math" w:cs="Times New Roman"/>
                      <w:color w:val="auto"/>
                      <w:sz w:val="24"/>
                      <w:szCs w:val="24"/>
                    </w:rPr>
                    <m:t>k</m:t>
                  </m:r>
                </m:sub>
              </m:sSub>
            </m:e>
          </m:nary>
        </m:oMath>
      </m:oMathPara>
    </w:p>
    <w:p w14:paraId="279245A4"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where φ(.) is the standard normal probability density function. For binary predictors such as the PSB dummy, the AME is computed as the average difference in predicted probabilities with the dummy equal to one versus zero, holding all other variables at their observed values.</w:t>
      </w:r>
    </w:p>
    <w:p w14:paraId="318678E0" w14:textId="77777777" w:rsidR="00604563" w:rsidRPr="00E0135B" w:rsidRDefault="002143D7" w:rsidP="003D59BE">
      <w:pPr>
        <w:pStyle w:val="Heading1"/>
        <w:pBdr>
          <w:bottom w:val="single" w:sz="6" w:space="4" w:color="2E75B6"/>
        </w:pBdr>
        <w:spacing w:line="360" w:lineRule="auto"/>
        <w:rPr>
          <w:rFonts w:ascii="Times New Roman" w:hAnsi="Times New Roman" w:cs="Times New Roman"/>
          <w:color w:val="auto"/>
          <w:sz w:val="32"/>
          <w:szCs w:val="32"/>
        </w:rPr>
      </w:pPr>
      <w:r w:rsidRPr="00E0135B">
        <w:rPr>
          <w:rFonts w:ascii="Times New Roman" w:hAnsi="Times New Roman" w:cs="Times New Roman"/>
          <w:color w:val="auto"/>
          <w:sz w:val="32"/>
          <w:szCs w:val="32"/>
        </w:rPr>
        <w:t>5. Empirical Results</w:t>
      </w:r>
    </w:p>
    <w:p w14:paraId="0ED7EA1E"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5.1 Base Specification (M1): Full Probit Results</w:t>
      </w:r>
    </w:p>
    <w:p w14:paraId="22B31CB0" w14:textId="698290DD"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Table 3 reports the pooled probit regression results for the base specification (M1) with sandwich standard errors. The dependent variable equals one if the bank was under RBI Prompt Corrective Action in year t. All bank-level predictors are lagged one year. The model is estimated on 1,080 bank-year observations (102 banks, FY2008–FY2024) with 40 PCA breach events. The model achieves an AUC of 0.9897 and a McFadden Pseudo-R² of 0.7022.</w:t>
      </w:r>
    </w:p>
    <w:p w14:paraId="4C604FBF" w14:textId="77777777" w:rsidR="00604563" w:rsidRPr="00E0135B" w:rsidRDefault="002143D7" w:rsidP="003D59BE">
      <w:pPr>
        <w:spacing w:after="80" w:line="360" w:lineRule="auto"/>
        <w:rPr>
          <w:rFonts w:ascii="Times New Roman" w:hAnsi="Times New Roman" w:cs="Times New Roman"/>
          <w:color w:val="auto"/>
          <w:sz w:val="24"/>
          <w:szCs w:val="24"/>
        </w:rPr>
      </w:pPr>
      <w:r w:rsidRPr="00E0135B">
        <w:rPr>
          <w:rFonts w:ascii="Times New Roman" w:hAnsi="Times New Roman" w:cs="Times New Roman"/>
          <w:b/>
          <w:bCs/>
          <w:color w:val="auto"/>
        </w:rPr>
        <w:t>Table 3: Panel Probit Results — Base Specification M1</w:t>
      </w:r>
    </w:p>
    <w:tbl>
      <w:tblPr>
        <w:tblStyle w:val="TableGrid"/>
        <w:tblW w:w="8760" w:type="dxa"/>
        <w:tblLook w:val="04A0" w:firstRow="1" w:lastRow="0" w:firstColumn="1" w:lastColumn="0" w:noHBand="0" w:noVBand="1"/>
      </w:tblPr>
      <w:tblGrid>
        <w:gridCol w:w="2800"/>
        <w:gridCol w:w="1600"/>
        <w:gridCol w:w="1500"/>
        <w:gridCol w:w="1300"/>
        <w:gridCol w:w="1560"/>
      </w:tblGrid>
      <w:tr w:rsidR="009E6423" w:rsidRPr="00E0135B" w14:paraId="0E7CFB46" w14:textId="77777777" w:rsidTr="006C18B6">
        <w:tc>
          <w:tcPr>
            <w:tcW w:w="2800" w:type="dxa"/>
          </w:tcPr>
          <w:p w14:paraId="25E03AFD"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Variable</w:t>
            </w:r>
          </w:p>
        </w:tc>
        <w:tc>
          <w:tcPr>
            <w:tcW w:w="1600" w:type="dxa"/>
          </w:tcPr>
          <w:p w14:paraId="2643C544"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Coefficient</w:t>
            </w:r>
          </w:p>
        </w:tc>
        <w:tc>
          <w:tcPr>
            <w:tcW w:w="1500" w:type="dxa"/>
          </w:tcPr>
          <w:p w14:paraId="10F394E0"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Std. Error</w:t>
            </w:r>
          </w:p>
        </w:tc>
        <w:tc>
          <w:tcPr>
            <w:tcW w:w="1300" w:type="dxa"/>
          </w:tcPr>
          <w:p w14:paraId="6BA320AD"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z-stat</w:t>
            </w:r>
          </w:p>
        </w:tc>
        <w:tc>
          <w:tcPr>
            <w:tcW w:w="1560" w:type="dxa"/>
          </w:tcPr>
          <w:p w14:paraId="6C297BBD"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Significance</w:t>
            </w:r>
          </w:p>
        </w:tc>
      </w:tr>
      <w:tr w:rsidR="009E6423" w:rsidRPr="00E0135B" w14:paraId="3B3F5C4A" w14:textId="77777777" w:rsidTr="006C18B6">
        <w:tc>
          <w:tcPr>
            <w:tcW w:w="2800" w:type="dxa"/>
          </w:tcPr>
          <w:p w14:paraId="6BC0586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Constant</w:t>
            </w:r>
          </w:p>
        </w:tc>
        <w:tc>
          <w:tcPr>
            <w:tcW w:w="1600" w:type="dxa"/>
          </w:tcPr>
          <w:p w14:paraId="4D0CA5E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+1.3652</w:t>
            </w:r>
          </w:p>
        </w:tc>
        <w:tc>
          <w:tcPr>
            <w:tcW w:w="1500" w:type="dxa"/>
          </w:tcPr>
          <w:p w14:paraId="7944C51C"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(2.2497)</w:t>
            </w:r>
          </w:p>
        </w:tc>
        <w:tc>
          <w:tcPr>
            <w:tcW w:w="1300" w:type="dxa"/>
          </w:tcPr>
          <w:p w14:paraId="5E4AC698"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0.607</w:t>
            </w:r>
          </w:p>
        </w:tc>
        <w:tc>
          <w:tcPr>
            <w:tcW w:w="1560" w:type="dxa"/>
          </w:tcPr>
          <w:p w14:paraId="75B1A62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w:t>
            </w:r>
          </w:p>
        </w:tc>
      </w:tr>
      <w:tr w:rsidR="009E6423" w:rsidRPr="00E0135B" w14:paraId="091586A9" w14:textId="77777777" w:rsidTr="006C18B6">
        <w:tc>
          <w:tcPr>
            <w:tcW w:w="2800" w:type="dxa"/>
          </w:tcPr>
          <w:p w14:paraId="08C45921"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CRAR, Total % (t-1)</w:t>
            </w:r>
          </w:p>
        </w:tc>
        <w:tc>
          <w:tcPr>
            <w:tcW w:w="1600" w:type="dxa"/>
          </w:tcPr>
          <w:p w14:paraId="6F9BFD1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−0.3173</w:t>
            </w:r>
          </w:p>
        </w:tc>
        <w:tc>
          <w:tcPr>
            <w:tcW w:w="1500" w:type="dxa"/>
          </w:tcPr>
          <w:p w14:paraId="4E49146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(0.0953)</w:t>
            </w:r>
          </w:p>
        </w:tc>
        <w:tc>
          <w:tcPr>
            <w:tcW w:w="1300" w:type="dxa"/>
          </w:tcPr>
          <w:p w14:paraId="649F898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−3.330</w:t>
            </w:r>
          </w:p>
        </w:tc>
        <w:tc>
          <w:tcPr>
            <w:tcW w:w="1560" w:type="dxa"/>
          </w:tcPr>
          <w:p w14:paraId="576CEEE4"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 p&lt;0.001</w:t>
            </w:r>
          </w:p>
        </w:tc>
      </w:tr>
      <w:tr w:rsidR="009E6423" w:rsidRPr="00E0135B" w14:paraId="6E68EB87" w14:textId="77777777" w:rsidTr="006C18B6">
        <w:tc>
          <w:tcPr>
            <w:tcW w:w="2800" w:type="dxa"/>
          </w:tcPr>
          <w:p w14:paraId="19DBAF1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GNPA Ratio % (t-1)</w:t>
            </w:r>
          </w:p>
        </w:tc>
        <w:tc>
          <w:tcPr>
            <w:tcW w:w="1600" w:type="dxa"/>
          </w:tcPr>
          <w:p w14:paraId="1BD94AA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+0.1253</w:t>
            </w:r>
          </w:p>
        </w:tc>
        <w:tc>
          <w:tcPr>
            <w:tcW w:w="1500" w:type="dxa"/>
          </w:tcPr>
          <w:p w14:paraId="7A115961"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(0.0456)</w:t>
            </w:r>
          </w:p>
        </w:tc>
        <w:tc>
          <w:tcPr>
            <w:tcW w:w="1300" w:type="dxa"/>
          </w:tcPr>
          <w:p w14:paraId="069EDC5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2.749</w:t>
            </w:r>
          </w:p>
        </w:tc>
        <w:tc>
          <w:tcPr>
            <w:tcW w:w="1560" w:type="dxa"/>
          </w:tcPr>
          <w:p w14:paraId="1777EA6C"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 p&lt;0.01</w:t>
            </w:r>
          </w:p>
        </w:tc>
      </w:tr>
      <w:tr w:rsidR="009E6423" w:rsidRPr="00E0135B" w14:paraId="4F746371" w14:textId="77777777" w:rsidTr="006C18B6">
        <w:tc>
          <w:tcPr>
            <w:tcW w:w="2800" w:type="dxa"/>
          </w:tcPr>
          <w:p w14:paraId="4A20800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ROA % (t-1)</w:t>
            </w:r>
          </w:p>
        </w:tc>
        <w:tc>
          <w:tcPr>
            <w:tcW w:w="1600" w:type="dxa"/>
          </w:tcPr>
          <w:p w14:paraId="5BDC21E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+0.1066</w:t>
            </w:r>
          </w:p>
        </w:tc>
        <w:tc>
          <w:tcPr>
            <w:tcW w:w="1500" w:type="dxa"/>
          </w:tcPr>
          <w:p w14:paraId="270D457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(0.1734)</w:t>
            </w:r>
          </w:p>
        </w:tc>
        <w:tc>
          <w:tcPr>
            <w:tcW w:w="1300" w:type="dxa"/>
          </w:tcPr>
          <w:p w14:paraId="432F39C1"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0.615</w:t>
            </w:r>
          </w:p>
        </w:tc>
        <w:tc>
          <w:tcPr>
            <w:tcW w:w="1560" w:type="dxa"/>
          </w:tcPr>
          <w:p w14:paraId="05C77231" w14:textId="77777777" w:rsidR="00604563" w:rsidRPr="00E0135B" w:rsidRDefault="002143D7" w:rsidP="003D59BE">
            <w:pPr>
              <w:spacing w:line="360" w:lineRule="auto"/>
              <w:rPr>
                <w:rFonts w:ascii="Times New Roman" w:hAnsi="Times New Roman" w:cs="Times New Roman"/>
                <w:color w:val="auto"/>
                <w:sz w:val="24"/>
                <w:szCs w:val="24"/>
              </w:rPr>
            </w:pPr>
            <w:proofErr w:type="spellStart"/>
            <w:r w:rsidRPr="00E0135B">
              <w:rPr>
                <w:rFonts w:ascii="Times New Roman" w:hAnsi="Times New Roman" w:cs="Times New Roman"/>
                <w:color w:val="auto"/>
              </w:rPr>
              <w:t>n.s</w:t>
            </w:r>
            <w:proofErr w:type="spellEnd"/>
            <w:r w:rsidRPr="00E0135B">
              <w:rPr>
                <w:rFonts w:ascii="Times New Roman" w:hAnsi="Times New Roman" w:cs="Times New Roman"/>
                <w:color w:val="auto"/>
              </w:rPr>
              <w:t>.</w:t>
            </w:r>
          </w:p>
        </w:tc>
      </w:tr>
      <w:tr w:rsidR="009E6423" w:rsidRPr="00E0135B" w14:paraId="2214876C" w14:textId="77777777" w:rsidTr="006C18B6">
        <w:tc>
          <w:tcPr>
            <w:tcW w:w="2800" w:type="dxa"/>
          </w:tcPr>
          <w:p w14:paraId="3F17D53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Cost-Income Ratio (t-1)</w:t>
            </w:r>
          </w:p>
        </w:tc>
        <w:tc>
          <w:tcPr>
            <w:tcW w:w="1600" w:type="dxa"/>
          </w:tcPr>
          <w:p w14:paraId="105C9AA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+0.0206</w:t>
            </w:r>
          </w:p>
        </w:tc>
        <w:tc>
          <w:tcPr>
            <w:tcW w:w="1500" w:type="dxa"/>
          </w:tcPr>
          <w:p w14:paraId="4BA56DB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(0.0135)</w:t>
            </w:r>
          </w:p>
        </w:tc>
        <w:tc>
          <w:tcPr>
            <w:tcW w:w="1300" w:type="dxa"/>
          </w:tcPr>
          <w:p w14:paraId="246F64D8"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1.526</w:t>
            </w:r>
          </w:p>
        </w:tc>
        <w:tc>
          <w:tcPr>
            <w:tcW w:w="1560" w:type="dxa"/>
          </w:tcPr>
          <w:p w14:paraId="607C7800" w14:textId="77777777" w:rsidR="00604563" w:rsidRPr="00E0135B" w:rsidRDefault="002143D7" w:rsidP="003D59BE">
            <w:pPr>
              <w:spacing w:line="360" w:lineRule="auto"/>
              <w:rPr>
                <w:rFonts w:ascii="Times New Roman" w:hAnsi="Times New Roman" w:cs="Times New Roman"/>
                <w:color w:val="auto"/>
                <w:sz w:val="24"/>
                <w:szCs w:val="24"/>
              </w:rPr>
            </w:pPr>
            <w:proofErr w:type="spellStart"/>
            <w:r w:rsidRPr="00E0135B">
              <w:rPr>
                <w:rFonts w:ascii="Times New Roman" w:hAnsi="Times New Roman" w:cs="Times New Roman"/>
                <w:color w:val="auto"/>
              </w:rPr>
              <w:t>n.s</w:t>
            </w:r>
            <w:proofErr w:type="spellEnd"/>
            <w:r w:rsidRPr="00E0135B">
              <w:rPr>
                <w:rFonts w:ascii="Times New Roman" w:hAnsi="Times New Roman" w:cs="Times New Roman"/>
                <w:color w:val="auto"/>
              </w:rPr>
              <w:t>.</w:t>
            </w:r>
          </w:p>
        </w:tc>
      </w:tr>
      <w:tr w:rsidR="009E6423" w:rsidRPr="00E0135B" w14:paraId="0C5C02E1" w14:textId="77777777" w:rsidTr="006C18B6">
        <w:tc>
          <w:tcPr>
            <w:tcW w:w="2800" w:type="dxa"/>
          </w:tcPr>
          <w:p w14:paraId="089BF189" w14:textId="77777777" w:rsidR="00604563" w:rsidRPr="00E0135B" w:rsidRDefault="002143D7" w:rsidP="003D59BE">
            <w:pPr>
              <w:spacing w:line="360" w:lineRule="auto"/>
              <w:rPr>
                <w:rFonts w:ascii="Times New Roman" w:hAnsi="Times New Roman" w:cs="Times New Roman"/>
                <w:color w:val="auto"/>
                <w:sz w:val="24"/>
                <w:szCs w:val="24"/>
              </w:rPr>
            </w:pPr>
            <w:proofErr w:type="gramStart"/>
            <w:r w:rsidRPr="00E0135B">
              <w:rPr>
                <w:rFonts w:ascii="Times New Roman" w:hAnsi="Times New Roman" w:cs="Times New Roman"/>
                <w:color w:val="auto"/>
              </w:rPr>
              <w:lastRenderedPageBreak/>
              <w:t>Log(</w:t>
            </w:r>
            <w:proofErr w:type="gramEnd"/>
            <w:r w:rsidRPr="00E0135B">
              <w:rPr>
                <w:rFonts w:ascii="Times New Roman" w:hAnsi="Times New Roman" w:cs="Times New Roman"/>
                <w:color w:val="auto"/>
              </w:rPr>
              <w:t>Total Assets) (t-1)</w:t>
            </w:r>
          </w:p>
        </w:tc>
        <w:tc>
          <w:tcPr>
            <w:tcW w:w="1600" w:type="dxa"/>
          </w:tcPr>
          <w:p w14:paraId="618DCA31"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−0.1436</w:t>
            </w:r>
          </w:p>
        </w:tc>
        <w:tc>
          <w:tcPr>
            <w:tcW w:w="1500" w:type="dxa"/>
          </w:tcPr>
          <w:p w14:paraId="1792A73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(0.1306)</w:t>
            </w:r>
          </w:p>
        </w:tc>
        <w:tc>
          <w:tcPr>
            <w:tcW w:w="1300" w:type="dxa"/>
          </w:tcPr>
          <w:p w14:paraId="70250A7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−1.099</w:t>
            </w:r>
          </w:p>
        </w:tc>
        <w:tc>
          <w:tcPr>
            <w:tcW w:w="1560" w:type="dxa"/>
          </w:tcPr>
          <w:p w14:paraId="5810821A" w14:textId="77777777" w:rsidR="00604563" w:rsidRPr="00E0135B" w:rsidRDefault="002143D7" w:rsidP="003D59BE">
            <w:pPr>
              <w:spacing w:line="360" w:lineRule="auto"/>
              <w:rPr>
                <w:rFonts w:ascii="Times New Roman" w:hAnsi="Times New Roman" w:cs="Times New Roman"/>
                <w:color w:val="auto"/>
                <w:sz w:val="24"/>
                <w:szCs w:val="24"/>
              </w:rPr>
            </w:pPr>
            <w:proofErr w:type="spellStart"/>
            <w:r w:rsidRPr="00E0135B">
              <w:rPr>
                <w:rFonts w:ascii="Times New Roman" w:hAnsi="Times New Roman" w:cs="Times New Roman"/>
                <w:color w:val="auto"/>
              </w:rPr>
              <w:t>n.s</w:t>
            </w:r>
            <w:proofErr w:type="spellEnd"/>
            <w:r w:rsidRPr="00E0135B">
              <w:rPr>
                <w:rFonts w:ascii="Times New Roman" w:hAnsi="Times New Roman" w:cs="Times New Roman"/>
                <w:color w:val="auto"/>
              </w:rPr>
              <w:t>.</w:t>
            </w:r>
          </w:p>
        </w:tc>
      </w:tr>
      <w:tr w:rsidR="009E6423" w:rsidRPr="00E0135B" w14:paraId="54A9A404" w14:textId="77777777" w:rsidTr="006C18B6">
        <w:tc>
          <w:tcPr>
            <w:tcW w:w="2800" w:type="dxa"/>
          </w:tcPr>
          <w:p w14:paraId="40E726A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Credit Growth % (t-1)</w:t>
            </w:r>
          </w:p>
        </w:tc>
        <w:tc>
          <w:tcPr>
            <w:tcW w:w="1600" w:type="dxa"/>
          </w:tcPr>
          <w:p w14:paraId="7EC21E31"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−0.0391</w:t>
            </w:r>
          </w:p>
        </w:tc>
        <w:tc>
          <w:tcPr>
            <w:tcW w:w="1500" w:type="dxa"/>
          </w:tcPr>
          <w:p w14:paraId="780D3BF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(0.0164)</w:t>
            </w:r>
          </w:p>
        </w:tc>
        <w:tc>
          <w:tcPr>
            <w:tcW w:w="1300" w:type="dxa"/>
          </w:tcPr>
          <w:p w14:paraId="2EC2E187"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−2.384</w:t>
            </w:r>
          </w:p>
        </w:tc>
        <w:tc>
          <w:tcPr>
            <w:tcW w:w="1560" w:type="dxa"/>
          </w:tcPr>
          <w:p w14:paraId="0552CDB1"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 p&lt;0.05</w:t>
            </w:r>
          </w:p>
        </w:tc>
      </w:tr>
      <w:tr w:rsidR="009E6423" w:rsidRPr="00E0135B" w14:paraId="11CA1B78" w14:textId="77777777" w:rsidTr="006C18B6">
        <w:tc>
          <w:tcPr>
            <w:tcW w:w="2800" w:type="dxa"/>
          </w:tcPr>
          <w:p w14:paraId="0B06077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GDP Growth %</w:t>
            </w:r>
          </w:p>
        </w:tc>
        <w:tc>
          <w:tcPr>
            <w:tcW w:w="1600" w:type="dxa"/>
          </w:tcPr>
          <w:p w14:paraId="015859A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+0.0920</w:t>
            </w:r>
          </w:p>
        </w:tc>
        <w:tc>
          <w:tcPr>
            <w:tcW w:w="1500" w:type="dxa"/>
          </w:tcPr>
          <w:p w14:paraId="3574798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(0.0429)</w:t>
            </w:r>
          </w:p>
        </w:tc>
        <w:tc>
          <w:tcPr>
            <w:tcW w:w="1300" w:type="dxa"/>
          </w:tcPr>
          <w:p w14:paraId="5067987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2.144</w:t>
            </w:r>
          </w:p>
        </w:tc>
        <w:tc>
          <w:tcPr>
            <w:tcW w:w="1560" w:type="dxa"/>
          </w:tcPr>
          <w:p w14:paraId="31512A2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 p&lt;0.05</w:t>
            </w:r>
          </w:p>
        </w:tc>
      </w:tr>
      <w:tr w:rsidR="009E6423" w:rsidRPr="00E0135B" w14:paraId="33AF3E10" w14:textId="77777777" w:rsidTr="006C18B6">
        <w:tc>
          <w:tcPr>
            <w:tcW w:w="2800" w:type="dxa"/>
          </w:tcPr>
          <w:p w14:paraId="118C7827"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CPI Inflation %</w:t>
            </w:r>
          </w:p>
        </w:tc>
        <w:tc>
          <w:tcPr>
            <w:tcW w:w="1600" w:type="dxa"/>
          </w:tcPr>
          <w:p w14:paraId="54EA346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−0.2903</w:t>
            </w:r>
          </w:p>
        </w:tc>
        <w:tc>
          <w:tcPr>
            <w:tcW w:w="1500" w:type="dxa"/>
          </w:tcPr>
          <w:p w14:paraId="37EA25A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(0.1881)</w:t>
            </w:r>
          </w:p>
        </w:tc>
        <w:tc>
          <w:tcPr>
            <w:tcW w:w="1300" w:type="dxa"/>
          </w:tcPr>
          <w:p w14:paraId="2CB301E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−1.543</w:t>
            </w:r>
          </w:p>
        </w:tc>
        <w:tc>
          <w:tcPr>
            <w:tcW w:w="1560" w:type="dxa"/>
          </w:tcPr>
          <w:p w14:paraId="6A5E033D" w14:textId="77777777" w:rsidR="00604563" w:rsidRPr="00E0135B" w:rsidRDefault="002143D7" w:rsidP="003D59BE">
            <w:pPr>
              <w:spacing w:line="360" w:lineRule="auto"/>
              <w:rPr>
                <w:rFonts w:ascii="Times New Roman" w:hAnsi="Times New Roman" w:cs="Times New Roman"/>
                <w:color w:val="auto"/>
                <w:sz w:val="24"/>
                <w:szCs w:val="24"/>
              </w:rPr>
            </w:pPr>
            <w:proofErr w:type="spellStart"/>
            <w:r w:rsidRPr="00E0135B">
              <w:rPr>
                <w:rFonts w:ascii="Times New Roman" w:hAnsi="Times New Roman" w:cs="Times New Roman"/>
                <w:color w:val="auto"/>
              </w:rPr>
              <w:t>n.s</w:t>
            </w:r>
            <w:proofErr w:type="spellEnd"/>
            <w:r w:rsidRPr="00E0135B">
              <w:rPr>
                <w:rFonts w:ascii="Times New Roman" w:hAnsi="Times New Roman" w:cs="Times New Roman"/>
                <w:color w:val="auto"/>
              </w:rPr>
              <w:t>.</w:t>
            </w:r>
          </w:p>
        </w:tc>
      </w:tr>
      <w:tr w:rsidR="009E6423" w:rsidRPr="00E0135B" w14:paraId="5A6A49C2" w14:textId="77777777" w:rsidTr="006C18B6">
        <w:tc>
          <w:tcPr>
            <w:tcW w:w="2800" w:type="dxa"/>
          </w:tcPr>
          <w:p w14:paraId="64ECABC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PSB Dummy</w:t>
            </w:r>
          </w:p>
        </w:tc>
        <w:tc>
          <w:tcPr>
            <w:tcW w:w="1600" w:type="dxa"/>
          </w:tcPr>
          <w:p w14:paraId="6687B5F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+1.6150</w:t>
            </w:r>
          </w:p>
        </w:tc>
        <w:tc>
          <w:tcPr>
            <w:tcW w:w="1500" w:type="dxa"/>
          </w:tcPr>
          <w:p w14:paraId="7F5C53B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(0.6846)</w:t>
            </w:r>
          </w:p>
        </w:tc>
        <w:tc>
          <w:tcPr>
            <w:tcW w:w="1300" w:type="dxa"/>
          </w:tcPr>
          <w:p w14:paraId="140479E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2.359</w:t>
            </w:r>
          </w:p>
        </w:tc>
        <w:tc>
          <w:tcPr>
            <w:tcW w:w="1560" w:type="dxa"/>
          </w:tcPr>
          <w:p w14:paraId="0AC59ED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 p&lt;0.05</w:t>
            </w:r>
          </w:p>
        </w:tc>
      </w:tr>
      <w:tr w:rsidR="009E6423" w:rsidRPr="00E0135B" w14:paraId="78992FF3" w14:textId="77777777" w:rsidTr="006C18B6">
        <w:tc>
          <w:tcPr>
            <w:tcW w:w="2800" w:type="dxa"/>
          </w:tcPr>
          <w:p w14:paraId="3A9C7A28"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PCA Revision 2017 Dummy</w:t>
            </w:r>
          </w:p>
        </w:tc>
        <w:tc>
          <w:tcPr>
            <w:tcW w:w="1600" w:type="dxa"/>
          </w:tcPr>
          <w:p w14:paraId="200732D7"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+1.1929</w:t>
            </w:r>
          </w:p>
        </w:tc>
        <w:tc>
          <w:tcPr>
            <w:tcW w:w="1500" w:type="dxa"/>
          </w:tcPr>
          <w:p w14:paraId="4F36219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(0.5061)</w:t>
            </w:r>
          </w:p>
        </w:tc>
        <w:tc>
          <w:tcPr>
            <w:tcW w:w="1300" w:type="dxa"/>
          </w:tcPr>
          <w:p w14:paraId="6AB2B21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2.357</w:t>
            </w:r>
          </w:p>
        </w:tc>
        <w:tc>
          <w:tcPr>
            <w:tcW w:w="1560" w:type="dxa"/>
          </w:tcPr>
          <w:p w14:paraId="6467AE5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 p&lt;0.05</w:t>
            </w:r>
          </w:p>
        </w:tc>
      </w:tr>
      <w:tr w:rsidR="009E6423" w:rsidRPr="00E0135B" w14:paraId="327EF9DE" w14:textId="77777777" w:rsidTr="006C18B6">
        <w:tc>
          <w:tcPr>
            <w:tcW w:w="2800" w:type="dxa"/>
          </w:tcPr>
          <w:p w14:paraId="27D17B6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IBC Dummy (FY2017 onward)</w:t>
            </w:r>
          </w:p>
        </w:tc>
        <w:tc>
          <w:tcPr>
            <w:tcW w:w="1600" w:type="dxa"/>
          </w:tcPr>
          <w:p w14:paraId="2A772D0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−0.7488</w:t>
            </w:r>
          </w:p>
        </w:tc>
        <w:tc>
          <w:tcPr>
            <w:tcW w:w="1500" w:type="dxa"/>
          </w:tcPr>
          <w:p w14:paraId="39082C6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(0.5806)</w:t>
            </w:r>
          </w:p>
        </w:tc>
        <w:tc>
          <w:tcPr>
            <w:tcW w:w="1300" w:type="dxa"/>
          </w:tcPr>
          <w:p w14:paraId="099B6B38"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−1.290</w:t>
            </w:r>
          </w:p>
        </w:tc>
        <w:tc>
          <w:tcPr>
            <w:tcW w:w="1560" w:type="dxa"/>
          </w:tcPr>
          <w:p w14:paraId="2A6CFEFD" w14:textId="77777777" w:rsidR="00604563" w:rsidRPr="00E0135B" w:rsidRDefault="002143D7" w:rsidP="003D59BE">
            <w:pPr>
              <w:spacing w:line="360" w:lineRule="auto"/>
              <w:rPr>
                <w:rFonts w:ascii="Times New Roman" w:hAnsi="Times New Roman" w:cs="Times New Roman"/>
                <w:color w:val="auto"/>
                <w:sz w:val="24"/>
                <w:szCs w:val="24"/>
              </w:rPr>
            </w:pPr>
            <w:proofErr w:type="spellStart"/>
            <w:r w:rsidRPr="00E0135B">
              <w:rPr>
                <w:rFonts w:ascii="Times New Roman" w:hAnsi="Times New Roman" w:cs="Times New Roman"/>
                <w:color w:val="auto"/>
              </w:rPr>
              <w:t>n.s</w:t>
            </w:r>
            <w:proofErr w:type="spellEnd"/>
            <w:r w:rsidRPr="00E0135B">
              <w:rPr>
                <w:rFonts w:ascii="Times New Roman" w:hAnsi="Times New Roman" w:cs="Times New Roman"/>
                <w:color w:val="auto"/>
              </w:rPr>
              <w:t>.</w:t>
            </w:r>
          </w:p>
        </w:tc>
      </w:tr>
      <w:tr w:rsidR="009E6423" w:rsidRPr="00E0135B" w14:paraId="75B7DB3F" w14:textId="77777777" w:rsidTr="006C18B6">
        <w:tc>
          <w:tcPr>
            <w:tcW w:w="2800" w:type="dxa"/>
          </w:tcPr>
          <w:p w14:paraId="4C4477D7"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NPA Forbearance Dummy (FY2021)</w:t>
            </w:r>
          </w:p>
        </w:tc>
        <w:tc>
          <w:tcPr>
            <w:tcW w:w="1600" w:type="dxa"/>
          </w:tcPr>
          <w:p w14:paraId="79B643C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−0.6038</w:t>
            </w:r>
          </w:p>
        </w:tc>
        <w:tc>
          <w:tcPr>
            <w:tcW w:w="1500" w:type="dxa"/>
          </w:tcPr>
          <w:p w14:paraId="6054015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(0.7546)</w:t>
            </w:r>
          </w:p>
        </w:tc>
        <w:tc>
          <w:tcPr>
            <w:tcW w:w="1300" w:type="dxa"/>
          </w:tcPr>
          <w:p w14:paraId="11C52A3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−0.800</w:t>
            </w:r>
          </w:p>
        </w:tc>
        <w:tc>
          <w:tcPr>
            <w:tcW w:w="1560" w:type="dxa"/>
          </w:tcPr>
          <w:p w14:paraId="53F19397" w14:textId="77777777" w:rsidR="00604563" w:rsidRPr="00E0135B" w:rsidRDefault="002143D7" w:rsidP="003D59BE">
            <w:pPr>
              <w:spacing w:line="360" w:lineRule="auto"/>
              <w:rPr>
                <w:rFonts w:ascii="Times New Roman" w:hAnsi="Times New Roman" w:cs="Times New Roman"/>
                <w:color w:val="auto"/>
                <w:sz w:val="24"/>
                <w:szCs w:val="24"/>
              </w:rPr>
            </w:pPr>
            <w:proofErr w:type="spellStart"/>
            <w:r w:rsidRPr="00E0135B">
              <w:rPr>
                <w:rFonts w:ascii="Times New Roman" w:hAnsi="Times New Roman" w:cs="Times New Roman"/>
                <w:color w:val="auto"/>
              </w:rPr>
              <w:t>n.s</w:t>
            </w:r>
            <w:proofErr w:type="spellEnd"/>
            <w:r w:rsidRPr="00E0135B">
              <w:rPr>
                <w:rFonts w:ascii="Times New Roman" w:hAnsi="Times New Roman" w:cs="Times New Roman"/>
                <w:color w:val="auto"/>
              </w:rPr>
              <w:t>.</w:t>
            </w:r>
          </w:p>
        </w:tc>
      </w:tr>
    </w:tbl>
    <w:p w14:paraId="29630676" w14:textId="77777777" w:rsidR="00604563" w:rsidRPr="00E0135B" w:rsidRDefault="002143D7" w:rsidP="003D59BE">
      <w:pPr>
        <w:spacing w:before="80" w:after="200"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Notes: n=1,080 | PCA events=40 | AUC=0.9897 | McFadden R²=0.7022 | FY2008–2024. Sandwich standard errors in parentheses. *** p&lt;0.001, ** p&lt;0.05, * p&lt;0.10. Highlighted rows indicate significance at the 5% level. Repo Rate excluded due to multicollinearity; COVID/Moratorium replaced by single Forbearance dummy.</w:t>
      </w:r>
    </w:p>
    <w:p w14:paraId="05459A0F" w14:textId="0D784AE8" w:rsidR="006B71D2" w:rsidRPr="00E0135B" w:rsidRDefault="006B71D2"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Six predictors are statistically significant on the conventional levels. The one-year lagged coefficient of Capital Ratio (</w:t>
      </w:r>
      <w:proofErr w:type="spellStart"/>
      <w:proofErr w:type="gramStart"/>
      <w:r w:rsidRPr="00E0135B">
        <w:rPr>
          <w:rFonts w:ascii="Times New Roman" w:hAnsi="Times New Roman" w:cs="Times New Roman"/>
          <w:color w:val="auto"/>
          <w:sz w:val="24"/>
          <w:szCs w:val="24"/>
        </w:rPr>
        <w:t>CRAR,b</w:t>
      </w:r>
      <w:proofErr w:type="spellEnd"/>
      <w:proofErr w:type="gramEnd"/>
      <w:r w:rsidRPr="00E0135B">
        <w:rPr>
          <w:rFonts w:ascii="Times New Roman" w:hAnsi="Times New Roman" w:cs="Times New Roman"/>
          <w:color w:val="auto"/>
          <w:sz w:val="24"/>
          <w:szCs w:val="24"/>
        </w:rPr>
        <w:t>=0.</w:t>
      </w:r>
      <w:proofErr w:type="gramStart"/>
      <w:r w:rsidRPr="00E0135B">
        <w:rPr>
          <w:rFonts w:ascii="Times New Roman" w:hAnsi="Times New Roman" w:cs="Times New Roman"/>
          <w:color w:val="auto"/>
          <w:sz w:val="24"/>
          <w:szCs w:val="24"/>
        </w:rPr>
        <w:t>317,p</w:t>
      </w:r>
      <w:proofErr w:type="gramEnd"/>
      <w:r w:rsidRPr="00E0135B">
        <w:rPr>
          <w:rFonts w:ascii="Times New Roman" w:hAnsi="Times New Roman" w:cs="Times New Roman"/>
          <w:color w:val="auto"/>
          <w:sz w:val="24"/>
          <w:szCs w:val="24"/>
        </w:rPr>
        <w:t xml:space="preserve">=0.001) is negative and quite large which supports Hypothesis 1 that the worsening of capital adequacy is the key leading indicator of PCA placement. The size of this effect suggests that a bank with a decrease in CRAR by 12-percent to 9-percent as happened in a number of </w:t>
      </w:r>
      <w:proofErr w:type="spellStart"/>
      <w:r w:rsidRPr="00E0135B">
        <w:rPr>
          <w:rFonts w:ascii="Times New Roman" w:hAnsi="Times New Roman" w:cs="Times New Roman"/>
          <w:color w:val="auto"/>
          <w:sz w:val="24"/>
          <w:szCs w:val="24"/>
        </w:rPr>
        <w:t>nationalised</w:t>
      </w:r>
      <w:proofErr w:type="spellEnd"/>
      <w:r w:rsidRPr="00E0135B">
        <w:rPr>
          <w:rFonts w:ascii="Times New Roman" w:hAnsi="Times New Roman" w:cs="Times New Roman"/>
          <w:color w:val="auto"/>
          <w:sz w:val="24"/>
          <w:szCs w:val="24"/>
        </w:rPr>
        <w:t xml:space="preserve"> banks in FY2015-FY2018 increases the absolute likelihood of a PCA violation by 2.5-percentage-points, as the marginal effects below would predict.</w:t>
      </w:r>
    </w:p>
    <w:p w14:paraId="132FF1CA" w14:textId="036B3905" w:rsidR="006B71D2" w:rsidRPr="00E0135B" w:rsidRDefault="006B71D2"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The Hypothesis 2 is confirmed by a positive and statistically significant Gross Non-Performing Asset (GNPA) Long-run change at a lag of 1-year (b = 0.125, p = 0.01). The value and direction of this coefficient are in line with the net NPA cut-off by the reserve bank of India since GNPA and Net NPA (NNPA) have a high correlation (r is normally above 0.95).</w:t>
      </w:r>
    </w:p>
    <w:p w14:paraId="22E56FA9" w14:textId="5E032903" w:rsidR="006B71D2" w:rsidRPr="00E0135B" w:rsidRDefault="006B71D2"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The coefficient of structural inequality in the governance, directed credit requirement, and dependence on capital infusion (b = 1.615, p = &lt;0.05) is the largest in the regression model. The 40 breaches of PCA in the data are all based on institutions of the public sector.</w:t>
      </w:r>
    </w:p>
    <w:p w14:paraId="38D6BC37" w14:textId="6EAF0D4B" w:rsidR="006B71D2" w:rsidRPr="00E0135B" w:rsidRDefault="006B71D2"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Three additional predictors become statistically significant adjusting by the multicollinearity that the introduction of the repo rate added to the first specification. The </w:t>
      </w:r>
      <w:proofErr w:type="gramStart"/>
      <w:r w:rsidRPr="00E0135B">
        <w:rPr>
          <w:rFonts w:ascii="Times New Roman" w:hAnsi="Times New Roman" w:cs="Times New Roman"/>
          <w:color w:val="auto"/>
          <w:sz w:val="24"/>
          <w:szCs w:val="24"/>
        </w:rPr>
        <w:t>one year</w:t>
      </w:r>
      <w:proofErr w:type="gramEnd"/>
      <w:r w:rsidRPr="00E0135B">
        <w:rPr>
          <w:rFonts w:ascii="Times New Roman" w:hAnsi="Times New Roman" w:cs="Times New Roman"/>
          <w:color w:val="auto"/>
          <w:sz w:val="24"/>
          <w:szCs w:val="24"/>
        </w:rPr>
        <w:t xml:space="preserve"> lagged credit growth (-0.039, p -0.05) has negative value, which is itself somewhat counterintuitive in the beginnings of the analysis - higher credit growth in the past is associated with a lower breach probability in the raw coefficient. This coefficient can be explained by the table of average marginal effects </w:t>
      </w:r>
      <w:r w:rsidRPr="00E0135B">
        <w:rPr>
          <w:rFonts w:ascii="Times New Roman" w:hAnsi="Times New Roman" w:cs="Times New Roman"/>
          <w:color w:val="auto"/>
          <w:sz w:val="24"/>
          <w:szCs w:val="24"/>
        </w:rPr>
        <w:lastRenderedPageBreak/>
        <w:t>showing that this regulatory constraint on lending which follows 0PCA placement (banks placed under PCA cannot increase credit) creates a mechanical negative association between lagged credit growth and the presence of PCA at the time.</w:t>
      </w:r>
    </w:p>
    <w:p w14:paraId="018B369E" w14:textId="4D768741" w:rsidR="006B71D2" w:rsidRPr="00E0135B" w:rsidRDefault="006B71D2"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The growth of GDP (b =0.092, p =&lt;0.05) is positive and statistically significant, a phenomenon that indicates PCA placements were niche in the post boom after the FY2011-FY2014 credit boom, an economic development environment with a lag structure of more than a year. The PCA Revision17 dummy (b = 1.193 p less than 0.05) is positive and significant as well, which supported the fact that the April 2017 revision of the framework detected previously unknown distress instead of preventing the occurrence of future breaches (which support the mass placement of eleven banks under PCA between May and December 2017).</w:t>
      </w:r>
    </w:p>
    <w:p w14:paraId="2011EE8C" w14:textId="5262BC53" w:rsidR="0079158B" w:rsidRPr="00E0135B" w:rsidRDefault="006B71D2"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Other 6 predictors, Return on Assets (ROA), the cost-income ratio, the logarithm of assets, the Consumer Price Index (CPI) inflation, </w:t>
      </w:r>
      <w:proofErr w:type="spellStart"/>
      <w:r w:rsidRPr="00E0135B">
        <w:rPr>
          <w:rFonts w:ascii="Times New Roman" w:hAnsi="Times New Roman" w:cs="Times New Roman"/>
          <w:color w:val="auto"/>
          <w:sz w:val="24"/>
          <w:szCs w:val="24"/>
        </w:rPr>
        <w:t>IndustryBased</w:t>
      </w:r>
      <w:proofErr w:type="spellEnd"/>
      <w:r w:rsidRPr="00E0135B">
        <w:rPr>
          <w:rFonts w:ascii="Times New Roman" w:hAnsi="Times New Roman" w:cs="Times New Roman"/>
          <w:color w:val="auto"/>
          <w:sz w:val="24"/>
          <w:szCs w:val="24"/>
        </w:rPr>
        <w:t xml:space="preserve"> Classification (IBC) dummy, and Forbearance dummy, are not significant at conventional levels, the reason being, as it has been discussed in Section 5.3.</w:t>
      </w:r>
    </w:p>
    <w:p w14:paraId="52AA2558"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5.2 Average Marginal Effects</w:t>
      </w:r>
    </w:p>
    <w:p w14:paraId="6467879E"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Table 4 reports the Average Marginal Effects for all predictors in the base specification. The two largest effects in absolute terms are the PSB dummy (+4.17 percentage points) and the PCA Revision 2017 dummy (+3.08 percentage points). Among continuous predictors, CRAR has the largest AME (−0.82 pp per 1 pp rise), followed by CPI inflation (−0.75 pp per 1 pp rise, though CPI is insignificant in M1). GNPA has a modest AME of +0.32 pp per 1 pp rise in isolation, but it is the cumulative deterioration over multiple years that drives risk — a bank whose GNPA ratio rises from 5% to 15% over three years accumulates approximately 3.2 percentage points of additional breach probability from GNPA alone.</w:t>
      </w:r>
    </w:p>
    <w:p w14:paraId="617767AA" w14:textId="43772140" w:rsidR="00134A57" w:rsidRPr="00E0135B" w:rsidRDefault="00134A57" w:rsidP="003D59BE">
      <w:pPr>
        <w:spacing w:line="360" w:lineRule="auto"/>
        <w:rPr>
          <w:rFonts w:ascii="Times New Roman" w:hAnsi="Times New Roman" w:cs="Times New Roman"/>
          <w:color w:val="auto"/>
          <w:sz w:val="24"/>
          <w:szCs w:val="24"/>
        </w:rPr>
      </w:pPr>
    </w:p>
    <w:p w14:paraId="653887B4" w14:textId="77777777" w:rsidR="00604563" w:rsidRPr="00E0135B" w:rsidRDefault="002143D7" w:rsidP="003D59BE">
      <w:pPr>
        <w:spacing w:after="80" w:line="360" w:lineRule="auto"/>
        <w:rPr>
          <w:rFonts w:ascii="Times New Roman" w:hAnsi="Times New Roman" w:cs="Times New Roman"/>
          <w:color w:val="auto"/>
          <w:sz w:val="24"/>
          <w:szCs w:val="24"/>
        </w:rPr>
      </w:pPr>
      <w:r w:rsidRPr="00E0135B">
        <w:rPr>
          <w:rFonts w:ascii="Times New Roman" w:hAnsi="Times New Roman" w:cs="Times New Roman"/>
          <w:b/>
          <w:bCs/>
          <w:color w:val="auto"/>
        </w:rPr>
        <w:t>Table 4: Average Marginal Effects — Base Specification M1</w:t>
      </w:r>
    </w:p>
    <w:tbl>
      <w:tblPr>
        <w:tblStyle w:val="TableGrid"/>
        <w:tblW w:w="8760" w:type="dxa"/>
        <w:tblLook w:val="04A0" w:firstRow="1" w:lastRow="0" w:firstColumn="1" w:lastColumn="0" w:noHBand="0" w:noVBand="1"/>
      </w:tblPr>
      <w:tblGrid>
        <w:gridCol w:w="2600"/>
        <w:gridCol w:w="1400"/>
        <w:gridCol w:w="4760"/>
      </w:tblGrid>
      <w:tr w:rsidR="009E6423" w:rsidRPr="00E0135B" w14:paraId="061D90E0" w14:textId="77777777" w:rsidTr="006C18B6">
        <w:tc>
          <w:tcPr>
            <w:tcW w:w="2600" w:type="dxa"/>
          </w:tcPr>
          <w:p w14:paraId="44BAEC51"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Variable</w:t>
            </w:r>
          </w:p>
        </w:tc>
        <w:tc>
          <w:tcPr>
            <w:tcW w:w="1400" w:type="dxa"/>
          </w:tcPr>
          <w:p w14:paraId="5208B6CB"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AME (</w:t>
            </w:r>
            <w:proofErr w:type="spellStart"/>
            <w:r w:rsidRPr="00E0135B">
              <w:rPr>
                <w:rFonts w:ascii="Times New Roman" w:hAnsi="Times New Roman" w:cs="Times New Roman"/>
                <w:b/>
                <w:bCs/>
                <w:color w:val="auto"/>
              </w:rPr>
              <w:t>dy</w:t>
            </w:r>
            <w:proofErr w:type="spellEnd"/>
            <w:r w:rsidRPr="00E0135B">
              <w:rPr>
                <w:rFonts w:ascii="Times New Roman" w:hAnsi="Times New Roman" w:cs="Times New Roman"/>
                <w:b/>
                <w:bCs/>
                <w:color w:val="auto"/>
              </w:rPr>
              <w:t>/dx)</w:t>
            </w:r>
          </w:p>
        </w:tc>
        <w:tc>
          <w:tcPr>
            <w:tcW w:w="4760" w:type="dxa"/>
          </w:tcPr>
          <w:p w14:paraId="33595BA5"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Economic Interpretation</w:t>
            </w:r>
          </w:p>
        </w:tc>
      </w:tr>
      <w:tr w:rsidR="009E6423" w:rsidRPr="00E0135B" w14:paraId="57DB9ADD" w14:textId="77777777" w:rsidTr="006C18B6">
        <w:tc>
          <w:tcPr>
            <w:tcW w:w="2600" w:type="dxa"/>
          </w:tcPr>
          <w:p w14:paraId="374BA33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CRAR, Total % (t-1)</w:t>
            </w:r>
          </w:p>
        </w:tc>
        <w:tc>
          <w:tcPr>
            <w:tcW w:w="1400" w:type="dxa"/>
          </w:tcPr>
          <w:p w14:paraId="6BC22809"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rPr>
              <w:t>−0.0082</w:t>
            </w:r>
          </w:p>
        </w:tc>
        <w:tc>
          <w:tcPr>
            <w:tcW w:w="4760" w:type="dxa"/>
          </w:tcPr>
          <w:p w14:paraId="1286C90C"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Each 1pp rise in CRAR reduces P(PCA) by 0.82pp on average</w:t>
            </w:r>
          </w:p>
        </w:tc>
      </w:tr>
      <w:tr w:rsidR="009E6423" w:rsidRPr="00E0135B" w14:paraId="5F7531E4" w14:textId="77777777" w:rsidTr="006C18B6">
        <w:tc>
          <w:tcPr>
            <w:tcW w:w="2600" w:type="dxa"/>
          </w:tcPr>
          <w:p w14:paraId="1ED0F16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lastRenderedPageBreak/>
              <w:t>GNPA Ratio % (t-1)</w:t>
            </w:r>
          </w:p>
        </w:tc>
        <w:tc>
          <w:tcPr>
            <w:tcW w:w="1400" w:type="dxa"/>
          </w:tcPr>
          <w:p w14:paraId="50C972C0"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rPr>
              <w:t>+0.0032</w:t>
            </w:r>
          </w:p>
        </w:tc>
        <w:tc>
          <w:tcPr>
            <w:tcW w:w="4760" w:type="dxa"/>
          </w:tcPr>
          <w:p w14:paraId="5B441F64"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Each 1pp rise in GNPA ratio raises P(PCA) by 0.32pp</w:t>
            </w:r>
          </w:p>
        </w:tc>
      </w:tr>
      <w:tr w:rsidR="009E6423" w:rsidRPr="00E0135B" w14:paraId="7A43C792" w14:textId="77777777" w:rsidTr="006C18B6">
        <w:tc>
          <w:tcPr>
            <w:tcW w:w="2600" w:type="dxa"/>
          </w:tcPr>
          <w:p w14:paraId="2E07ED9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Credit Growth % (t-1)</w:t>
            </w:r>
          </w:p>
        </w:tc>
        <w:tc>
          <w:tcPr>
            <w:tcW w:w="1400" w:type="dxa"/>
          </w:tcPr>
          <w:p w14:paraId="01338E8F"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rPr>
              <w:t>−0.0010</w:t>
            </w:r>
          </w:p>
        </w:tc>
        <w:tc>
          <w:tcPr>
            <w:tcW w:w="4760" w:type="dxa"/>
          </w:tcPr>
          <w:p w14:paraId="31F0B45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Prior credit growth reduces PCA risk; reflects regulatory shrinkage</w:t>
            </w:r>
          </w:p>
        </w:tc>
      </w:tr>
      <w:tr w:rsidR="009E6423" w:rsidRPr="00E0135B" w14:paraId="120465D3" w14:textId="77777777" w:rsidTr="006C18B6">
        <w:tc>
          <w:tcPr>
            <w:tcW w:w="2600" w:type="dxa"/>
          </w:tcPr>
          <w:p w14:paraId="154C2071"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GDP Growth %</w:t>
            </w:r>
          </w:p>
        </w:tc>
        <w:tc>
          <w:tcPr>
            <w:tcW w:w="1400" w:type="dxa"/>
          </w:tcPr>
          <w:p w14:paraId="24855C9B"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rPr>
              <w:t>+0.0024</w:t>
            </w:r>
          </w:p>
        </w:tc>
        <w:tc>
          <w:tcPr>
            <w:tcW w:w="4760" w:type="dxa"/>
          </w:tcPr>
          <w:p w14:paraId="2B3E59B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Positive sign reflects post-boom lag — PCA placements concentrated after FY2011–14 expansion</w:t>
            </w:r>
          </w:p>
        </w:tc>
      </w:tr>
      <w:tr w:rsidR="009E6423" w:rsidRPr="00E0135B" w14:paraId="773C6D2D" w14:textId="77777777" w:rsidTr="006C18B6">
        <w:tc>
          <w:tcPr>
            <w:tcW w:w="2600" w:type="dxa"/>
          </w:tcPr>
          <w:p w14:paraId="4DC306C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PSB Dummy</w:t>
            </w:r>
          </w:p>
        </w:tc>
        <w:tc>
          <w:tcPr>
            <w:tcW w:w="1400" w:type="dxa"/>
          </w:tcPr>
          <w:p w14:paraId="4DE8B453"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rPr>
              <w:t>+0.0417</w:t>
            </w:r>
          </w:p>
        </w:tc>
        <w:tc>
          <w:tcPr>
            <w:tcW w:w="4760" w:type="dxa"/>
          </w:tcPr>
          <w:p w14:paraId="735AA36C"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PSBs face 4.17pp higher absolute PCA probability than comparable private banks</w:t>
            </w:r>
          </w:p>
        </w:tc>
      </w:tr>
      <w:tr w:rsidR="009E6423" w:rsidRPr="00E0135B" w14:paraId="11F97171" w14:textId="77777777" w:rsidTr="006C18B6">
        <w:tc>
          <w:tcPr>
            <w:tcW w:w="2600" w:type="dxa"/>
          </w:tcPr>
          <w:p w14:paraId="64355CC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PCA Revision 2017 Dummy</w:t>
            </w:r>
          </w:p>
        </w:tc>
        <w:tc>
          <w:tcPr>
            <w:tcW w:w="1400" w:type="dxa"/>
          </w:tcPr>
          <w:p w14:paraId="6E35C4EA"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color w:val="auto"/>
              </w:rPr>
              <w:t>+0.0308</w:t>
            </w:r>
          </w:p>
        </w:tc>
        <w:tc>
          <w:tcPr>
            <w:tcW w:w="4760" w:type="dxa"/>
          </w:tcPr>
          <w:p w14:paraId="1FD037C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Post-2017: 3.1pp higher breach probability — framework identified hidden distress</w:t>
            </w:r>
          </w:p>
        </w:tc>
      </w:tr>
    </w:tbl>
    <w:p w14:paraId="2981B7D8" w14:textId="77777777" w:rsidR="00604563" w:rsidRPr="00E0135B" w:rsidRDefault="002143D7" w:rsidP="003D59BE">
      <w:pPr>
        <w:spacing w:before="80" w:after="200"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Notes: AME = average change in P(PCA=1) for a one-unit increase in each predictor, evaluated at observed covariate values. Positive values (blue) increase PCA risk; negative values (red) reduce PCA risk.</w:t>
      </w:r>
    </w:p>
    <w:p w14:paraId="7076B15B"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5.3 Discussion of Insignificant Predictors</w:t>
      </w:r>
    </w:p>
    <w:p w14:paraId="147EF2BD"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ROA (p = 0.54) is insignificant despite carrying the expected positive sign and despite being a formal PCA trigger. This result is entirely consistent with the collinearity between ROA and CRAR: persistent losses erode capital, so once CRAR is controlled for, ROA carries little independent information. This interpretation is confirmed by Model M3, which excludes ROA and produces an almost identical AUC (0.9898 vs. 0.9897) with unchanged coefficients on all other predictors.</w:t>
      </w:r>
    </w:p>
    <w:p w14:paraId="6532E7BE"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The cost-income ratio (p = 0.13) is consistently insignificant across all specifications. The most likely explanation is that foreign banks — which have very high cost-income ratios due to their low balance-sheet scale relative to operating costs, but near-zero PCA probability — dilute the signal in the full sample. The log assets variable is consistently negative across all specifications but not significant in the full sample; it approaches significance in the PSB subsample (M4), suggesting a size effect operates within the public sector.</w:t>
      </w:r>
    </w:p>
    <w:p w14:paraId="6CF14EDE" w14:textId="3BBBD2FF" w:rsidR="00134A57"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The policy dummies for IBC and the Forbearance period are insignificant in full-sample specifications but achieve marginal significance in the PSB-only subsample (M4). This suggests insolvency resolution and regulatory forbearance had differential impacts on public sector bank </w:t>
      </w:r>
      <w:r w:rsidRPr="00E0135B">
        <w:rPr>
          <w:rFonts w:ascii="Times New Roman" w:hAnsi="Times New Roman" w:cs="Times New Roman"/>
          <w:color w:val="auto"/>
          <w:sz w:val="24"/>
          <w:szCs w:val="24"/>
        </w:rPr>
        <w:lastRenderedPageBreak/>
        <w:t>distress that are not detectable when private and foreign banks — which were largely unaffected by these policies in the PCA context — are included in the sample.</w:t>
      </w:r>
    </w:p>
    <w:p w14:paraId="006B9B9B"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5.4 Predictive Performance Across Specifications</w:t>
      </w:r>
    </w:p>
    <w:p w14:paraId="3B3D2DA6" w14:textId="268E5F0D" w:rsidR="00AD2B0C"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Table 5 compares AUC values across all four full-result specifications. The exceptional stability of AUC across specifications — ranging only from 0.9876 to 0.9898 — confirms that the model's predictive power is not an artefact of a particular set of predictors but rather a genuine feature of the underlying data generating process. CRAR and GNPA jointly identify distressed banks with near-perfect discrimination because they are the very metrics the RBI uses to define PCA triggers.</w:t>
      </w:r>
    </w:p>
    <w:p w14:paraId="5231293D" w14:textId="704271B8" w:rsidR="00604563" w:rsidRPr="00E0135B" w:rsidRDefault="00AD2B0C"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br w:type="page"/>
      </w:r>
      <w:r w:rsidR="002143D7" w:rsidRPr="00E0135B">
        <w:rPr>
          <w:rFonts w:ascii="Times New Roman" w:hAnsi="Times New Roman" w:cs="Times New Roman"/>
          <w:b/>
          <w:bCs/>
          <w:color w:val="auto"/>
        </w:rPr>
        <w:lastRenderedPageBreak/>
        <w:t>Table 5: AUC Comparison Across Specifications</w:t>
      </w:r>
    </w:p>
    <w:tbl>
      <w:tblPr>
        <w:tblStyle w:val="TableGrid"/>
        <w:tblW w:w="8760" w:type="dxa"/>
        <w:tblLook w:val="04A0" w:firstRow="1" w:lastRow="0" w:firstColumn="1" w:lastColumn="0" w:noHBand="0" w:noVBand="1"/>
      </w:tblPr>
      <w:tblGrid>
        <w:gridCol w:w="1500"/>
        <w:gridCol w:w="2500"/>
        <w:gridCol w:w="1500"/>
        <w:gridCol w:w="3260"/>
      </w:tblGrid>
      <w:tr w:rsidR="009E6423" w:rsidRPr="00E0135B" w14:paraId="3BF7BB1D" w14:textId="77777777" w:rsidTr="006C18B6">
        <w:tc>
          <w:tcPr>
            <w:tcW w:w="1500" w:type="dxa"/>
          </w:tcPr>
          <w:p w14:paraId="4307F6C8"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Specification</w:t>
            </w:r>
          </w:p>
        </w:tc>
        <w:tc>
          <w:tcPr>
            <w:tcW w:w="2500" w:type="dxa"/>
          </w:tcPr>
          <w:p w14:paraId="23932688"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Description</w:t>
            </w:r>
          </w:p>
        </w:tc>
        <w:tc>
          <w:tcPr>
            <w:tcW w:w="1500" w:type="dxa"/>
          </w:tcPr>
          <w:p w14:paraId="5F39FB02"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AUC</w:t>
            </w:r>
          </w:p>
        </w:tc>
        <w:tc>
          <w:tcPr>
            <w:tcW w:w="3260" w:type="dxa"/>
          </w:tcPr>
          <w:p w14:paraId="4E5F6021"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Key Feature</w:t>
            </w:r>
          </w:p>
        </w:tc>
      </w:tr>
      <w:tr w:rsidR="009E6423" w:rsidRPr="00E0135B" w14:paraId="136B0930" w14:textId="77777777" w:rsidTr="006C18B6">
        <w:tc>
          <w:tcPr>
            <w:tcW w:w="1500" w:type="dxa"/>
          </w:tcPr>
          <w:p w14:paraId="29D21B4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M1 (Base)</w:t>
            </w:r>
          </w:p>
        </w:tc>
        <w:tc>
          <w:tcPr>
            <w:tcW w:w="2500" w:type="dxa"/>
          </w:tcPr>
          <w:p w14:paraId="7C6E5C0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Full model with sandwich SE</w:t>
            </w:r>
          </w:p>
        </w:tc>
        <w:tc>
          <w:tcPr>
            <w:tcW w:w="1500" w:type="dxa"/>
          </w:tcPr>
          <w:p w14:paraId="30CD201B"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rPr>
              <w:t>0.9897</w:t>
            </w:r>
          </w:p>
        </w:tc>
        <w:tc>
          <w:tcPr>
            <w:tcW w:w="3260" w:type="dxa"/>
          </w:tcPr>
          <w:p w14:paraId="4855820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6 significant predictors</w:t>
            </w:r>
          </w:p>
        </w:tc>
      </w:tr>
      <w:tr w:rsidR="009E6423" w:rsidRPr="00E0135B" w14:paraId="5C1DEE31" w14:textId="77777777" w:rsidTr="006C18B6">
        <w:tc>
          <w:tcPr>
            <w:tcW w:w="1500" w:type="dxa"/>
          </w:tcPr>
          <w:p w14:paraId="0C4C2F7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M3 (−ROA)</w:t>
            </w:r>
          </w:p>
        </w:tc>
        <w:tc>
          <w:tcPr>
            <w:tcW w:w="2500" w:type="dxa"/>
          </w:tcPr>
          <w:p w14:paraId="61C57E1C"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ROA excluded to test collinearity</w:t>
            </w:r>
          </w:p>
        </w:tc>
        <w:tc>
          <w:tcPr>
            <w:tcW w:w="1500" w:type="dxa"/>
          </w:tcPr>
          <w:p w14:paraId="7083D382"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rPr>
              <w:t>0.9898</w:t>
            </w:r>
          </w:p>
        </w:tc>
        <w:tc>
          <w:tcPr>
            <w:tcW w:w="3260" w:type="dxa"/>
          </w:tcPr>
          <w:p w14:paraId="0C560C2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Virtually identical to M1 — ROA confirmed redundant</w:t>
            </w:r>
          </w:p>
        </w:tc>
      </w:tr>
      <w:tr w:rsidR="009E6423" w:rsidRPr="00E0135B" w14:paraId="308AB519" w14:textId="77777777" w:rsidTr="006C18B6">
        <w:tc>
          <w:tcPr>
            <w:tcW w:w="1500" w:type="dxa"/>
          </w:tcPr>
          <w:p w14:paraId="0347B17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M4 (PSB only)</w:t>
            </w:r>
          </w:p>
        </w:tc>
        <w:tc>
          <w:tcPr>
            <w:tcW w:w="2500" w:type="dxa"/>
          </w:tcPr>
          <w:p w14:paraId="706F9F4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Public sector banks subsample</w:t>
            </w:r>
          </w:p>
        </w:tc>
        <w:tc>
          <w:tcPr>
            <w:tcW w:w="1500" w:type="dxa"/>
          </w:tcPr>
          <w:p w14:paraId="053F7053"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rPr>
              <w:t>0.9884</w:t>
            </w:r>
          </w:p>
        </w:tc>
        <w:tc>
          <w:tcPr>
            <w:tcW w:w="3260" w:type="dxa"/>
          </w:tcPr>
          <w:p w14:paraId="6DC4C371"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GDP &amp; IBC newly significant; CRAR/GNPA effects double</w:t>
            </w:r>
          </w:p>
        </w:tc>
      </w:tr>
      <w:tr w:rsidR="009E6423" w:rsidRPr="00E0135B" w14:paraId="4265F037" w14:textId="77777777" w:rsidTr="006C18B6">
        <w:tc>
          <w:tcPr>
            <w:tcW w:w="1500" w:type="dxa"/>
          </w:tcPr>
          <w:p w14:paraId="54523B0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M5 (Tier1)</w:t>
            </w:r>
          </w:p>
        </w:tc>
        <w:tc>
          <w:tcPr>
            <w:tcW w:w="2500" w:type="dxa"/>
          </w:tcPr>
          <w:p w14:paraId="71B039B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Tier 1 CRAR replaces Total CRAR</w:t>
            </w:r>
          </w:p>
        </w:tc>
        <w:tc>
          <w:tcPr>
            <w:tcW w:w="1500" w:type="dxa"/>
          </w:tcPr>
          <w:p w14:paraId="10A1F839" w14:textId="77777777" w:rsidR="00604563" w:rsidRPr="00E0135B" w:rsidRDefault="002143D7" w:rsidP="003D59BE">
            <w:pPr>
              <w:spacing w:line="360" w:lineRule="auto"/>
              <w:jc w:val="center"/>
              <w:rPr>
                <w:rFonts w:ascii="Times New Roman" w:hAnsi="Times New Roman" w:cs="Times New Roman"/>
                <w:color w:val="auto"/>
                <w:sz w:val="24"/>
                <w:szCs w:val="24"/>
              </w:rPr>
            </w:pPr>
            <w:r w:rsidRPr="00E0135B">
              <w:rPr>
                <w:rFonts w:ascii="Times New Roman" w:hAnsi="Times New Roman" w:cs="Times New Roman"/>
                <w:b/>
                <w:bCs/>
                <w:color w:val="auto"/>
              </w:rPr>
              <w:t>0.9876</w:t>
            </w:r>
          </w:p>
        </w:tc>
        <w:tc>
          <w:tcPr>
            <w:tcW w:w="3260" w:type="dxa"/>
          </w:tcPr>
          <w:p w14:paraId="30BC49B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rPr>
              <w:t>CPI becomes significant; core capital result confirmed</w:t>
            </w:r>
          </w:p>
        </w:tc>
      </w:tr>
    </w:tbl>
    <w:p w14:paraId="5BBD40ED" w14:textId="77777777" w:rsidR="00604563" w:rsidRPr="00E0135B" w:rsidRDefault="002143D7" w:rsidP="003D59BE">
      <w:pPr>
        <w:spacing w:before="80" w:after="200"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Note: All specifications estimated on n=1,080 observations except M4 (PSB subsample: n=333).</w:t>
      </w:r>
    </w:p>
    <w:p w14:paraId="0670A0DD" w14:textId="77777777" w:rsidR="00604563" w:rsidRPr="00E0135B" w:rsidRDefault="002143D7" w:rsidP="003D59BE">
      <w:pPr>
        <w:pStyle w:val="Heading1"/>
        <w:pBdr>
          <w:bottom w:val="single" w:sz="6" w:space="4" w:color="2E75B6"/>
        </w:pBdr>
        <w:spacing w:line="360" w:lineRule="auto"/>
        <w:rPr>
          <w:rFonts w:ascii="Times New Roman" w:hAnsi="Times New Roman" w:cs="Times New Roman"/>
          <w:color w:val="auto"/>
          <w:sz w:val="32"/>
          <w:szCs w:val="32"/>
        </w:rPr>
      </w:pPr>
      <w:r w:rsidRPr="00E0135B">
        <w:rPr>
          <w:rFonts w:ascii="Times New Roman" w:hAnsi="Times New Roman" w:cs="Times New Roman"/>
          <w:color w:val="auto"/>
          <w:sz w:val="32"/>
          <w:szCs w:val="32"/>
        </w:rPr>
        <w:t>6. Robustness Analysis</w:t>
      </w:r>
    </w:p>
    <w:p w14:paraId="29D7ECD1"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6.1 Cross-Specification Coefficient Stability</w:t>
      </w:r>
    </w:p>
    <w:p w14:paraId="69D336B1" w14:textId="2675580A" w:rsidR="008D14ED"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Table 6 reports coefficients and significance levels for the </w:t>
      </w:r>
      <w:r w:rsidR="001933CE" w:rsidRPr="00E0135B">
        <w:rPr>
          <w:rFonts w:ascii="Times New Roman" w:hAnsi="Times New Roman" w:cs="Times New Roman"/>
          <w:color w:val="auto"/>
          <w:sz w:val="24"/>
          <w:szCs w:val="24"/>
        </w:rPr>
        <w:t>6</w:t>
      </w:r>
      <w:r w:rsidRPr="00E0135B">
        <w:rPr>
          <w:rFonts w:ascii="Times New Roman" w:hAnsi="Times New Roman" w:cs="Times New Roman"/>
          <w:color w:val="auto"/>
          <w:sz w:val="24"/>
          <w:szCs w:val="24"/>
        </w:rPr>
        <w:t xml:space="preserve"> candidate robust predictors across all four specifications. A predictor is classified as robust if it achieves statistical significance (p &lt; 0.10) in at least three of the four applicable specifications with a consistent sign. Six predictors meet this criterion: CRAR (significant at *** in all three full-sample specs where it appears), GNPA ratio (significant at *** in all four), Credit Growth (significant in three of four), GDP Growth (significant in three of four), PSB Dummy (significant at ** or *** in all three applicable specs), and PCA Revision 2017 (significant in three of four). These six form the recommended parsimonious model.</w:t>
      </w:r>
    </w:p>
    <w:p w14:paraId="6A519F06" w14:textId="77777777" w:rsidR="00604563" w:rsidRPr="00E0135B" w:rsidRDefault="002143D7" w:rsidP="003D59BE">
      <w:pPr>
        <w:spacing w:after="80" w:line="360" w:lineRule="auto"/>
        <w:rPr>
          <w:rFonts w:ascii="Times New Roman" w:hAnsi="Times New Roman" w:cs="Times New Roman"/>
          <w:color w:val="auto"/>
          <w:sz w:val="24"/>
          <w:szCs w:val="24"/>
        </w:rPr>
      </w:pPr>
      <w:r w:rsidRPr="00E0135B">
        <w:rPr>
          <w:rFonts w:ascii="Times New Roman" w:hAnsi="Times New Roman" w:cs="Times New Roman"/>
          <w:b/>
          <w:bCs/>
          <w:color w:val="auto"/>
        </w:rPr>
        <w:t>Table 6: Cross-Model Robustness Comparison</w:t>
      </w:r>
    </w:p>
    <w:tbl>
      <w:tblPr>
        <w:tblStyle w:val="TableGrid"/>
        <w:tblW w:w="8760" w:type="dxa"/>
        <w:tblLook w:val="04A0" w:firstRow="1" w:lastRow="0" w:firstColumn="1" w:lastColumn="0" w:noHBand="0" w:noVBand="1"/>
      </w:tblPr>
      <w:tblGrid>
        <w:gridCol w:w="2200"/>
        <w:gridCol w:w="1240"/>
        <w:gridCol w:w="1240"/>
        <w:gridCol w:w="1240"/>
        <w:gridCol w:w="1240"/>
        <w:gridCol w:w="1600"/>
      </w:tblGrid>
      <w:tr w:rsidR="009E6423" w:rsidRPr="00E0135B" w14:paraId="32C96E32" w14:textId="77777777" w:rsidTr="006C18B6">
        <w:tc>
          <w:tcPr>
            <w:tcW w:w="2200" w:type="dxa"/>
          </w:tcPr>
          <w:p w14:paraId="584E9D8B"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Variable</w:t>
            </w:r>
          </w:p>
        </w:tc>
        <w:tc>
          <w:tcPr>
            <w:tcW w:w="1240" w:type="dxa"/>
          </w:tcPr>
          <w:p w14:paraId="5AFEBAB5"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M1 (Base)</w:t>
            </w:r>
          </w:p>
        </w:tc>
        <w:tc>
          <w:tcPr>
            <w:tcW w:w="1240" w:type="dxa"/>
          </w:tcPr>
          <w:p w14:paraId="794D8A17"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M3 (−ROA)</w:t>
            </w:r>
          </w:p>
        </w:tc>
        <w:tc>
          <w:tcPr>
            <w:tcW w:w="1240" w:type="dxa"/>
          </w:tcPr>
          <w:p w14:paraId="2EB79A7A"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M4 (PSB)</w:t>
            </w:r>
          </w:p>
        </w:tc>
        <w:tc>
          <w:tcPr>
            <w:tcW w:w="1240" w:type="dxa"/>
          </w:tcPr>
          <w:p w14:paraId="54AE198E"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M5 (Tier1)</w:t>
            </w:r>
          </w:p>
        </w:tc>
        <w:tc>
          <w:tcPr>
            <w:tcW w:w="1600" w:type="dxa"/>
          </w:tcPr>
          <w:p w14:paraId="36173141" w14:textId="77777777" w:rsidR="00604563" w:rsidRPr="00E0135B" w:rsidRDefault="002143D7" w:rsidP="003D59BE">
            <w:pPr>
              <w:spacing w:line="360" w:lineRule="auto"/>
              <w:jc w:val="center"/>
              <w:rPr>
                <w:rFonts w:ascii="Times New Roman" w:hAnsi="Times New Roman" w:cs="Times New Roman"/>
                <w:b/>
                <w:bCs/>
                <w:color w:val="auto"/>
                <w:sz w:val="24"/>
                <w:szCs w:val="24"/>
              </w:rPr>
            </w:pPr>
            <w:r w:rsidRPr="00E0135B">
              <w:rPr>
                <w:rFonts w:ascii="Times New Roman" w:hAnsi="Times New Roman" w:cs="Times New Roman"/>
                <w:b/>
                <w:bCs/>
                <w:color w:val="auto"/>
              </w:rPr>
              <w:t>Verdict</w:t>
            </w:r>
          </w:p>
        </w:tc>
      </w:tr>
      <w:tr w:rsidR="009E6423" w:rsidRPr="00E0135B" w14:paraId="1D0BDE4C" w14:textId="77777777" w:rsidTr="006C18B6">
        <w:tc>
          <w:tcPr>
            <w:tcW w:w="2200" w:type="dxa"/>
          </w:tcPr>
          <w:p w14:paraId="749536F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CRAR (t-1)</w:t>
            </w:r>
          </w:p>
        </w:tc>
        <w:tc>
          <w:tcPr>
            <w:tcW w:w="1240" w:type="dxa"/>
          </w:tcPr>
          <w:p w14:paraId="1B6BD5B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−0.317***</w:t>
            </w:r>
          </w:p>
        </w:tc>
        <w:tc>
          <w:tcPr>
            <w:tcW w:w="1240" w:type="dxa"/>
          </w:tcPr>
          <w:p w14:paraId="12F38C4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−0.302***</w:t>
            </w:r>
          </w:p>
        </w:tc>
        <w:tc>
          <w:tcPr>
            <w:tcW w:w="1240" w:type="dxa"/>
          </w:tcPr>
          <w:p w14:paraId="245A3B3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−0.526***</w:t>
            </w:r>
          </w:p>
        </w:tc>
        <w:tc>
          <w:tcPr>
            <w:tcW w:w="1240" w:type="dxa"/>
          </w:tcPr>
          <w:p w14:paraId="349F882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w:t>
            </w:r>
          </w:p>
        </w:tc>
        <w:tc>
          <w:tcPr>
            <w:tcW w:w="1600" w:type="dxa"/>
          </w:tcPr>
          <w:p w14:paraId="6735FBDB"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b/>
                <w:bCs/>
                <w:color w:val="auto"/>
                <w:sz w:val="20"/>
                <w:szCs w:val="20"/>
              </w:rPr>
              <w:t>Robust ***</w:t>
            </w:r>
          </w:p>
        </w:tc>
      </w:tr>
      <w:tr w:rsidR="009E6423" w:rsidRPr="00E0135B" w14:paraId="331E894B" w14:textId="77777777" w:rsidTr="006C18B6">
        <w:tc>
          <w:tcPr>
            <w:tcW w:w="2200" w:type="dxa"/>
          </w:tcPr>
          <w:p w14:paraId="6B5BC60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Tier 1 CRAR (t-1)</w:t>
            </w:r>
          </w:p>
        </w:tc>
        <w:tc>
          <w:tcPr>
            <w:tcW w:w="1240" w:type="dxa"/>
          </w:tcPr>
          <w:p w14:paraId="3AC7D74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w:t>
            </w:r>
          </w:p>
        </w:tc>
        <w:tc>
          <w:tcPr>
            <w:tcW w:w="1240" w:type="dxa"/>
          </w:tcPr>
          <w:p w14:paraId="1F9A7A37"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w:t>
            </w:r>
          </w:p>
        </w:tc>
        <w:tc>
          <w:tcPr>
            <w:tcW w:w="1240" w:type="dxa"/>
          </w:tcPr>
          <w:p w14:paraId="044F450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w:t>
            </w:r>
          </w:p>
        </w:tc>
        <w:tc>
          <w:tcPr>
            <w:tcW w:w="1240" w:type="dxa"/>
          </w:tcPr>
          <w:p w14:paraId="70180E7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−0.164**</w:t>
            </w:r>
          </w:p>
        </w:tc>
        <w:tc>
          <w:tcPr>
            <w:tcW w:w="1600" w:type="dxa"/>
          </w:tcPr>
          <w:p w14:paraId="65EF947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b/>
                <w:bCs/>
                <w:color w:val="auto"/>
                <w:sz w:val="20"/>
                <w:szCs w:val="20"/>
              </w:rPr>
              <w:t>Robust **</w:t>
            </w:r>
          </w:p>
        </w:tc>
      </w:tr>
      <w:tr w:rsidR="009E6423" w:rsidRPr="00E0135B" w14:paraId="5BFBABCC" w14:textId="77777777" w:rsidTr="006C18B6">
        <w:tc>
          <w:tcPr>
            <w:tcW w:w="2200" w:type="dxa"/>
          </w:tcPr>
          <w:p w14:paraId="3585DEB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GNPA Ratio (t-1)</w:t>
            </w:r>
          </w:p>
        </w:tc>
        <w:tc>
          <w:tcPr>
            <w:tcW w:w="1240" w:type="dxa"/>
          </w:tcPr>
          <w:p w14:paraId="6BBDA52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+0.125***</w:t>
            </w:r>
          </w:p>
        </w:tc>
        <w:tc>
          <w:tcPr>
            <w:tcW w:w="1240" w:type="dxa"/>
          </w:tcPr>
          <w:p w14:paraId="6575125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+0.115***</w:t>
            </w:r>
          </w:p>
        </w:tc>
        <w:tc>
          <w:tcPr>
            <w:tcW w:w="1240" w:type="dxa"/>
          </w:tcPr>
          <w:p w14:paraId="574CAF2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+0.275***</w:t>
            </w:r>
          </w:p>
        </w:tc>
        <w:tc>
          <w:tcPr>
            <w:tcW w:w="1240" w:type="dxa"/>
          </w:tcPr>
          <w:p w14:paraId="33E7489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+0.115***</w:t>
            </w:r>
          </w:p>
        </w:tc>
        <w:tc>
          <w:tcPr>
            <w:tcW w:w="1600" w:type="dxa"/>
          </w:tcPr>
          <w:p w14:paraId="4AD8031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b/>
                <w:bCs/>
                <w:color w:val="auto"/>
                <w:sz w:val="20"/>
                <w:szCs w:val="20"/>
              </w:rPr>
              <w:t>Robust ***</w:t>
            </w:r>
          </w:p>
        </w:tc>
      </w:tr>
      <w:tr w:rsidR="009E6423" w:rsidRPr="00E0135B" w14:paraId="328148FF" w14:textId="77777777" w:rsidTr="006C18B6">
        <w:tc>
          <w:tcPr>
            <w:tcW w:w="2200" w:type="dxa"/>
          </w:tcPr>
          <w:p w14:paraId="60FAA984"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ROA (t-1)</w:t>
            </w:r>
          </w:p>
        </w:tc>
        <w:tc>
          <w:tcPr>
            <w:tcW w:w="1240" w:type="dxa"/>
          </w:tcPr>
          <w:p w14:paraId="0B46293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+0.107</w:t>
            </w:r>
          </w:p>
        </w:tc>
        <w:tc>
          <w:tcPr>
            <w:tcW w:w="1240" w:type="dxa"/>
          </w:tcPr>
          <w:p w14:paraId="1DA6D00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Excl.</w:t>
            </w:r>
          </w:p>
        </w:tc>
        <w:tc>
          <w:tcPr>
            <w:tcW w:w="1240" w:type="dxa"/>
          </w:tcPr>
          <w:p w14:paraId="23889D14"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+0.028</w:t>
            </w:r>
          </w:p>
        </w:tc>
        <w:tc>
          <w:tcPr>
            <w:tcW w:w="1240" w:type="dxa"/>
          </w:tcPr>
          <w:p w14:paraId="4AFEC2A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+0.034</w:t>
            </w:r>
          </w:p>
        </w:tc>
        <w:tc>
          <w:tcPr>
            <w:tcW w:w="1600" w:type="dxa"/>
          </w:tcPr>
          <w:p w14:paraId="2A7DADC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Not robust</w:t>
            </w:r>
          </w:p>
        </w:tc>
      </w:tr>
      <w:tr w:rsidR="009E6423" w:rsidRPr="00E0135B" w14:paraId="1CA04C31" w14:textId="77777777" w:rsidTr="006C18B6">
        <w:tc>
          <w:tcPr>
            <w:tcW w:w="2200" w:type="dxa"/>
          </w:tcPr>
          <w:p w14:paraId="24DA28F8"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Cost-Income (t-1)</w:t>
            </w:r>
          </w:p>
        </w:tc>
        <w:tc>
          <w:tcPr>
            <w:tcW w:w="1240" w:type="dxa"/>
          </w:tcPr>
          <w:p w14:paraId="60626CC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+0.021</w:t>
            </w:r>
          </w:p>
        </w:tc>
        <w:tc>
          <w:tcPr>
            <w:tcW w:w="1240" w:type="dxa"/>
          </w:tcPr>
          <w:p w14:paraId="3AF3574C"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+0.018</w:t>
            </w:r>
          </w:p>
        </w:tc>
        <w:tc>
          <w:tcPr>
            <w:tcW w:w="1240" w:type="dxa"/>
          </w:tcPr>
          <w:p w14:paraId="2468CC0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+0.030</w:t>
            </w:r>
          </w:p>
        </w:tc>
        <w:tc>
          <w:tcPr>
            <w:tcW w:w="1240" w:type="dxa"/>
          </w:tcPr>
          <w:p w14:paraId="63675AE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+0.017</w:t>
            </w:r>
          </w:p>
        </w:tc>
        <w:tc>
          <w:tcPr>
            <w:tcW w:w="1600" w:type="dxa"/>
          </w:tcPr>
          <w:p w14:paraId="0F17BC5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Not robust</w:t>
            </w:r>
          </w:p>
        </w:tc>
      </w:tr>
      <w:tr w:rsidR="009E6423" w:rsidRPr="00E0135B" w14:paraId="2261D431" w14:textId="77777777" w:rsidTr="006C18B6">
        <w:tc>
          <w:tcPr>
            <w:tcW w:w="2200" w:type="dxa"/>
          </w:tcPr>
          <w:p w14:paraId="4C97A255"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Log Assets (t-1)</w:t>
            </w:r>
          </w:p>
        </w:tc>
        <w:tc>
          <w:tcPr>
            <w:tcW w:w="1240" w:type="dxa"/>
          </w:tcPr>
          <w:p w14:paraId="703B68F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−0.144</w:t>
            </w:r>
          </w:p>
        </w:tc>
        <w:tc>
          <w:tcPr>
            <w:tcW w:w="1240" w:type="dxa"/>
          </w:tcPr>
          <w:p w14:paraId="323801D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−0.170</w:t>
            </w:r>
          </w:p>
        </w:tc>
        <w:tc>
          <w:tcPr>
            <w:tcW w:w="1240" w:type="dxa"/>
          </w:tcPr>
          <w:p w14:paraId="29AB4AA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−0.404</w:t>
            </w:r>
          </w:p>
        </w:tc>
        <w:tc>
          <w:tcPr>
            <w:tcW w:w="1240" w:type="dxa"/>
          </w:tcPr>
          <w:p w14:paraId="2B5CCA2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−0.158</w:t>
            </w:r>
          </w:p>
        </w:tc>
        <w:tc>
          <w:tcPr>
            <w:tcW w:w="1600" w:type="dxa"/>
          </w:tcPr>
          <w:p w14:paraId="21C51FC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Sign only</w:t>
            </w:r>
          </w:p>
        </w:tc>
      </w:tr>
      <w:tr w:rsidR="009E6423" w:rsidRPr="00E0135B" w14:paraId="6EE21AFD" w14:textId="77777777" w:rsidTr="006C18B6">
        <w:tc>
          <w:tcPr>
            <w:tcW w:w="2200" w:type="dxa"/>
          </w:tcPr>
          <w:p w14:paraId="1E1611AD"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lastRenderedPageBreak/>
              <w:t>Credit Growth (t-1)</w:t>
            </w:r>
          </w:p>
        </w:tc>
        <w:tc>
          <w:tcPr>
            <w:tcW w:w="1240" w:type="dxa"/>
          </w:tcPr>
          <w:p w14:paraId="4FB0E45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−0.039**</w:t>
            </w:r>
          </w:p>
        </w:tc>
        <w:tc>
          <w:tcPr>
            <w:tcW w:w="1240" w:type="dxa"/>
          </w:tcPr>
          <w:p w14:paraId="5034331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−0.036**</w:t>
            </w:r>
          </w:p>
        </w:tc>
        <w:tc>
          <w:tcPr>
            <w:tcW w:w="1240" w:type="dxa"/>
          </w:tcPr>
          <w:p w14:paraId="7D9A067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−0.035</w:t>
            </w:r>
          </w:p>
        </w:tc>
        <w:tc>
          <w:tcPr>
            <w:tcW w:w="1240" w:type="dxa"/>
          </w:tcPr>
          <w:p w14:paraId="18F7447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−0.028*</w:t>
            </w:r>
          </w:p>
        </w:tc>
        <w:tc>
          <w:tcPr>
            <w:tcW w:w="1600" w:type="dxa"/>
          </w:tcPr>
          <w:p w14:paraId="610A9AD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b/>
                <w:bCs/>
                <w:color w:val="auto"/>
                <w:sz w:val="20"/>
                <w:szCs w:val="20"/>
              </w:rPr>
              <w:t>Robust **</w:t>
            </w:r>
          </w:p>
        </w:tc>
      </w:tr>
      <w:tr w:rsidR="009E6423" w:rsidRPr="00E0135B" w14:paraId="78BB86CE" w14:textId="77777777" w:rsidTr="006C18B6">
        <w:tc>
          <w:tcPr>
            <w:tcW w:w="2200" w:type="dxa"/>
          </w:tcPr>
          <w:p w14:paraId="73325EA8"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GDP Growth</w:t>
            </w:r>
          </w:p>
        </w:tc>
        <w:tc>
          <w:tcPr>
            <w:tcW w:w="1240" w:type="dxa"/>
          </w:tcPr>
          <w:p w14:paraId="6E6651E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+0.092**</w:t>
            </w:r>
          </w:p>
        </w:tc>
        <w:tc>
          <w:tcPr>
            <w:tcW w:w="1240" w:type="dxa"/>
          </w:tcPr>
          <w:p w14:paraId="666038DF"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+0.096**</w:t>
            </w:r>
          </w:p>
        </w:tc>
        <w:tc>
          <w:tcPr>
            <w:tcW w:w="1240" w:type="dxa"/>
          </w:tcPr>
          <w:p w14:paraId="1472A0E6"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+0.212***</w:t>
            </w:r>
          </w:p>
        </w:tc>
        <w:tc>
          <w:tcPr>
            <w:tcW w:w="1240" w:type="dxa"/>
          </w:tcPr>
          <w:p w14:paraId="0C9361E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+0.057</w:t>
            </w:r>
          </w:p>
        </w:tc>
        <w:tc>
          <w:tcPr>
            <w:tcW w:w="1600" w:type="dxa"/>
          </w:tcPr>
          <w:p w14:paraId="0D1EFC23"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b/>
                <w:bCs/>
                <w:color w:val="auto"/>
                <w:sz w:val="20"/>
                <w:szCs w:val="20"/>
              </w:rPr>
              <w:t>Robust **</w:t>
            </w:r>
          </w:p>
        </w:tc>
      </w:tr>
      <w:tr w:rsidR="009E6423" w:rsidRPr="00E0135B" w14:paraId="7D7A0FBE" w14:textId="77777777" w:rsidTr="006C18B6">
        <w:tc>
          <w:tcPr>
            <w:tcW w:w="2200" w:type="dxa"/>
          </w:tcPr>
          <w:p w14:paraId="4D2F809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PSB Dummy</w:t>
            </w:r>
          </w:p>
        </w:tc>
        <w:tc>
          <w:tcPr>
            <w:tcW w:w="1240" w:type="dxa"/>
          </w:tcPr>
          <w:p w14:paraId="32655FD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+1.615**</w:t>
            </w:r>
          </w:p>
        </w:tc>
        <w:tc>
          <w:tcPr>
            <w:tcW w:w="1240" w:type="dxa"/>
          </w:tcPr>
          <w:p w14:paraId="761AE1BE"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+1.713***</w:t>
            </w:r>
          </w:p>
        </w:tc>
        <w:tc>
          <w:tcPr>
            <w:tcW w:w="1240" w:type="dxa"/>
          </w:tcPr>
          <w:p w14:paraId="00533508"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N/A</w:t>
            </w:r>
          </w:p>
        </w:tc>
        <w:tc>
          <w:tcPr>
            <w:tcW w:w="1240" w:type="dxa"/>
          </w:tcPr>
          <w:p w14:paraId="132622E4"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+1.642***</w:t>
            </w:r>
          </w:p>
        </w:tc>
        <w:tc>
          <w:tcPr>
            <w:tcW w:w="1600" w:type="dxa"/>
          </w:tcPr>
          <w:p w14:paraId="39153409"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b/>
                <w:bCs/>
                <w:color w:val="auto"/>
                <w:sz w:val="20"/>
                <w:szCs w:val="20"/>
              </w:rPr>
              <w:t>Robust ***</w:t>
            </w:r>
          </w:p>
        </w:tc>
      </w:tr>
      <w:tr w:rsidR="009E6423" w:rsidRPr="00E0135B" w14:paraId="147D0BF5" w14:textId="77777777" w:rsidTr="006C18B6">
        <w:tc>
          <w:tcPr>
            <w:tcW w:w="2200" w:type="dxa"/>
          </w:tcPr>
          <w:p w14:paraId="4EBAF391"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PCA Revision 2017</w:t>
            </w:r>
          </w:p>
        </w:tc>
        <w:tc>
          <w:tcPr>
            <w:tcW w:w="1240" w:type="dxa"/>
          </w:tcPr>
          <w:p w14:paraId="751EF224"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+1.193**</w:t>
            </w:r>
          </w:p>
        </w:tc>
        <w:tc>
          <w:tcPr>
            <w:tcW w:w="1240" w:type="dxa"/>
          </w:tcPr>
          <w:p w14:paraId="3F3C4192"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+1.167**</w:t>
            </w:r>
          </w:p>
        </w:tc>
        <w:tc>
          <w:tcPr>
            <w:tcW w:w="1240" w:type="dxa"/>
          </w:tcPr>
          <w:p w14:paraId="05AC4680"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+2.267***</w:t>
            </w:r>
          </w:p>
        </w:tc>
        <w:tc>
          <w:tcPr>
            <w:tcW w:w="1240" w:type="dxa"/>
          </w:tcPr>
          <w:p w14:paraId="3D19426A"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+0.742</w:t>
            </w:r>
          </w:p>
        </w:tc>
        <w:tc>
          <w:tcPr>
            <w:tcW w:w="1600" w:type="dxa"/>
          </w:tcPr>
          <w:p w14:paraId="0D15B2E7" w14:textId="77777777" w:rsidR="00604563" w:rsidRPr="00E0135B" w:rsidRDefault="002143D7" w:rsidP="003D59BE">
            <w:pPr>
              <w:spacing w:line="360" w:lineRule="auto"/>
              <w:rPr>
                <w:rFonts w:ascii="Times New Roman" w:hAnsi="Times New Roman" w:cs="Times New Roman"/>
                <w:color w:val="auto"/>
                <w:sz w:val="24"/>
                <w:szCs w:val="24"/>
              </w:rPr>
            </w:pPr>
            <w:r w:rsidRPr="00E0135B">
              <w:rPr>
                <w:rFonts w:ascii="Times New Roman" w:hAnsi="Times New Roman" w:cs="Times New Roman"/>
                <w:b/>
                <w:bCs/>
                <w:color w:val="auto"/>
                <w:sz w:val="20"/>
                <w:szCs w:val="20"/>
              </w:rPr>
              <w:t>Robust **</w:t>
            </w:r>
          </w:p>
        </w:tc>
      </w:tr>
    </w:tbl>
    <w:p w14:paraId="1C4066C9" w14:textId="77777777" w:rsidR="00604563" w:rsidRPr="00E0135B" w:rsidRDefault="002143D7" w:rsidP="003D59BE">
      <w:pPr>
        <w:spacing w:before="80" w:after="200" w:line="360" w:lineRule="auto"/>
        <w:rPr>
          <w:rFonts w:ascii="Times New Roman" w:hAnsi="Times New Roman" w:cs="Times New Roman"/>
          <w:color w:val="auto"/>
          <w:sz w:val="24"/>
          <w:szCs w:val="24"/>
        </w:rPr>
      </w:pPr>
      <w:r w:rsidRPr="00E0135B">
        <w:rPr>
          <w:rFonts w:ascii="Times New Roman" w:hAnsi="Times New Roman" w:cs="Times New Roman"/>
          <w:color w:val="auto"/>
          <w:sz w:val="20"/>
          <w:szCs w:val="20"/>
        </w:rPr>
        <w:t>Notes: *** p&lt;0.001, ** p&lt;0.05, * p&lt;0.10. M4 excludes PSB Dummy (no variation within PSB-only sample). 'Robust' = significant in ≥3 of applicable specifications with consistent sign.</w:t>
      </w:r>
    </w:p>
    <w:p w14:paraId="6DB3EA02"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6.2 PSB-Only Subsample (M4)</w:t>
      </w:r>
    </w:p>
    <w:p w14:paraId="5F8A891C" w14:textId="77777777" w:rsidR="001933CE" w:rsidRPr="00E0135B" w:rsidRDefault="001933CE"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This PSB-only subsample (M4) restricts the frame of the analysis to the nineteen </w:t>
      </w:r>
      <w:proofErr w:type="spellStart"/>
      <w:r w:rsidRPr="00E0135B">
        <w:rPr>
          <w:rFonts w:ascii="Times New Roman" w:hAnsi="Times New Roman" w:cs="Times New Roman"/>
          <w:color w:val="auto"/>
          <w:sz w:val="24"/>
          <w:szCs w:val="24"/>
        </w:rPr>
        <w:t>nationalised</w:t>
      </w:r>
      <w:proofErr w:type="spellEnd"/>
      <w:r w:rsidRPr="00E0135B">
        <w:rPr>
          <w:rFonts w:ascii="Times New Roman" w:hAnsi="Times New Roman" w:cs="Times New Roman"/>
          <w:color w:val="auto"/>
          <w:sz w:val="24"/>
          <w:szCs w:val="24"/>
        </w:rPr>
        <w:t xml:space="preserve"> banks along with the SBI group (333 observations, 36 PCA events and a rate of 10.8 percent on events). It is useful in exploring the replication of the main discoveries in an equally structured body of the public sector, thus addressing the confounding effect of privately and overseas banks that do not coincide with PSBs in terms of governance, business model, and PCA exposure.  </w:t>
      </w:r>
    </w:p>
    <w:p w14:paraId="60BAEE3C" w14:textId="77777777" w:rsidR="001933CE" w:rsidRPr="00E0135B" w:rsidRDefault="001933CE" w:rsidP="003D59BE">
      <w:pPr>
        <w:spacing w:line="360" w:lineRule="auto"/>
        <w:rPr>
          <w:rFonts w:ascii="Times New Roman" w:hAnsi="Times New Roman" w:cs="Times New Roman"/>
          <w:color w:val="auto"/>
          <w:sz w:val="24"/>
          <w:szCs w:val="24"/>
        </w:rPr>
      </w:pPr>
    </w:p>
    <w:p w14:paraId="4304A0D8" w14:textId="15387507" w:rsidR="00C50131" w:rsidRPr="00E0135B" w:rsidRDefault="001933CE"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In this limited group, some salient deviations of the full-sample results are obtained. The Magnitude of the coefficient on CRAR increases by almost </w:t>
      </w:r>
      <w:proofErr w:type="spellStart"/>
      <w:r w:rsidRPr="00E0135B">
        <w:rPr>
          <w:rFonts w:ascii="Times New Roman" w:hAnsi="Times New Roman" w:cs="Times New Roman"/>
          <w:color w:val="auto"/>
          <w:sz w:val="24"/>
          <w:szCs w:val="24"/>
        </w:rPr>
        <w:t>twofolds</w:t>
      </w:r>
      <w:proofErr w:type="spellEnd"/>
      <w:r w:rsidRPr="00E0135B">
        <w:rPr>
          <w:rFonts w:ascii="Times New Roman" w:hAnsi="Times New Roman" w:cs="Times New Roman"/>
          <w:color w:val="auto"/>
          <w:sz w:val="24"/>
          <w:szCs w:val="24"/>
        </w:rPr>
        <w:t xml:space="preserve"> (0.526 against 0.317), which indicates that the constraint of capital has a substantially higher effect on the PSB group compared to the average outcome achieved in the general sample. Similarly, the GNPA coefficient increases by more or less two times (co +0.275 compared to co +0.125). An increase in GDP is statistically significant (p�� Staffs productivity: p &lt; 0.01) in the PSB subsample, which is consistent with the hypothesis that credit quality action of the PSB is more acutely sensitive to macroeconomic changes than credit quality action of the privately regulated banks—an effect that can be explained by the critical exposure of the PSBs to directed lending requirements, and the tendency of these banks to focus exposures in cyclically sensitive infrastructure and industry. The IBC dummy becomes marginally statistically significant (p 0.07) which means that the insolvency reform has produced a substantive effect on reducing the persistence of NPAs in the particular circumstances of the banking sector which is the public sector.</w:t>
      </w:r>
    </w:p>
    <w:p w14:paraId="219F7FB4"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6.3 Alternative Capital Measure: Tier 1 CRAR (M5)</w:t>
      </w:r>
    </w:p>
    <w:p w14:paraId="7EF2F122"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Model M5 replaces Total CRAR with Tier 1 CRAR to test whether the result is driven by core equity capital (common equity Tier 1 plus additional Tier 1 instruments) rather than total </w:t>
      </w:r>
      <w:r w:rsidRPr="00E0135B">
        <w:rPr>
          <w:rFonts w:ascii="Times New Roman" w:hAnsi="Times New Roman" w:cs="Times New Roman"/>
          <w:color w:val="auto"/>
          <w:sz w:val="24"/>
          <w:szCs w:val="24"/>
        </w:rPr>
        <w:lastRenderedPageBreak/>
        <w:t>regulatory capital inclusive of subordinated debt and hybrid instruments counted as Tier 2. Tier 1 CRAR remains significant (β = −0.164, p &lt; 0.014), confirming that the capital adequacy result is not a definitional artefact — core equity erosion is a genuine leading indicator of PCA breach. An additional finding from M5 is that CPI Inflation becomes significant (p &lt; 0.015) with a negative sign when Tier 1 CRAR is used, suggesting this effect was partially obscured by collinearity between the repo rate and Total CRAR in the original specification.</w:t>
      </w:r>
    </w:p>
    <w:p w14:paraId="49198FE6" w14:textId="77777777" w:rsidR="00604563" w:rsidRPr="00E0135B" w:rsidRDefault="002143D7" w:rsidP="003D59BE">
      <w:pPr>
        <w:pStyle w:val="Heading1"/>
        <w:pBdr>
          <w:bottom w:val="single" w:sz="6" w:space="4" w:color="2E75B6"/>
        </w:pBdr>
        <w:spacing w:line="360" w:lineRule="auto"/>
        <w:rPr>
          <w:rFonts w:ascii="Times New Roman" w:hAnsi="Times New Roman" w:cs="Times New Roman"/>
          <w:color w:val="auto"/>
          <w:sz w:val="32"/>
          <w:szCs w:val="32"/>
        </w:rPr>
      </w:pPr>
      <w:r w:rsidRPr="00E0135B">
        <w:rPr>
          <w:rFonts w:ascii="Times New Roman" w:hAnsi="Times New Roman" w:cs="Times New Roman"/>
          <w:color w:val="auto"/>
          <w:sz w:val="32"/>
          <w:szCs w:val="32"/>
        </w:rPr>
        <w:t>7. Discussion</w:t>
      </w:r>
    </w:p>
    <w:p w14:paraId="74B24FC8"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7.1 The Role of Capital Adequacy</w:t>
      </w:r>
    </w:p>
    <w:p w14:paraId="77AB94B4"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The robust negative effect of lagged CRAR (H1 confirmed) is both expected and theoretically important. Capital adequacy is the first and most binding of the three PCA triggers under the RBI framework, and the results confirm that its deterioration is observable one year before breach — providing genuine supervisory advance warning. The AME of −0.82 percentage points per 1 pp CRAR increase implies that maintaining CRAR at 12% rather than 9% is associated with a 2.5 pp lower breach probability, a difference that, at the population of roughly 20 PSBs, translates into the expected prevention of approximately 0.5 PCA events per year.</w:t>
      </w:r>
    </w:p>
    <w:p w14:paraId="0C74B0B5"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The finding that Tier 1 CRAR (M5) is also significant, and in fact that the coefficient falls within the same confidence interval as Total CRAR, suggests that the numerator of the capital ratio — equity capital — rather than the denominator (risk-weighted assets) is the primary driver. This is consistent with the regulatory design, which </w:t>
      </w:r>
      <w:proofErr w:type="spellStart"/>
      <w:r w:rsidRPr="00E0135B">
        <w:rPr>
          <w:rFonts w:ascii="Times New Roman" w:hAnsi="Times New Roman" w:cs="Times New Roman"/>
          <w:color w:val="auto"/>
          <w:sz w:val="24"/>
          <w:szCs w:val="24"/>
        </w:rPr>
        <w:t>prioritises</w:t>
      </w:r>
      <w:proofErr w:type="spellEnd"/>
      <w:r w:rsidRPr="00E0135B">
        <w:rPr>
          <w:rFonts w:ascii="Times New Roman" w:hAnsi="Times New Roman" w:cs="Times New Roman"/>
          <w:color w:val="auto"/>
          <w:sz w:val="24"/>
          <w:szCs w:val="24"/>
        </w:rPr>
        <w:t xml:space="preserve"> loss-absorbing common equity over hybrid instruments in assessing bank resilience.</w:t>
      </w:r>
    </w:p>
    <w:p w14:paraId="73ABD835"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7.2 Asset Quality as a Lagging but Persistent Indicator</w:t>
      </w:r>
    </w:p>
    <w:p w14:paraId="22925BE5"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The GNPA ratio (H2 confirmed) is the most consistently significant predictor across all four specifications and all three significance levels (*** in all applicable regressions). This consistency reflects the dual role of NPA ratios in the PCA framework: as both a formal trigger variable and a symptom of the underlying credit quality deterioration that drives capital erosion through provisioning requirements. The modest AME (+0.32 pp per 1 pp GNPA rise) belies the true economic significance of this variable, because NPA deterioration is typically a multi-year </w:t>
      </w:r>
      <w:r w:rsidRPr="00E0135B">
        <w:rPr>
          <w:rFonts w:ascii="Times New Roman" w:hAnsi="Times New Roman" w:cs="Times New Roman"/>
          <w:color w:val="auto"/>
          <w:sz w:val="24"/>
          <w:szCs w:val="24"/>
        </w:rPr>
        <w:lastRenderedPageBreak/>
        <w:t>process. Banks that crossed the PCA threshold typically saw GNPA ratios rise from under 5% to above 15% over a three to five-year period, implying cumulative GNPA-driven increases in breach probability of 3 to 4 percentage points.</w:t>
      </w:r>
    </w:p>
    <w:p w14:paraId="63DC36BB"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7.3 Public Sector Bank Structural Premium</w:t>
      </w:r>
    </w:p>
    <w:p w14:paraId="122C9C46"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The PSB dummy (H5 confirmed) carries the largest average marginal effect in the model (+4.17 pp), reflecting structural features of public sector banks that generate persistently higher PCA vulnerability conditional on financial ratios. Three mechanisms are likely at work. First, directed lending mandates — priority sector requirements, credit to government-sponsored schemes — systematically directed PSB credit toward riskier borrowers than private bank credit. Second, governance structures in </w:t>
      </w:r>
      <w:proofErr w:type="spellStart"/>
      <w:r w:rsidRPr="00E0135B">
        <w:rPr>
          <w:rFonts w:ascii="Times New Roman" w:hAnsi="Times New Roman" w:cs="Times New Roman"/>
          <w:color w:val="auto"/>
          <w:sz w:val="24"/>
          <w:szCs w:val="24"/>
        </w:rPr>
        <w:t>nationalised</w:t>
      </w:r>
      <w:proofErr w:type="spellEnd"/>
      <w:r w:rsidRPr="00E0135B">
        <w:rPr>
          <w:rFonts w:ascii="Times New Roman" w:hAnsi="Times New Roman" w:cs="Times New Roman"/>
          <w:color w:val="auto"/>
          <w:sz w:val="24"/>
          <w:szCs w:val="24"/>
        </w:rPr>
        <w:t xml:space="preserve"> banks, including political influence over lending decisions and appointments, may have contributed to evergreening of stressed loans and delayed NPA recognition. Third, PSBs depend on government capital infusions rather than market-based capital raising, which creates a soft budget constraint that may reduce incentives for early-stage capital management.</w:t>
      </w:r>
    </w:p>
    <w:p w14:paraId="5473D1F7"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The finding that all 40 PCA breach observations correspond to public sector institutions — despite PSBs representing roughly 60–65% of banking system assets during the study period — is a stark indicator of structural rather than cyclical distress.</w:t>
      </w:r>
    </w:p>
    <w:p w14:paraId="7A4AD4D5"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7.4 The 2017 PCA Revision: Deterrence or Discovery?</w:t>
      </w:r>
    </w:p>
    <w:p w14:paraId="23D3E2FF"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The positive and significant coefficient on the PCA Revision 2017 dummy (β = +1.193, p &lt; 0.05) challenges the deterrence hypothesis (H9). If the April 2017 revision had deterred banks from crossing thresholds — through tighter monitoring or anticipatory capital accumulation — the expected sign would be negative. The positive sign, combined with the historical record of 11 banks being placed under PCA in the 12 months following the revision, is instead consistent with a discovery effect: the revised framework identified banks that had been in breach of the older, less stringent thresholds but had not previously been formally classified. This interpretation has important regulatory implications — it suggests the pre-2017 framework was insufficiently sensitive to detect emerging distress, and that the revision's primary near-term effect was classification correction rather than deterrence.</w:t>
      </w:r>
    </w:p>
    <w:p w14:paraId="20408073" w14:textId="77777777" w:rsidR="006B6E05" w:rsidRPr="00E0135B" w:rsidRDefault="006B6E05" w:rsidP="003D59BE">
      <w:pPr>
        <w:spacing w:before="80" w:after="140" w:line="360" w:lineRule="auto"/>
        <w:jc w:val="both"/>
        <w:rPr>
          <w:rFonts w:ascii="Times New Roman" w:hAnsi="Times New Roman" w:cs="Times New Roman"/>
          <w:color w:val="auto"/>
          <w:sz w:val="24"/>
          <w:szCs w:val="24"/>
        </w:rPr>
      </w:pPr>
    </w:p>
    <w:p w14:paraId="12B80E9B" w14:textId="77777777" w:rsidR="00604563" w:rsidRPr="00E0135B" w:rsidRDefault="002143D7" w:rsidP="003D59BE">
      <w:pPr>
        <w:pStyle w:val="Heading2"/>
        <w:spacing w:line="360" w:lineRule="auto"/>
        <w:rPr>
          <w:rFonts w:ascii="Times New Roman" w:hAnsi="Times New Roman" w:cs="Times New Roman"/>
          <w:color w:val="auto"/>
          <w:sz w:val="28"/>
          <w:szCs w:val="28"/>
        </w:rPr>
      </w:pPr>
      <w:r w:rsidRPr="00E0135B">
        <w:rPr>
          <w:rFonts w:ascii="Times New Roman" w:hAnsi="Times New Roman" w:cs="Times New Roman"/>
          <w:color w:val="auto"/>
          <w:sz w:val="28"/>
          <w:szCs w:val="28"/>
        </w:rPr>
        <w:t>7.5 Macroeconomic Environment and the GDP Puzzle</w:t>
      </w:r>
    </w:p>
    <w:p w14:paraId="3A150C1A"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The positive and significant coefficient on GDP growth (β = +0.092, p &lt; 0.05) requires careful interpretation. The theoretical prior (H7) is that an economic slowdown should increase borrower stress and NPA formation, predicting a negative sign. The positive sign observed reflects the temporal concentration of PCA placements: nearly all breaches occurred in FY2017–FY2019, a period of moderate positive GDP growth (6–7%), following the high-growth FY2011–FY2014 period during which the credit that subsequently soured was originated. With only a one-year lag, GDP growth does not capture the two-to-four-year transmission lag from credit origination through NPA build-up to regulatory breach. This interpretation is consistent with the finding that GDP growth becomes even more strongly positive and significant in the PSB subsample (M4), where credit cycle exposure is more concentrated.</w:t>
      </w:r>
    </w:p>
    <w:p w14:paraId="547E1956" w14:textId="77777777" w:rsidR="00604563" w:rsidRPr="00E0135B" w:rsidRDefault="002143D7" w:rsidP="003D59BE">
      <w:pPr>
        <w:pStyle w:val="Heading1"/>
        <w:pBdr>
          <w:bottom w:val="single" w:sz="6" w:space="4" w:color="2E75B6"/>
        </w:pBdr>
        <w:spacing w:line="360" w:lineRule="auto"/>
        <w:rPr>
          <w:rFonts w:ascii="Times New Roman" w:hAnsi="Times New Roman" w:cs="Times New Roman"/>
          <w:color w:val="auto"/>
          <w:sz w:val="32"/>
          <w:szCs w:val="32"/>
        </w:rPr>
      </w:pPr>
      <w:r w:rsidRPr="00E0135B">
        <w:rPr>
          <w:rFonts w:ascii="Times New Roman" w:hAnsi="Times New Roman" w:cs="Times New Roman"/>
          <w:color w:val="auto"/>
          <w:sz w:val="32"/>
          <w:szCs w:val="32"/>
        </w:rPr>
        <w:t>8. Limitations and Caveats</w:t>
      </w:r>
    </w:p>
    <w:p w14:paraId="049ED48F"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Several limitations qualify the results and suggest directions for future research:</w:t>
      </w:r>
    </w:p>
    <w:p w14:paraId="5C4D1D08" w14:textId="77777777" w:rsidR="00604563" w:rsidRPr="00E0135B" w:rsidRDefault="002143D7" w:rsidP="003D59BE">
      <w:pPr>
        <w:pStyle w:val="ListParagraph"/>
        <w:numPr>
          <w:ilvl w:val="0"/>
          <w:numId w:val="2"/>
        </w:numPr>
        <w:spacing w:before="60" w:after="6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Net NPA ratio — the formal PCA trigger — is not published as a standalone downloadable table by the RBI. The GNPA ratio is used as a proxy, which introduces measurement error. Researchers requiring exact NNPA ratios must extract them manually from individual bank annual reports, a substantial data collection exercise involving approximately 665 data points across the 12 PCA banks over 20 years.</w:t>
      </w:r>
    </w:p>
    <w:p w14:paraId="155FA6C2" w14:textId="77777777" w:rsidR="00604563" w:rsidRPr="00E0135B" w:rsidRDefault="002143D7" w:rsidP="003D59BE">
      <w:pPr>
        <w:pStyle w:val="ListParagraph"/>
        <w:numPr>
          <w:ilvl w:val="0"/>
          <w:numId w:val="2"/>
        </w:numPr>
        <w:spacing w:before="60" w:after="6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The pooled probit estimator does not account for unobserved bank-level heterogeneity. A random effects panel probit specification — the theoretically preferred primary estimator — is specified in the research framework but not reported in this paper; comparison between pooled and RE probit results is recommended as a robustness check.</w:t>
      </w:r>
    </w:p>
    <w:p w14:paraId="118D14B4" w14:textId="77777777" w:rsidR="00604563" w:rsidRPr="00E0135B" w:rsidRDefault="002143D7" w:rsidP="003D59BE">
      <w:pPr>
        <w:pStyle w:val="ListParagraph"/>
        <w:numPr>
          <w:ilvl w:val="0"/>
          <w:numId w:val="2"/>
        </w:numPr>
        <w:spacing w:before="60" w:after="6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The COVID-19 period (FY2020–FY2022) saw regulatory forbearance on NPA recognition, meaning that GNPA ratios during this period may understate true asset quality deterioration. The Forbearance dummy partially controls for this structural break but does not fully resolve the measurement issue.</w:t>
      </w:r>
    </w:p>
    <w:p w14:paraId="6C600804" w14:textId="77777777" w:rsidR="00604563" w:rsidRPr="00E0135B" w:rsidRDefault="002143D7" w:rsidP="003D59BE">
      <w:pPr>
        <w:pStyle w:val="ListParagraph"/>
        <w:numPr>
          <w:ilvl w:val="0"/>
          <w:numId w:val="2"/>
        </w:numPr>
        <w:spacing w:before="60" w:after="6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lastRenderedPageBreak/>
        <w:t>The sample includes foreign banks, payment banks, and small finance banks, which differ substantially from domestic commercial banks in their business models and PCA exposure. Sensitivity checks restricting the sample to domestic SCBs (PSBs plus old and new private banks) are recommended to assess whether results are driven by these structurally distinct entities.</w:t>
      </w:r>
    </w:p>
    <w:p w14:paraId="0BAB3D7B" w14:textId="7735E536" w:rsidR="008D14ED" w:rsidRPr="00E0135B" w:rsidRDefault="002143D7" w:rsidP="003D59BE">
      <w:pPr>
        <w:pStyle w:val="ListParagraph"/>
        <w:numPr>
          <w:ilvl w:val="0"/>
          <w:numId w:val="2"/>
        </w:numPr>
        <w:spacing w:before="60" w:after="60"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t>The model's excellent in-sample AUC (0.9897) raises questions about out-of-sample performance. An explicit holdout test using the post-2022 period (FY2023–FY2024) — during which no new PCA placements occurred — would provide evidence on whether the model's predictive power holds in periods of banking system stability.</w:t>
      </w:r>
      <w:r w:rsidR="008D14ED" w:rsidRPr="00E0135B">
        <w:rPr>
          <w:rFonts w:ascii="Times New Roman" w:hAnsi="Times New Roman" w:cs="Times New Roman"/>
          <w:color w:val="auto"/>
          <w:sz w:val="24"/>
          <w:szCs w:val="24"/>
        </w:rPr>
        <w:br w:type="page"/>
      </w:r>
    </w:p>
    <w:p w14:paraId="689C6177" w14:textId="77777777" w:rsidR="00604563" w:rsidRPr="00E0135B" w:rsidRDefault="002143D7" w:rsidP="003D59BE">
      <w:pPr>
        <w:pStyle w:val="Heading1"/>
        <w:pBdr>
          <w:bottom w:val="single" w:sz="6" w:space="4" w:color="2E75B6"/>
        </w:pBdr>
        <w:spacing w:line="360" w:lineRule="auto"/>
        <w:rPr>
          <w:rFonts w:ascii="Times New Roman" w:hAnsi="Times New Roman" w:cs="Times New Roman"/>
          <w:color w:val="auto"/>
          <w:sz w:val="32"/>
          <w:szCs w:val="32"/>
        </w:rPr>
      </w:pPr>
      <w:r w:rsidRPr="00E0135B">
        <w:rPr>
          <w:rFonts w:ascii="Times New Roman" w:hAnsi="Times New Roman" w:cs="Times New Roman"/>
          <w:color w:val="auto"/>
          <w:sz w:val="32"/>
          <w:szCs w:val="32"/>
        </w:rPr>
        <w:lastRenderedPageBreak/>
        <w:t>9. Conclusion</w:t>
      </w:r>
    </w:p>
    <w:p w14:paraId="52540E76"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This paper presents a panel probit early warning model for predicting RBI Prompt Corrective Action placements among Indian Scheduled Commercial Banks. The model identifies six statistically robust determinants of breach probability: total CRAR (negative), GNPA ratio (positive), lagged credit growth (negative in coefficient, reflecting regulatory constraints post-PCA), GDP growth (positive, reflecting post-boom lag), PSB ownership (positive), and the 2017 PCA framework revision (positive, consistent with a discovery rather than deterrence effect). These findings are stable across five estimation variants spanning different predictor sets, subsamples, and capital definitions.</w:t>
      </w:r>
    </w:p>
    <w:p w14:paraId="7DBBA4D9"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The model achieves an AUC of 0.9897 in the base specification, stable across all variants (range: 0.9876–0.9898). This exceptional predictive performance reflects the fundamental alignment between the model's predictors — CRAR and GNPA — and the RBI's own PCA trigger metrics, and is confirmed to be genuine rather than a separation artefact by explicit testing for complete separation across all twelve predictors.</w:t>
      </w:r>
    </w:p>
    <w:p w14:paraId="22B00CD3"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For supervisory applications, the average marginal effects provide actionable thresholds. A 1 pp decline in CRAR raises PCA probability by 0.82 pp on average, while PSB ownership carries a 4.17 pp structural premium — a premium that could guide differentiated supervisory intensity between public and private sector institutions. The discovery interpretation of the 2017 revision carries a further policy implication: it suggests the value of periodic framework revisions lies not only in deterrence but in their capacity to surface latent distress that existing metrics have failed to capture.</w:t>
      </w:r>
    </w:p>
    <w:p w14:paraId="56E8B505"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Future research should extend the framework to incorporate random effects, an ordered probit extension for breach severity grading, interaction terms between ownership and the credit cycle, and out-of-sample forecasting evaluation. Replacement of GNPA with NNPA — once bank-level data becomes accessible — would further align the model with the formal regulatory trigger and is a priority for subsequent empirical work.</w:t>
      </w:r>
    </w:p>
    <w:p w14:paraId="38756DC3" w14:textId="180D3BDE" w:rsidR="008D14ED" w:rsidRPr="00E0135B" w:rsidRDefault="008D14ED" w:rsidP="003D59BE">
      <w:pPr>
        <w:spacing w:line="360" w:lineRule="auto"/>
        <w:rPr>
          <w:rFonts w:ascii="Times New Roman" w:hAnsi="Times New Roman" w:cs="Times New Roman"/>
          <w:color w:val="auto"/>
          <w:sz w:val="24"/>
          <w:szCs w:val="24"/>
        </w:rPr>
      </w:pPr>
      <w:r w:rsidRPr="00E0135B">
        <w:rPr>
          <w:rFonts w:ascii="Times New Roman" w:hAnsi="Times New Roman" w:cs="Times New Roman"/>
          <w:color w:val="auto"/>
          <w:sz w:val="24"/>
          <w:szCs w:val="24"/>
        </w:rPr>
        <w:br w:type="page"/>
      </w:r>
    </w:p>
    <w:p w14:paraId="0C00AFBA" w14:textId="77777777" w:rsidR="00604563" w:rsidRPr="00E0135B" w:rsidRDefault="002143D7" w:rsidP="003D59BE">
      <w:pPr>
        <w:pStyle w:val="Heading1"/>
        <w:pBdr>
          <w:bottom w:val="single" w:sz="6" w:space="4" w:color="2E75B6"/>
        </w:pBdr>
        <w:spacing w:line="360" w:lineRule="auto"/>
        <w:rPr>
          <w:rFonts w:ascii="Times New Roman" w:hAnsi="Times New Roman" w:cs="Times New Roman"/>
          <w:color w:val="auto"/>
          <w:sz w:val="32"/>
          <w:szCs w:val="32"/>
        </w:rPr>
      </w:pPr>
      <w:r w:rsidRPr="00E0135B">
        <w:rPr>
          <w:rFonts w:ascii="Times New Roman" w:hAnsi="Times New Roman" w:cs="Times New Roman"/>
          <w:color w:val="auto"/>
          <w:sz w:val="32"/>
          <w:szCs w:val="32"/>
        </w:rPr>
        <w:lastRenderedPageBreak/>
        <w:t>References</w:t>
      </w:r>
    </w:p>
    <w:p w14:paraId="11623CE7" w14:textId="2030CD70"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King, G., and Zeng, L. (2001). Logistic regression in rare events data.9(2), 137–163.</w:t>
      </w:r>
    </w:p>
    <w:p w14:paraId="00C72497"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Reserve Bank of India. (Annual). Statistical Tables Relating to Banks in India. Mumbai: RBI. Available at: https://data.rbi.org.in</w:t>
      </w:r>
    </w:p>
    <w:p w14:paraId="72D370F2"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Reserve Bank of India. Bank-wise Capital Adequacy Ratios (CRAR) of Scheduled Commercial Banks (STRBI B3). Mumbai: RBI Department of Supervision.</w:t>
      </w:r>
    </w:p>
    <w:p w14:paraId="34A0E7AE"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Reserve Bank of India. Bank-wise and Bank Group-wise Gross Non-Performing Assets (Table 20). Mumbai: RBI.</w:t>
      </w:r>
    </w:p>
    <w:p w14:paraId="1BE4D5A8"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Reserve Bank of India. Select Monetary Aggregates — Growth Rates. Mumbai: RBI.</w:t>
      </w:r>
    </w:p>
    <w:p w14:paraId="34E54089"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Reserve Bank of India. (Annual). Trend and Progress of Banking in India. Mumbai: RBI.</w:t>
      </w:r>
    </w:p>
    <w:p w14:paraId="59E98B94"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Reserve Bank of India. (2017, April 13). Prompt Corrective Action Framework (Revised). Circular </w:t>
      </w:r>
      <w:proofErr w:type="gramStart"/>
      <w:r w:rsidRPr="00E0135B">
        <w:rPr>
          <w:rFonts w:ascii="Times New Roman" w:hAnsi="Times New Roman" w:cs="Times New Roman"/>
          <w:color w:val="auto"/>
          <w:sz w:val="24"/>
          <w:szCs w:val="24"/>
        </w:rPr>
        <w:t>DBS.CO.PPD.BC.No.</w:t>
      </w:r>
      <w:proofErr w:type="gramEnd"/>
      <w:r w:rsidRPr="00E0135B">
        <w:rPr>
          <w:rFonts w:ascii="Times New Roman" w:hAnsi="Times New Roman" w:cs="Times New Roman"/>
          <w:color w:val="auto"/>
          <w:sz w:val="24"/>
          <w:szCs w:val="24"/>
        </w:rPr>
        <w:t>8/11.01.005/2016-17. Mumbai: RBI.</w:t>
      </w:r>
    </w:p>
    <w:p w14:paraId="6F9C955D"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Reserve Bank of India. (2021, November 2). Prompt Corrective Action Framework (Latest Revision). Circular </w:t>
      </w:r>
      <w:proofErr w:type="gramStart"/>
      <w:r w:rsidRPr="00E0135B">
        <w:rPr>
          <w:rFonts w:ascii="Times New Roman" w:hAnsi="Times New Roman" w:cs="Times New Roman"/>
          <w:color w:val="auto"/>
          <w:sz w:val="24"/>
          <w:szCs w:val="24"/>
        </w:rPr>
        <w:t>DOS.CO.PPG.SEC.No.</w:t>
      </w:r>
      <w:proofErr w:type="gramEnd"/>
      <w:r w:rsidRPr="00E0135B">
        <w:rPr>
          <w:rFonts w:ascii="Times New Roman" w:hAnsi="Times New Roman" w:cs="Times New Roman"/>
          <w:color w:val="auto"/>
          <w:sz w:val="24"/>
          <w:szCs w:val="24"/>
        </w:rPr>
        <w:t>4/11.01.005/2021-22. Mumbai: RBI.</w:t>
      </w:r>
    </w:p>
    <w:p w14:paraId="651B0080"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 xml:space="preserve">Ministry of Statistics and </w:t>
      </w:r>
      <w:proofErr w:type="spellStart"/>
      <w:r w:rsidRPr="00E0135B">
        <w:rPr>
          <w:rFonts w:ascii="Times New Roman" w:hAnsi="Times New Roman" w:cs="Times New Roman"/>
          <w:color w:val="auto"/>
          <w:sz w:val="24"/>
          <w:szCs w:val="24"/>
        </w:rPr>
        <w:t>Programme</w:t>
      </w:r>
      <w:proofErr w:type="spellEnd"/>
      <w:r w:rsidRPr="00E0135B">
        <w:rPr>
          <w:rFonts w:ascii="Times New Roman" w:hAnsi="Times New Roman" w:cs="Times New Roman"/>
          <w:color w:val="auto"/>
          <w:sz w:val="24"/>
          <w:szCs w:val="24"/>
        </w:rPr>
        <w:t xml:space="preserve"> Implementation (</w:t>
      </w:r>
      <w:proofErr w:type="spellStart"/>
      <w:r w:rsidRPr="00E0135B">
        <w:rPr>
          <w:rFonts w:ascii="Times New Roman" w:hAnsi="Times New Roman" w:cs="Times New Roman"/>
          <w:color w:val="auto"/>
          <w:sz w:val="24"/>
          <w:szCs w:val="24"/>
        </w:rPr>
        <w:t>MoSPI</w:t>
      </w:r>
      <w:proofErr w:type="spellEnd"/>
      <w:r w:rsidRPr="00E0135B">
        <w:rPr>
          <w:rFonts w:ascii="Times New Roman" w:hAnsi="Times New Roman" w:cs="Times New Roman"/>
          <w:color w:val="auto"/>
          <w:sz w:val="24"/>
          <w:szCs w:val="24"/>
        </w:rPr>
        <w:t>). National Accounts Statistics — Macro-Economic Aggregates at Constant Prices, Base Year 2011-12. New Delhi: Government of India.</w:t>
      </w:r>
    </w:p>
    <w:p w14:paraId="57EF281C" w14:textId="77777777" w:rsidR="00604563" w:rsidRPr="00E0135B" w:rsidRDefault="002143D7" w:rsidP="003D59BE">
      <w:pPr>
        <w:spacing w:before="80" w:after="140" w:line="360" w:lineRule="auto"/>
        <w:jc w:val="both"/>
        <w:rPr>
          <w:rFonts w:ascii="Times New Roman" w:hAnsi="Times New Roman" w:cs="Times New Roman"/>
          <w:color w:val="auto"/>
          <w:sz w:val="24"/>
          <w:szCs w:val="24"/>
        </w:rPr>
      </w:pPr>
      <w:r w:rsidRPr="00E0135B">
        <w:rPr>
          <w:rFonts w:ascii="Times New Roman" w:hAnsi="Times New Roman" w:cs="Times New Roman"/>
          <w:color w:val="auto"/>
          <w:sz w:val="24"/>
          <w:szCs w:val="24"/>
        </w:rPr>
        <w:t>Reserve Bank of India. (Annual). Handbook of Statistics on Indian Economy. Mumbai: RBI.</w:t>
      </w:r>
    </w:p>
    <w:sectPr w:rsidR="00604563" w:rsidRPr="00E0135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9984F" w14:textId="77777777" w:rsidR="00BF0E20" w:rsidRDefault="00BF0E20">
      <w:r>
        <w:separator/>
      </w:r>
    </w:p>
  </w:endnote>
  <w:endnote w:type="continuationSeparator" w:id="0">
    <w:p w14:paraId="37D102D6" w14:textId="77777777" w:rsidR="00BF0E20" w:rsidRDefault="00BF0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8653" w14:textId="77777777" w:rsidR="00604563" w:rsidRDefault="002143D7">
    <w:pPr>
      <w:pBdr>
        <w:top w:val="single" w:sz="4" w:space="4" w:color="2E75B6"/>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76FE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54B0E" w14:textId="77777777" w:rsidR="00BF0E20" w:rsidRDefault="00BF0E20">
      <w:r>
        <w:separator/>
      </w:r>
    </w:p>
  </w:footnote>
  <w:footnote w:type="continuationSeparator" w:id="0">
    <w:p w14:paraId="7812E485" w14:textId="77777777" w:rsidR="00BF0E20" w:rsidRDefault="00BF0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1EF4" w14:textId="77777777" w:rsidR="00604563" w:rsidRPr="009E6423" w:rsidRDefault="002143D7">
    <w:pPr>
      <w:pBdr>
        <w:bottom w:val="single" w:sz="4" w:space="4" w:color="2E75B6"/>
      </w:pBdr>
      <w:spacing w:after="80"/>
      <w:rPr>
        <w:rFonts w:ascii="Times New Roman" w:hAnsi="Times New Roman" w:cs="Times New Roman"/>
        <w:color w:val="auto"/>
      </w:rPr>
    </w:pPr>
    <w:r w:rsidRPr="009E6423">
      <w:rPr>
        <w:rFonts w:ascii="Times New Roman" w:hAnsi="Times New Roman" w:cs="Times New Roman"/>
        <w:color w:val="auto"/>
        <w:sz w:val="18"/>
        <w:szCs w:val="18"/>
      </w:rPr>
      <w:t>Predicting RBI PCA Breach Probability: A Panel Probit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7D30"/>
    <w:multiLevelType w:val="hybridMultilevel"/>
    <w:tmpl w:val="ACB425CA"/>
    <w:lvl w:ilvl="0" w:tplc="04E4DB4C">
      <w:start w:val="1"/>
      <w:numFmt w:val="bullet"/>
      <w:lvlText w:val="●"/>
      <w:lvlJc w:val="left"/>
      <w:pPr>
        <w:ind w:left="720" w:hanging="360"/>
      </w:pPr>
    </w:lvl>
    <w:lvl w:ilvl="1" w:tplc="B57E3982">
      <w:start w:val="1"/>
      <w:numFmt w:val="bullet"/>
      <w:lvlText w:val="○"/>
      <w:lvlJc w:val="left"/>
      <w:pPr>
        <w:ind w:left="1440" w:hanging="360"/>
      </w:pPr>
    </w:lvl>
    <w:lvl w:ilvl="2" w:tplc="C3CE592C">
      <w:start w:val="1"/>
      <w:numFmt w:val="bullet"/>
      <w:lvlText w:val="■"/>
      <w:lvlJc w:val="left"/>
      <w:pPr>
        <w:ind w:left="2160" w:hanging="360"/>
      </w:pPr>
    </w:lvl>
    <w:lvl w:ilvl="3" w:tplc="6F8A5F9E">
      <w:start w:val="1"/>
      <w:numFmt w:val="bullet"/>
      <w:lvlText w:val="●"/>
      <w:lvlJc w:val="left"/>
      <w:pPr>
        <w:ind w:left="2880" w:hanging="360"/>
      </w:pPr>
    </w:lvl>
    <w:lvl w:ilvl="4" w:tplc="C590AC50">
      <w:start w:val="1"/>
      <w:numFmt w:val="bullet"/>
      <w:lvlText w:val="○"/>
      <w:lvlJc w:val="left"/>
      <w:pPr>
        <w:ind w:left="3600" w:hanging="360"/>
      </w:pPr>
    </w:lvl>
    <w:lvl w:ilvl="5" w:tplc="E93A08D8">
      <w:start w:val="1"/>
      <w:numFmt w:val="bullet"/>
      <w:lvlText w:val="■"/>
      <w:lvlJc w:val="left"/>
      <w:pPr>
        <w:ind w:left="4320" w:hanging="360"/>
      </w:pPr>
    </w:lvl>
    <w:lvl w:ilvl="6" w:tplc="BCB4ED92">
      <w:start w:val="1"/>
      <w:numFmt w:val="bullet"/>
      <w:lvlText w:val="●"/>
      <w:lvlJc w:val="left"/>
      <w:pPr>
        <w:ind w:left="5040" w:hanging="360"/>
      </w:pPr>
    </w:lvl>
    <w:lvl w:ilvl="7" w:tplc="AAF60E56">
      <w:start w:val="1"/>
      <w:numFmt w:val="bullet"/>
      <w:lvlText w:val="●"/>
      <w:lvlJc w:val="left"/>
      <w:pPr>
        <w:ind w:left="5760" w:hanging="360"/>
      </w:pPr>
    </w:lvl>
    <w:lvl w:ilvl="8" w:tplc="791A582C">
      <w:start w:val="1"/>
      <w:numFmt w:val="bullet"/>
      <w:lvlText w:val="●"/>
      <w:lvlJc w:val="left"/>
      <w:pPr>
        <w:ind w:left="6480" w:hanging="360"/>
      </w:pPr>
    </w:lvl>
  </w:abstractNum>
  <w:abstractNum w:abstractNumId="1" w15:restartNumberingAfterBreak="0">
    <w:nsid w:val="242731AC"/>
    <w:multiLevelType w:val="hybridMultilevel"/>
    <w:tmpl w:val="8714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831435"/>
    <w:multiLevelType w:val="hybridMultilevel"/>
    <w:tmpl w:val="B066C6E4"/>
    <w:lvl w:ilvl="0" w:tplc="CDB42B90">
      <w:start w:val="1"/>
      <w:numFmt w:val="bullet"/>
      <w:lvlText w:val="•"/>
      <w:lvlJc w:val="left"/>
      <w:pPr>
        <w:ind w:left="720" w:hanging="360"/>
      </w:pPr>
    </w:lvl>
    <w:lvl w:ilvl="1" w:tplc="B164F9CE">
      <w:numFmt w:val="decimal"/>
      <w:lvlText w:val=""/>
      <w:lvlJc w:val="left"/>
    </w:lvl>
    <w:lvl w:ilvl="2" w:tplc="D7CE8F7C">
      <w:numFmt w:val="decimal"/>
      <w:lvlText w:val=""/>
      <w:lvlJc w:val="left"/>
    </w:lvl>
    <w:lvl w:ilvl="3" w:tplc="087034FA">
      <w:numFmt w:val="decimal"/>
      <w:lvlText w:val=""/>
      <w:lvlJc w:val="left"/>
    </w:lvl>
    <w:lvl w:ilvl="4" w:tplc="D33C4CD0">
      <w:numFmt w:val="decimal"/>
      <w:lvlText w:val=""/>
      <w:lvlJc w:val="left"/>
    </w:lvl>
    <w:lvl w:ilvl="5" w:tplc="4E5EE9F2">
      <w:numFmt w:val="decimal"/>
      <w:lvlText w:val=""/>
      <w:lvlJc w:val="left"/>
    </w:lvl>
    <w:lvl w:ilvl="6" w:tplc="8FA8B5A2">
      <w:numFmt w:val="decimal"/>
      <w:lvlText w:val=""/>
      <w:lvlJc w:val="left"/>
    </w:lvl>
    <w:lvl w:ilvl="7" w:tplc="7C6CB5AC">
      <w:numFmt w:val="decimal"/>
      <w:lvlText w:val=""/>
      <w:lvlJc w:val="left"/>
    </w:lvl>
    <w:lvl w:ilvl="8" w:tplc="0204C658">
      <w:numFmt w:val="decimal"/>
      <w:lvlText w:val=""/>
      <w:lvlJc w:val="left"/>
    </w:lvl>
  </w:abstractNum>
  <w:num w:numId="1" w16cid:durableId="420222110">
    <w:abstractNumId w:val="0"/>
    <w:lvlOverride w:ilvl="0">
      <w:startOverride w:val="1"/>
    </w:lvlOverride>
  </w:num>
  <w:num w:numId="2" w16cid:durableId="1531214217">
    <w:abstractNumId w:val="2"/>
    <w:lvlOverride w:ilvl="0">
      <w:startOverride w:val="1"/>
    </w:lvlOverride>
  </w:num>
  <w:num w:numId="3" w16cid:durableId="722559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563"/>
    <w:rsid w:val="00036192"/>
    <w:rsid w:val="000B077C"/>
    <w:rsid w:val="00134A57"/>
    <w:rsid w:val="00173886"/>
    <w:rsid w:val="001933CE"/>
    <w:rsid w:val="001C57EE"/>
    <w:rsid w:val="001D2201"/>
    <w:rsid w:val="001E27FD"/>
    <w:rsid w:val="002143D7"/>
    <w:rsid w:val="00241C8E"/>
    <w:rsid w:val="002533FF"/>
    <w:rsid w:val="002B5F9E"/>
    <w:rsid w:val="002D267A"/>
    <w:rsid w:val="0030687A"/>
    <w:rsid w:val="003429D7"/>
    <w:rsid w:val="00371531"/>
    <w:rsid w:val="0039048A"/>
    <w:rsid w:val="003B2C2E"/>
    <w:rsid w:val="003B74B4"/>
    <w:rsid w:val="003D59BE"/>
    <w:rsid w:val="003E23D6"/>
    <w:rsid w:val="00400FA0"/>
    <w:rsid w:val="00431296"/>
    <w:rsid w:val="00450731"/>
    <w:rsid w:val="0046766D"/>
    <w:rsid w:val="00482913"/>
    <w:rsid w:val="00493F42"/>
    <w:rsid w:val="004C00C9"/>
    <w:rsid w:val="00604563"/>
    <w:rsid w:val="00676F8D"/>
    <w:rsid w:val="006950A9"/>
    <w:rsid w:val="006B6E05"/>
    <w:rsid w:val="006B71D2"/>
    <w:rsid w:val="006C18B6"/>
    <w:rsid w:val="006D2261"/>
    <w:rsid w:val="006D7A1A"/>
    <w:rsid w:val="006E2AA9"/>
    <w:rsid w:val="0071466B"/>
    <w:rsid w:val="00714B6E"/>
    <w:rsid w:val="00717C7B"/>
    <w:rsid w:val="00733AA6"/>
    <w:rsid w:val="00742FF8"/>
    <w:rsid w:val="00766F79"/>
    <w:rsid w:val="0079158B"/>
    <w:rsid w:val="007A5DBB"/>
    <w:rsid w:val="008366C5"/>
    <w:rsid w:val="008460A7"/>
    <w:rsid w:val="0087144B"/>
    <w:rsid w:val="008D14ED"/>
    <w:rsid w:val="008D7859"/>
    <w:rsid w:val="00904116"/>
    <w:rsid w:val="00951A4D"/>
    <w:rsid w:val="00972952"/>
    <w:rsid w:val="00976FE3"/>
    <w:rsid w:val="009B57E0"/>
    <w:rsid w:val="009D3447"/>
    <w:rsid w:val="009D7532"/>
    <w:rsid w:val="009E1DC9"/>
    <w:rsid w:val="009E6423"/>
    <w:rsid w:val="00A1003E"/>
    <w:rsid w:val="00A15C14"/>
    <w:rsid w:val="00A71063"/>
    <w:rsid w:val="00A7438A"/>
    <w:rsid w:val="00A968B8"/>
    <w:rsid w:val="00AC00CA"/>
    <w:rsid w:val="00AC1BFB"/>
    <w:rsid w:val="00AD2B0C"/>
    <w:rsid w:val="00BA6B55"/>
    <w:rsid w:val="00BC326B"/>
    <w:rsid w:val="00BD0911"/>
    <w:rsid w:val="00BF0863"/>
    <w:rsid w:val="00BF0958"/>
    <w:rsid w:val="00BF0E20"/>
    <w:rsid w:val="00C05AAC"/>
    <w:rsid w:val="00C27D5B"/>
    <w:rsid w:val="00C4062D"/>
    <w:rsid w:val="00C50131"/>
    <w:rsid w:val="00C964B9"/>
    <w:rsid w:val="00CB740B"/>
    <w:rsid w:val="00CE4D32"/>
    <w:rsid w:val="00CF0E08"/>
    <w:rsid w:val="00CF524A"/>
    <w:rsid w:val="00D11240"/>
    <w:rsid w:val="00D150E9"/>
    <w:rsid w:val="00D2192E"/>
    <w:rsid w:val="00D33FFF"/>
    <w:rsid w:val="00D878A6"/>
    <w:rsid w:val="00DA3377"/>
    <w:rsid w:val="00DE5538"/>
    <w:rsid w:val="00DE7ADD"/>
    <w:rsid w:val="00DF5F6C"/>
    <w:rsid w:val="00E0135B"/>
    <w:rsid w:val="00E850C8"/>
    <w:rsid w:val="00ED7596"/>
    <w:rsid w:val="00EE0DCB"/>
    <w:rsid w:val="00EE1BD0"/>
    <w:rsid w:val="00EE2938"/>
    <w:rsid w:val="00EF18CD"/>
    <w:rsid w:val="00F004A3"/>
    <w:rsid w:val="00F15860"/>
    <w:rsid w:val="00F65A84"/>
    <w:rsid w:val="00F70C7E"/>
    <w:rsid w:val="00F767CA"/>
    <w:rsid w:val="00F951F7"/>
    <w:rsid w:val="00FC18B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DBB78"/>
  <w15:docId w15:val="{66850763-364F-4A40-B63C-5E68EF2E9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F767CA"/>
    <w:rPr>
      <w:color w:val="666666"/>
    </w:rPr>
  </w:style>
  <w:style w:type="paragraph" w:styleId="Header">
    <w:name w:val="header"/>
    <w:basedOn w:val="Normal"/>
    <w:link w:val="HeaderChar"/>
    <w:uiPriority w:val="99"/>
    <w:unhideWhenUsed/>
    <w:rsid w:val="00CB740B"/>
    <w:pPr>
      <w:tabs>
        <w:tab w:val="center" w:pos="4513"/>
        <w:tab w:val="right" w:pos="9026"/>
      </w:tabs>
    </w:pPr>
  </w:style>
  <w:style w:type="character" w:customStyle="1" w:styleId="HeaderChar">
    <w:name w:val="Header Char"/>
    <w:basedOn w:val="DefaultParagraphFont"/>
    <w:link w:val="Header"/>
    <w:uiPriority w:val="99"/>
    <w:rsid w:val="00CB740B"/>
  </w:style>
  <w:style w:type="paragraph" w:styleId="Footer">
    <w:name w:val="footer"/>
    <w:basedOn w:val="Normal"/>
    <w:link w:val="FooterChar"/>
    <w:uiPriority w:val="99"/>
    <w:unhideWhenUsed/>
    <w:rsid w:val="00CB740B"/>
    <w:pPr>
      <w:tabs>
        <w:tab w:val="center" w:pos="4513"/>
        <w:tab w:val="right" w:pos="9026"/>
      </w:tabs>
    </w:pPr>
  </w:style>
  <w:style w:type="character" w:customStyle="1" w:styleId="FooterChar">
    <w:name w:val="Footer Char"/>
    <w:basedOn w:val="DefaultParagraphFont"/>
    <w:link w:val="Footer"/>
    <w:uiPriority w:val="99"/>
    <w:rsid w:val="00CB740B"/>
  </w:style>
  <w:style w:type="table" w:styleId="GridTable4">
    <w:name w:val="Grid Table 4"/>
    <w:basedOn w:val="TableNormal"/>
    <w:uiPriority w:val="49"/>
    <w:rsid w:val="009E642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6C18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01E62-9B82-4E9B-9B23-EC9BE7CEF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23</Pages>
  <Words>6552</Words>
  <Characters>37347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GREESHMA B</cp:lastModifiedBy>
  <cp:revision>81</cp:revision>
  <dcterms:created xsi:type="dcterms:W3CDTF">2026-03-06T13:42:00Z</dcterms:created>
  <dcterms:modified xsi:type="dcterms:W3CDTF">2026-04-13T05:49:00Z</dcterms:modified>
</cp:coreProperties>
</file>