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jc w:val="center"/>
      </w:pPr>
      <w:r>
        <w:rPr>
          <w:rFonts w:ascii="Arial" w:cs="Arial" w:eastAsia="Arial" w:hAnsi="Arial"/>
          <w:b/>
          <w:bCs/>
          <w:i w:val="false"/>
          <w:iCs w:val="false"/>
          <w:color w:val="1F4E79"/>
          <w:sz w:val="38"/>
          <w:szCs w:val="38"/>
        </w:rPr>
        <w:t xml:space="preserve">RBI PCA Panel Probit — Full Results Report</w:t>
      </w:r>
    </w:p>
    <w:p>
      <w:pPr>
        <w:spacing w:before="40" w:after="40"/>
        <w:jc w:val="center"/>
      </w:pPr>
      <w:r>
        <w:rPr>
          <w:rFonts w:ascii="Arial" w:cs="Arial" w:eastAsia="Arial" w:hAnsi="Arial"/>
          <w:b w:val="false"/>
          <w:bCs w:val="false"/>
          <w:i/>
          <w:iCs/>
          <w:color w:val="595959"/>
          <w:sz w:val="22"/>
          <w:szCs w:val="22"/>
        </w:rPr>
        <w:t xml:space="preserve">5 Specifications | AME | Separation Check | Cross-Model Robustness</w:t>
      </w:r>
    </w:p>
    <w:p>
      <w:pPr>
        <w:spacing w:before="40" w:after="200"/>
        <w:jc w:val="center"/>
      </w:pPr>
      <w:r>
        <w:rPr>
          <w:rFonts w:ascii="Arial" w:cs="Arial" w:eastAsia="Arial" w:hAnsi="Arial"/>
          <w:b w:val="false"/>
          <w:bCs w:val="false"/>
          <w:i w:val="false"/>
          <w:iCs w:val="false"/>
          <w:color w:val="2E75B6"/>
          <w:sz w:val="18"/>
          <w:szCs w:val="18"/>
        </w:rPr>
        <w:t xml:space="preserve">1,080 obs  |  102 Banks  |  40 PCA Events  |  FY2008–FY2024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Key Finding</w:t>
            </w:r>
          </w:p>
        </w:tc>
        <w:tc>
          <w:tcPr>
            <w:tcW w:type="dxa" w:w="6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Detail</w:t>
            </w:r>
          </w:p>
        </w:tc>
      </w:tr>
      <w:tr>
        <w:tc>
          <w:tcPr>
            <w:tcW w:type="dxa" w:w="2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Significant predictors (p&lt;0.05)</w:t>
            </w:r>
          </w:p>
        </w:tc>
        <w:tc>
          <w:tcPr>
            <w:tcW w:type="dxa" w:w="6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CRAR (t-1)***, GNPA (t-1)***, Credit Growth**, GDP Growth**, PSB Dummy**, PCA Rev 2017**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NEW vs original model</w:t>
            </w:r>
          </w:p>
        </w:tc>
        <w:tc>
          <w:tcPr>
            <w:tcW w:type="dxa" w:w="6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Credit Growth, GDP Growth and PCA Rev 2017 now significant after dropping Repo Rate collinearity</w:t>
            </w:r>
          </w:p>
        </w:tc>
      </w:tr>
      <w:tr>
        <w:tc>
          <w:tcPr>
            <w:tcW w:type="dxa" w:w="2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Separation check</w:t>
            </w:r>
          </w:p>
        </w:tc>
        <w:tc>
          <w:tcPr>
            <w:tcW w:type="dxa" w:w="6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PASSED — no complete separation in any predictor. Firth correction NOT required.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AUC across all 5 models</w:t>
            </w:r>
          </w:p>
        </w:tc>
        <w:tc>
          <w:tcPr>
            <w:tcW w:type="dxa" w:w="6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0.9876 to 0.9898 — excellent and stable across all specifications</w:t>
            </w:r>
          </w:p>
        </w:tc>
      </w:tr>
      <w:tr>
        <w:tc>
          <w:tcPr>
            <w:tcW w:type="dxa" w:w="2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AME: PSB effect</w:t>
            </w:r>
          </w:p>
        </w:tc>
        <w:tc>
          <w:tcPr>
            <w:tcW w:type="dxa" w:w="6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Public sector banks face 4.2pp higher absolute PCA probability than private banks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AME: CRAR effect</w:t>
            </w:r>
          </w:p>
        </w:tc>
        <w:tc>
          <w:tcPr>
            <w:tcW w:type="dxa" w:w="6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Each 1pp rise in CRAR lowers P(PCA) by 0.82pp on average</w:t>
            </w:r>
          </w:p>
        </w:tc>
      </w:tr>
      <w:tr>
        <w:tc>
          <w:tcPr>
            <w:tcW w:type="dxa" w:w="2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Recommended final model</w:t>
            </w:r>
          </w:p>
        </w:tc>
        <w:tc>
          <w:tcPr>
            <w:tcW w:type="dxa" w:w="6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6 predictors: CRAR, GNPA, Credit Growth, GDP Growth, PSB Dummy, PCA Rev 2017</w:t>
            </w:r>
          </w:p>
        </w:tc>
      </w:tr>
    </w:tbl>
    <w:p>
      <w:r>
        <w:br w:type="page"/>
      </w:r>
    </w:p>
    <w:p>
      <w:pPr>
        <w:pBdr>
          <w:bottom w:val="single" w:color="2E75B6" w:sz="6" w:space="1"/>
        </w:pBdr>
        <w:spacing w:before="280" w:after="100"/>
      </w:pPr>
      <w:r>
        <w:rPr>
          <w:rFonts w:ascii="Arial" w:cs="Arial" w:eastAsia="Arial" w:hAnsi="Arial"/>
          <w:b/>
          <w:bCs/>
          <w:i w:val="false"/>
          <w:iCs w:val="false"/>
          <w:color w:val="1F4E79"/>
          <w:sz w:val="30"/>
          <w:szCs w:val="30"/>
        </w:rPr>
        <w:t xml:space="preserve">1.  Changes Made (Next Steps Executed)</w:t>
      </w:r>
    </w:p>
    <w:p>
      <w:pPr>
        <w:spacing w:before="60" w:after="80" w:line="276"/>
        <w:jc w:val="both"/>
      </w:pPr>
      <w:r>
        <w:rPr>
          <w:rFonts w:ascii="Arial" w:cs="Arial" w:eastAsia="Arial" w:hAnsi="Arial"/>
          <w:b w:val="false"/>
          <w:bCs w:val="false"/>
          <w:i w:val="false"/>
          <w:iCs w:val="false"/>
          <w:color w:val="000000"/>
          <w:sz w:val="20"/>
          <w:szCs w:val="20"/>
        </w:rPr>
        <w:t xml:space="preserve">The following improvements were made to address the issues identified in the previous analysis.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Step</w:t>
            </w:r>
          </w:p>
        </w:tc>
        <w:tc>
          <w:tcPr>
            <w:tcW w:type="dxa" w:w="38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Change</w:t>
            </w:r>
          </w:p>
        </w:tc>
        <w:tc>
          <w:tcPr>
            <w:tcW w:type="dxa" w:w="5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Result</w:t>
            </w:r>
          </w:p>
        </w:tc>
      </w:tr>
      <w:tr>
        <w:tc>
          <w:tcPr>
            <w:tcW w:type="dxa" w:w="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1</w:t>
            </w:r>
          </w:p>
        </w:tc>
        <w:tc>
          <w:tcPr>
            <w:tcW w:type="dxa" w:w="3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Sandwich (robust) SE used in place of basic clustered SE</w:t>
            </w:r>
          </w:p>
        </w:tc>
        <w:tc>
          <w:tcPr>
            <w:tcW w:type="dxa" w:w="5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More conservative standard errors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Separation check: tested min/max overlap per predictor</w:t>
            </w:r>
          </w:p>
        </w:tc>
        <w:tc>
          <w:tcPr>
            <w:tcW w:type="dxa" w:w="5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PASSED — all 12 predictors show overlap</w:t>
            </w:r>
          </w:p>
        </w:tc>
      </w:tr>
      <w:tr>
        <w:tc>
          <w:tcPr>
            <w:tcW w:type="dxa" w:w="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3</w:t>
            </w:r>
          </w:p>
        </w:tc>
        <w:tc>
          <w:tcPr>
            <w:tcW w:type="dxa" w:w="3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Repo Rate dropped from all specifications</w:t>
            </w:r>
          </w:p>
        </w:tc>
        <w:tc>
          <w:tcPr>
            <w:tcW w:type="dxa" w:w="5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Reduced macro multicollinearity; 3 new significant predictors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COVID + Moratorium replaced by single FORBEARANCE dummy (FY2021)</w:t>
            </w:r>
          </w:p>
        </w:tc>
        <w:tc>
          <w:tcPr>
            <w:tcW w:type="dxa" w:w="5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Eliminated near-perfect collinearity between the two dummies</w:t>
            </w:r>
          </w:p>
        </w:tc>
      </w:tr>
      <w:tr>
        <w:tc>
          <w:tcPr>
            <w:tcW w:type="dxa" w:w="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5</w:t>
            </w:r>
          </w:p>
        </w:tc>
        <w:tc>
          <w:tcPr>
            <w:tcW w:type="dxa" w:w="3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M3: ROA excluded to test collinearity with CRAR</w:t>
            </w:r>
          </w:p>
        </w:tc>
        <w:tc>
          <w:tcPr>
            <w:tcW w:type="dxa" w:w="5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AUC unchanged — confirms ROA is redundant given CRAR</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M4: PSB-only subsample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GDP and IBC become significant; CRAR/GNPA effects much stronger</w:t>
            </w:r>
          </w:p>
        </w:tc>
      </w:tr>
      <w:tr>
        <w:tc>
          <w:tcPr>
            <w:tcW w:type="dxa" w:w="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7</w:t>
            </w:r>
          </w:p>
        </w:tc>
        <w:tc>
          <w:tcPr>
            <w:tcW w:type="dxa" w:w="3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M5: Tier 1 CRAR replaces Total CRAR</w:t>
            </w:r>
          </w:p>
        </w:tc>
        <w:tc>
          <w:tcPr>
            <w:tcW w:type="dxa" w:w="5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Confirms capital result; CPI becomes significant when Tier1 used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AME computed for all M1 predictors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PSB = +4.2pp; CRAR = -0.82pp per 1pp change in each variable</w:t>
            </w:r>
          </w:p>
        </w:tc>
      </w:tr>
    </w:tbl>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r>
        <w:br w:type="page"/>
      </w:r>
    </w:p>
    <w:p>
      <w:pPr>
        <w:pBdr>
          <w:bottom w:val="single" w:color="2E75B6" w:sz="6" w:space="1"/>
        </w:pBdr>
        <w:spacing w:before="280" w:after="100"/>
      </w:pPr>
      <w:r>
        <w:rPr>
          <w:rFonts w:ascii="Arial" w:cs="Arial" w:eastAsia="Arial" w:hAnsi="Arial"/>
          <w:b/>
          <w:bCs/>
          <w:i w:val="false"/>
          <w:iCs w:val="false"/>
          <w:color w:val="1F4E79"/>
          <w:sz w:val="30"/>
          <w:szCs w:val="30"/>
        </w:rPr>
        <w:t xml:space="preserve">2.  Model M1 — Base Specification (Primary Model)</w:t>
      </w:r>
    </w:p>
    <w:p>
      <w:pPr>
        <w:spacing w:before="60" w:after="80" w:line="276"/>
        <w:jc w:val="both"/>
      </w:pPr>
      <w:r>
        <w:rPr>
          <w:rFonts w:ascii="Arial" w:cs="Arial" w:eastAsia="Arial" w:hAnsi="Arial"/>
          <w:b w:val="false"/>
          <w:bCs w:val="false"/>
          <w:i w:val="false"/>
          <w:iCs w:val="false"/>
          <w:color w:val="000000"/>
          <w:sz w:val="20"/>
          <w:szCs w:val="20"/>
        </w:rPr>
        <w:t xml:space="preserve">M1 is the primary specification. Three variables are newly significant compared to the original run: Credit Growth (t-1) **, GDP Growth %, and PCA Revision 2017 **. These were masked by Repo Rate multicollinearity in the original.</w:t>
      </w:r>
    </w:p>
    <w:p>
      <w:pPr>
        <w:shd w:fill="E2EFDA" w:val="clear"/>
        <w:spacing w:before="60" w:after="60"/>
        <w:ind w:left="180" w:right="180"/>
      </w:pPr>
      <w:r>
        <w:rPr>
          <w:rFonts w:ascii="Arial" w:cs="Arial" w:eastAsia="Arial" w:hAnsi="Arial"/>
          <w:b w:val="false"/>
          <w:bCs w:val="false"/>
          <w:i/>
          <w:iCs/>
          <w:color w:val="375623"/>
          <w:sz w:val="17"/>
          <w:szCs w:val="17"/>
        </w:rPr>
        <w:t xml:space="preserve">NEW findings vs original: Credit Growth, GDP Growth, PCA Rev 2017 all now significant at 5%. The model now has 6 significant predictors instead of 3.</w:t>
      </w:r>
    </w:p>
    <w:p>
      <w:pPr>
        <w:spacing w:before="40" w:after="40"/>
      </w:pPr>
      <w:r>
        <w:rPr>
          <w:rFonts w:ascii="Arial" w:cs="Arial" w:eastAsia="Arial" w:hAnsi="Arial"/>
          <w:b w:val="false"/>
          <w:bCs w:val="false"/>
          <w:i w:val="false"/>
          <w:iCs w:val="false"/>
          <w:color w:val="000000"/>
          <w:sz w:val="20"/>
          <w:szCs w:val="20"/>
        </w:rPr>
        <w:t xml:space="preserve"/>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800"/>
        <w:gridCol w:w="140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Variable</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Coefficient</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Std. Error</w:t>
            </w:r>
          </w:p>
        </w:tc>
        <w:tc>
          <w:tcPr>
            <w:tcW w:type="dxa" w:w="8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z-stat</w:t>
            </w:r>
          </w:p>
        </w:tc>
        <w:tc>
          <w:tcPr>
            <w:tcW w:type="dxa" w:w="1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Significance</w:t>
            </w:r>
          </w:p>
        </w:tc>
      </w:tr>
      <w:tr>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Constant</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+1.3652</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(2.2497)</w:t>
            </w:r>
          </w:p>
        </w:tc>
        <w:tc>
          <w:tcPr>
            <w:tcW w:type="dxa" w:w="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0.607</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p=0.5440</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CRAR, Total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-0.3173***</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(0.0953)</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-3.330</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p&lt;0.001 ***</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GNPA Ratio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+0.1253***</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(0.0456)</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2.749</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p=0.0060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ROA %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+0.1066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(0.1734)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0.615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p=0.5388</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Cost-Income Ratio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+0.0206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(0.0135)</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1.526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p=0.1255</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Log(Total Assets)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-0.1436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(0.1306)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-1.099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p=0.2715</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Credit Growth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-0.0391**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(0.0164)</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-2.384</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p=0.0167 **</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GDP Growth %</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+0.0920**</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(0.0429)</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2.144</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p=0.0321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CPI Inflation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-0.2903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(0.1881)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-1.543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p=0.1226</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PSB Dummy</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+1.6150**</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(0.6846)</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2.359</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p=0.0183 **</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PCA Revision 2017 Dummy</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+1.1929**</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(0.5061)</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2.357</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p=0.0184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IBC Dummy (from FY2017)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-0.7488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(0.5806)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-1.290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p=0.1971</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NPA Forbearance Dummy (FY2021)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-0.6038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(0.7546)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-0.800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p=0.4236</w:t>
            </w:r>
          </w:p>
        </w:tc>
      </w:tr>
      <w:tr>
        <w:tc>
          <w:tcPr>
            <w:gridSpan w:val="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i/>
                <w:iCs/>
                <w:color w:val="595959"/>
                <w:sz w:val="16"/>
                <w:szCs w:val="16"/>
              </w:rPr>
              <w:t xml:space="preserve">n=1080  |  PCA events=40  |  AUC=0.9897  |  McFadden R²=0.7022  |  Full sample FY2008-2024. Repo Rate excluded. COVID/Moratorium replaced by Forbearance dummy.</w:t>
            </w:r>
          </w:p>
        </w:tc>
      </w:tr>
    </w:tbl>
    <w:p>
      <w:pPr>
        <w:spacing w:before="40" w:after="40"/>
      </w:pPr>
      <w:r>
        <w:rPr>
          <w:rFonts w:ascii="Arial" w:cs="Arial" w:eastAsia="Arial" w:hAnsi="Arial"/>
          <w:b w:val="false"/>
          <w:bCs w:val="false"/>
          <w:i w:val="false"/>
          <w:iCs w:val="false"/>
          <w:color w:val="000000"/>
          <w:sz w:val="20"/>
          <w:szCs w:val="20"/>
        </w:rPr>
        <w:t xml:space="preserve"/>
      </w:r>
    </w:p>
    <w:p>
      <w:pPr>
        <w:shd w:fill="DEEAF1" w:val="clear"/>
        <w:spacing w:before="60" w:after="60"/>
        <w:ind w:left="180" w:right="180"/>
      </w:pPr>
      <w:r>
        <w:rPr>
          <w:rFonts w:ascii="Arial" w:cs="Arial" w:eastAsia="Arial" w:hAnsi="Arial"/>
          <w:b w:val="false"/>
          <w:bCs w:val="false"/>
          <w:i/>
          <w:iCs/>
          <w:color w:val="1F4E79"/>
          <w:sz w:val="17"/>
          <w:szCs w:val="17"/>
        </w:rPr>
        <w:t xml:space="preserve">PCA Revision 2017 positive coefficient (1.193, p=0.018): the 2017 reform identified previously hidden distress rather than deterring breach — consistent with 11 banks being placed under PCA in the 12 months following the revision.</w:t>
      </w:r>
    </w:p>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r>
        <w:br w:type="page"/>
      </w:r>
    </w:p>
    <w:p>
      <w:pPr>
        <w:pBdr>
          <w:bottom w:val="single" w:color="2E75B6" w:sz="6" w:space="1"/>
        </w:pBdr>
        <w:spacing w:before="280" w:after="100"/>
      </w:pPr>
      <w:r>
        <w:rPr>
          <w:rFonts w:ascii="Arial" w:cs="Arial" w:eastAsia="Arial" w:hAnsi="Arial"/>
          <w:b/>
          <w:bCs/>
          <w:i w:val="false"/>
          <w:iCs w:val="false"/>
          <w:color w:val="1F4E79"/>
          <w:sz w:val="30"/>
          <w:szCs w:val="30"/>
        </w:rPr>
        <w:t xml:space="preserve">3.  Model M3 — ROA Excluded</w:t>
      </w:r>
    </w:p>
    <w:p>
      <w:pPr>
        <w:spacing w:before="60" w:after="80" w:line="276"/>
        <w:jc w:val="both"/>
      </w:pPr>
      <w:r>
        <w:rPr>
          <w:rFonts w:ascii="Arial" w:cs="Arial" w:eastAsia="Arial" w:hAnsi="Arial"/>
          <w:b w:val="false"/>
          <w:bCs w:val="false"/>
          <w:i w:val="false"/>
          <w:iCs w:val="false"/>
          <w:color w:val="000000"/>
          <w:sz w:val="20"/>
          <w:szCs w:val="20"/>
        </w:rPr>
        <w:t xml:space="preserve">M3 drops ROA to isolate whether its insignificance in M1 was collinearity with CRAR. If ROA is redundant, AUC and other coefficients should be unchanged.</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800"/>
        <w:gridCol w:w="140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Variable</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Coefficient</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Std. Error</w:t>
            </w:r>
          </w:p>
        </w:tc>
        <w:tc>
          <w:tcPr>
            <w:tcW w:type="dxa" w:w="8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z-stat</w:t>
            </w:r>
          </w:p>
        </w:tc>
        <w:tc>
          <w:tcPr>
            <w:tcW w:type="dxa" w:w="1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Significance</w:t>
            </w:r>
          </w:p>
        </w:tc>
      </w:tr>
      <w:tr>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Constant</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+1.6034</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(2.1737)</w:t>
            </w:r>
          </w:p>
        </w:tc>
        <w:tc>
          <w:tcPr>
            <w:tcW w:type="dxa" w:w="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0.737</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p=0.4607</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CRAR, Total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-0.3016***</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(0.0946)</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-3.188</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p=0.0014 ***</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GNPA Ratio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+0.1153***</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(0.0401)</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2.874</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p=0.0041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Cost-Income Ratio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+0.0183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(0.0122)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1.500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p=0.1340</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Log(Total Assets)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-0.1696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(0.1158)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-1.464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p=0.1430</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Credit Growth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-0.0361**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(0.0140)</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-2.578</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p=0.0100 **</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GDP Growth %</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+0.0962**</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(0.0438)</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2.196</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p=0.0282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CPI Inflation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-0.2981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(0.1964)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-1.518</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p=0.1291</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PSB Dummy</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+1.7126***</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(0.6591)</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2.598</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p=0.0094 ***</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PCA Revision 2017 Dummy</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+1.1674**</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(0.5114)</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2.283</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p=0.0225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IBC Dummy (from FY2017)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-0.7165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(0.5613)</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-1.277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p=0.2018</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NPA Forbearance Dummy (FY2021)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-0.6530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(0.7630)</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-0.856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p=0.3921</w:t>
            </w:r>
          </w:p>
        </w:tc>
      </w:tr>
      <w:tr>
        <w:tc>
          <w:tcPr>
            <w:gridSpan w:val="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i/>
                <w:iCs/>
                <w:color w:val="595959"/>
                <w:sz w:val="16"/>
                <w:szCs w:val="16"/>
              </w:rPr>
              <w:t xml:space="preserve">n=1080  |  PCA events=40  |  AUC=0.9898  |  McFadden R²=0.7010  |  ROA dropped to test collinearity with CRAR. AUC unchanged — confirms ROA is redundant.</w:t>
            </w:r>
          </w:p>
        </w:tc>
      </w:tr>
    </w:tbl>
    <w:p>
      <w:pPr>
        <w:spacing w:before="40" w:after="40"/>
      </w:pPr>
      <w:r>
        <w:rPr>
          <w:rFonts w:ascii="Arial" w:cs="Arial" w:eastAsia="Arial" w:hAnsi="Arial"/>
          <w:b w:val="false"/>
          <w:bCs w:val="false"/>
          <w:i w:val="false"/>
          <w:iCs w:val="false"/>
          <w:color w:val="000000"/>
          <w:sz w:val="20"/>
          <w:szCs w:val="20"/>
        </w:rPr>
        <w:t xml:space="preserve"/>
      </w:r>
    </w:p>
    <w:p>
      <w:pPr>
        <w:shd w:fill="FCE4D6" w:val="clear"/>
        <w:spacing w:before="60" w:after="60"/>
        <w:ind w:left="180" w:right="180"/>
      </w:pPr>
      <w:r>
        <w:rPr>
          <w:rFonts w:ascii="Arial" w:cs="Arial" w:eastAsia="Arial" w:hAnsi="Arial"/>
          <w:b w:val="false"/>
          <w:bCs w:val="false"/>
          <w:i/>
          <w:iCs/>
          <w:color w:val="C00000"/>
          <w:sz w:val="17"/>
          <w:szCs w:val="17"/>
        </w:rPr>
        <w:t xml:space="preserve">AUC is 0.9898 in M3 vs 0.9897 in M1 — virtually identical. All other coefficients are stable. This confirms ROA adds no explanatory power conditional on CRAR. Recommendation: drop ROA from the final parsimonious model.</w:t>
      </w:r>
    </w:p>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r>
        <w:br w:type="page"/>
      </w:r>
    </w:p>
    <w:p>
      <w:pPr>
        <w:pBdr>
          <w:bottom w:val="single" w:color="2E75B6" w:sz="6" w:space="1"/>
        </w:pBdr>
        <w:spacing w:before="280" w:after="100"/>
      </w:pPr>
      <w:r>
        <w:rPr>
          <w:rFonts w:ascii="Arial" w:cs="Arial" w:eastAsia="Arial" w:hAnsi="Arial"/>
          <w:b/>
          <w:bCs/>
          <w:i w:val="false"/>
          <w:iCs w:val="false"/>
          <w:color w:val="1F4E79"/>
          <w:sz w:val="30"/>
          <w:szCs w:val="30"/>
        </w:rPr>
        <w:t xml:space="preserve">4.  Model M4 — PSB Subsample Robustness</w:t>
      </w:r>
    </w:p>
    <w:p>
      <w:pPr>
        <w:spacing w:before="60" w:after="80" w:line="276"/>
        <w:jc w:val="both"/>
      </w:pPr>
      <w:r>
        <w:rPr>
          <w:rFonts w:ascii="Arial" w:cs="Arial" w:eastAsia="Arial" w:hAnsi="Arial"/>
          <w:b w:val="false"/>
          <w:bCs w:val="false"/>
          <w:i w:val="false"/>
          <w:iCs w:val="false"/>
          <w:color w:val="000000"/>
          <w:sz w:val="20"/>
          <w:szCs w:val="20"/>
        </w:rPr>
        <w:t xml:space="preserve">M4 restricts to public sector banks only (333 obs, 36 PCA events, 10.8% event rate). Since all 12 PCA banks are PSBs, this tests whether results hold within the homogeneous PSB group.</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800"/>
        <w:gridCol w:w="140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Variable</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Coefficient</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Std. Error</w:t>
            </w:r>
          </w:p>
        </w:tc>
        <w:tc>
          <w:tcPr>
            <w:tcW w:type="dxa" w:w="8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z-stat</w:t>
            </w:r>
          </w:p>
        </w:tc>
        <w:tc>
          <w:tcPr>
            <w:tcW w:type="dxa" w:w="1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Significance</w:t>
            </w:r>
          </w:p>
        </w:tc>
      </w:tr>
      <w:tr>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Constant</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+4.1459</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(4.5912)</w:t>
            </w:r>
          </w:p>
        </w:tc>
        <w:tc>
          <w:tcPr>
            <w:tcW w:type="dxa" w:w="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0.903</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p=0.3665</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CRAR, Total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-0.5261***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(0.1752)</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-3.003</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p=0.0027 ***</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GNPA Ratio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+0.2750***</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(0.0838)</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3.281</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p=0.0010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ROA %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+0.0275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(0.2512)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0.109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p=0.9128</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Cost-Income Ratio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+0.0303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(0.0241)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1.257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p=0.2080</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Log(Total Assets)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-0.4039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(0.3287)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-1.229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p=0.2192</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Credit Growth %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-0.0353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(0.0305)</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-1.157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p=0.2473</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GDP Growth %</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+0.2124***</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(0.0667)</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3.184</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p=0.0015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CPI Inflation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+0.0250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(0.1577)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0.159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p=0.8741</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PCA Revision 2017 Dummy</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+2.2665***</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(0.8408)</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2.695</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p=0.0070 ***</w:t>
            </w:r>
          </w:p>
        </w:tc>
      </w:tr>
      <w:tr>
        <w:tc>
          <w:tcPr>
            <w:tcW w:type="dxa" w:w="29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IBC Dummy (from FY2017)</w:t>
            </w:r>
          </w:p>
        </w:tc>
        <w:tc>
          <w:tcPr>
            <w:tcW w:type="dxa" w:w="10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-1.7846*</w:t>
            </w:r>
          </w:p>
        </w:tc>
        <w:tc>
          <w:tcPr>
            <w:tcW w:type="dxa" w:w="10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(0.9735)</w:t>
            </w:r>
          </w:p>
        </w:tc>
        <w:tc>
          <w:tcPr>
            <w:tcW w:type="dxa" w:w="8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-1.833</w:t>
            </w:r>
          </w:p>
        </w:tc>
        <w:tc>
          <w:tcPr>
            <w:tcW w:type="dxa" w:w="14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p=0.0668 *</w:t>
            </w:r>
          </w:p>
        </w:tc>
      </w:tr>
      <w:tr>
        <w:tc>
          <w:tcPr>
            <w:tcW w:type="dxa" w:w="29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NPA Forbearance Dummy (FY2021)</w:t>
            </w:r>
          </w:p>
        </w:tc>
        <w:tc>
          <w:tcPr>
            <w:tcW w:type="dxa" w:w="10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-1.4018*</w:t>
            </w:r>
          </w:p>
        </w:tc>
        <w:tc>
          <w:tcPr>
            <w:tcW w:type="dxa" w:w="10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(0.8191)</w:t>
            </w:r>
          </w:p>
        </w:tc>
        <w:tc>
          <w:tcPr>
            <w:tcW w:type="dxa" w:w="8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-1.711</w:t>
            </w:r>
          </w:p>
        </w:tc>
        <w:tc>
          <w:tcPr>
            <w:tcW w:type="dxa" w:w="14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p=0.0870 *</w:t>
            </w:r>
          </w:p>
        </w:tc>
      </w:tr>
      <w:tr>
        <w:tc>
          <w:tcPr>
            <w:gridSpan w:val="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i/>
                <w:iCs/>
                <w:color w:val="595959"/>
                <w:sz w:val="16"/>
                <w:szCs w:val="16"/>
              </w:rPr>
              <w:t xml:space="preserve">n=333  |  PCA events=36  |  AUC=0.9884  |  McFadden R²=0.7570  |  19 nationalised + SBI group banks only. PSB dummy excluded (no variation). New findings: GDP and IBC now significant.</w:t>
            </w:r>
          </w:p>
        </w:tc>
      </w:tr>
    </w:tbl>
    <w:p>
      <w:pPr>
        <w:spacing w:before="40" w:after="40"/>
      </w:pPr>
      <w:r>
        <w:rPr>
          <w:rFonts w:ascii="Arial" w:cs="Arial" w:eastAsia="Arial" w:hAnsi="Arial"/>
          <w:b w:val="false"/>
          <w:bCs w:val="false"/>
          <w:i w:val="false"/>
          <w:iCs w:val="false"/>
          <w:color w:val="000000"/>
          <w:sz w:val="20"/>
          <w:szCs w:val="20"/>
        </w:rPr>
        <w:t xml:space="preserve"/>
      </w:r>
    </w:p>
    <w:p>
      <w:pPr>
        <w:shd w:fill="E2EFDA" w:val="clear"/>
        <w:spacing w:before="60" w:after="60"/>
        <w:ind w:left="180" w:right="180"/>
      </w:pPr>
      <w:r>
        <w:rPr>
          <w:rFonts w:ascii="Arial" w:cs="Arial" w:eastAsia="Arial" w:hAnsi="Arial"/>
          <w:b w:val="false"/>
          <w:bCs w:val="false"/>
          <w:i/>
          <w:iCs/>
          <w:color w:val="375623"/>
          <w:sz w:val="17"/>
          <w:szCs w:val="17"/>
        </w:rPr>
        <w:t xml:space="preserve">PSB-only findings: (1) CRAR effect doubles in magnitude (-0.526 vs -0.317) — capital constraints bite harder within PSBs. (2) GNPA effect doubles (+0.275 vs +0.125). (3) GDP Growth highly significant (*** p=0.0015) — PSB credit quality is macro-sensitive. (4) IBC marginally significant (* p=0.067) — insolvency resolution mattered for PSBs. (5) Forbearance marginally significant (* p=0.087).</w:t>
      </w:r>
    </w:p>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r>
        <w:br w:type="page"/>
      </w:r>
    </w:p>
    <w:p>
      <w:pPr>
        <w:pBdr>
          <w:bottom w:val="single" w:color="2E75B6" w:sz="6" w:space="1"/>
        </w:pBdr>
        <w:spacing w:before="280" w:after="100"/>
      </w:pPr>
      <w:r>
        <w:rPr>
          <w:rFonts w:ascii="Arial" w:cs="Arial" w:eastAsia="Arial" w:hAnsi="Arial"/>
          <w:b/>
          <w:bCs/>
          <w:i w:val="false"/>
          <w:iCs w:val="false"/>
          <w:color w:val="1F4E79"/>
          <w:sz w:val="30"/>
          <w:szCs w:val="30"/>
        </w:rPr>
        <w:t xml:space="preserve">5.  Model M5 — Tier 1 CRAR (Alternative Capital)</w:t>
      </w:r>
    </w:p>
    <w:p>
      <w:pPr>
        <w:spacing w:before="60" w:after="80" w:line="276"/>
        <w:jc w:val="both"/>
      </w:pPr>
      <w:r>
        <w:rPr>
          <w:rFonts w:ascii="Arial" w:cs="Arial" w:eastAsia="Arial" w:hAnsi="Arial"/>
          <w:b w:val="false"/>
          <w:bCs w:val="false"/>
          <w:i w:val="false"/>
          <w:iCs w:val="false"/>
          <w:color w:val="000000"/>
          <w:sz w:val="20"/>
          <w:szCs w:val="20"/>
        </w:rPr>
        <w:t xml:space="preserve">M5 replaces Total CRAR with Tier 1 CRAR to test whether core equity capital is the relevant measure, not total regulatory capital which includes less loss-absorbent Tier 2 instruments.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800"/>
        <w:gridCol w:w="140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Variable</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Coefficient</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Std. Error</w:t>
            </w:r>
          </w:p>
        </w:tc>
        <w:tc>
          <w:tcPr>
            <w:tcW w:type="dxa" w:w="8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z-stat</w:t>
            </w:r>
          </w:p>
        </w:tc>
        <w:tc>
          <w:tcPr>
            <w:tcW w:type="dxa" w:w="1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Significance</w:t>
            </w:r>
          </w:p>
        </w:tc>
      </w:tr>
      <w:tr>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Constant</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+0.7062</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(1.8345)</w:t>
            </w:r>
          </w:p>
        </w:tc>
        <w:tc>
          <w:tcPr>
            <w:tcW w:type="dxa" w:w="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0.385</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p=0.7002</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Tier 1 CRAR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-0.1639**</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(0.0669)</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-2.450</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p=0.0142 **</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GNPA Ratio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+0.1153***</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(0.0369)</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3.125</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p=0.0018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ROA %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+0.0336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(0.1925)</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0.175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p=0.8615</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Cost-Income Ratio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+0.0173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(0.0127)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1.362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p=0.1732</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Log(Total Assets)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-0.1583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(0.1110)</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-1.426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p=0.1541</w:t>
            </w:r>
          </w:p>
        </w:tc>
      </w:tr>
      <w:tr>
        <w:tc>
          <w:tcPr>
            <w:tcW w:type="dxa" w:w="29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Credit Growth % (t-1)</w:t>
            </w:r>
          </w:p>
        </w:tc>
        <w:tc>
          <w:tcPr>
            <w:tcW w:type="dxa" w:w="10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-0.0276*</w:t>
            </w:r>
          </w:p>
        </w:tc>
        <w:tc>
          <w:tcPr>
            <w:tcW w:type="dxa" w:w="10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(0.0158)</w:t>
            </w:r>
          </w:p>
        </w:tc>
        <w:tc>
          <w:tcPr>
            <w:tcW w:type="dxa" w:w="8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-1.747</w:t>
            </w:r>
          </w:p>
        </w:tc>
        <w:tc>
          <w:tcPr>
            <w:tcW w:type="dxa" w:w="14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p=0.0802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GDP Growth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+0.0569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(0.0377)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1.510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p=0.1313</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CPI Inflation %</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-0.4461**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(0.1835)</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-2.431</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p=0.0151 **</w:t>
            </w:r>
          </w:p>
        </w:tc>
      </w:tr>
      <w:tr>
        <w:tc>
          <w:tcPr>
            <w:tcW w:type="dxa" w:w="2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PSB Dummy</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+1.6415***</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(0.6282)</w:t>
            </w:r>
          </w:p>
        </w:tc>
        <w:tc>
          <w:tcPr>
            <w:tcW w:type="dxa" w:w="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2.613</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p=0.0090 ***</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PCA Revision 2017 Dummy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+0.7416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(0.4586)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1.617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p=0.1059</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IBC Dummy (from FY2017)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-0.7157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(0.5044)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-1.419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p=0.1559</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NPA Forbearance Dummy (FY2021)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-0.1679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(0.7463)</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-0.225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p=0.8220</w:t>
            </w:r>
          </w:p>
        </w:tc>
      </w:tr>
      <w:tr>
        <w:tc>
          <w:tcPr>
            <w:gridSpan w:val="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i/>
                <w:iCs/>
                <w:color w:val="595959"/>
                <w:sz w:val="16"/>
                <w:szCs w:val="16"/>
              </w:rPr>
              <w:t xml:space="preserve">n=1080  |  PCA events=40  |  AUC=0.9876  |  McFadden R²=0.6738  |  Total CRAR replaced by Tier 1 CRAR. CPI becomes significant (**) — hidden by repo collinearity before.</w:t>
            </w:r>
          </w:p>
        </w:tc>
      </w:tr>
    </w:tbl>
    <w:p>
      <w:pPr>
        <w:spacing w:before="40" w:after="40"/>
      </w:pPr>
      <w:r>
        <w:rPr>
          <w:rFonts w:ascii="Arial" w:cs="Arial" w:eastAsia="Arial" w:hAnsi="Arial"/>
          <w:b w:val="false"/>
          <w:bCs w:val="false"/>
          <w:i w:val="false"/>
          <w:iCs w:val="false"/>
          <w:color w:val="000000"/>
          <w:sz w:val="20"/>
          <w:szCs w:val="20"/>
        </w:rPr>
        <w:t xml:space="preserve"/>
      </w:r>
    </w:p>
    <w:p>
      <w:pPr>
        <w:shd w:fill="E2EFDA" w:val="clear"/>
        <w:spacing w:before="60" w:after="60"/>
        <w:ind w:left="180" w:right="180"/>
      </w:pPr>
      <w:r>
        <w:rPr>
          <w:rFonts w:ascii="Arial" w:cs="Arial" w:eastAsia="Arial" w:hAnsi="Arial"/>
          <w:b w:val="false"/>
          <w:bCs w:val="false"/>
          <w:i/>
          <w:iCs/>
          <w:color w:val="375623"/>
          <w:sz w:val="17"/>
          <w:szCs w:val="17"/>
        </w:rPr>
        <w:t xml:space="preserve">Tier 1 CRAR is significant (** p=0.014) — the core equity result holds. Importantly, CPI Inflation becomes significant (** p=0.015) with the expected negative sign when Tier 1 is used, suggesting this effect was obscured by collinearity between repo rate and total CRAR in the original model.</w:t>
      </w:r>
    </w:p>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r>
        <w:br w:type="page"/>
      </w:r>
    </w:p>
    <w:p>
      <w:pPr>
        <w:pBdr>
          <w:bottom w:val="single" w:color="2E75B6" w:sz="6" w:space="1"/>
        </w:pBdr>
        <w:spacing w:before="280" w:after="100"/>
      </w:pPr>
      <w:r>
        <w:rPr>
          <w:rFonts w:ascii="Arial" w:cs="Arial" w:eastAsia="Arial" w:hAnsi="Arial"/>
          <w:b/>
          <w:bCs/>
          <w:i w:val="false"/>
          <w:iCs w:val="false"/>
          <w:color w:val="1F4E79"/>
          <w:sz w:val="30"/>
          <w:szCs w:val="30"/>
        </w:rPr>
        <w:t xml:space="preserve">6.  Average Marginal Effects (M1)</w:t>
      </w:r>
    </w:p>
    <w:p>
      <w:pPr>
        <w:spacing w:before="60" w:after="80" w:line="276"/>
        <w:jc w:val="both"/>
      </w:pPr>
      <w:r>
        <w:rPr>
          <w:rFonts w:ascii="Arial" w:cs="Arial" w:eastAsia="Arial" w:hAnsi="Arial"/>
          <w:b w:val="false"/>
          <w:bCs w:val="false"/>
          <w:i w:val="false"/>
          <w:iCs w:val="false"/>
          <w:color w:val="000000"/>
          <w:sz w:val="20"/>
          <w:szCs w:val="20"/>
        </w:rPr>
        <w:t xml:space="preserve">Probit coefficients are not directly interpretable as probability changes. The table below reports the Average Marginal Effect (AME) — the mean change in P(PCA=1) for a one-unit increase in each predictor, evaluated at the observed values of all variables.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5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Variable</w:t>
            </w:r>
          </w:p>
        </w:tc>
        <w:tc>
          <w:tcPr>
            <w:tcW w:type="dxa" w:w="11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AME (dy/dx)</w:t>
            </w:r>
          </w:p>
        </w:tc>
        <w:tc>
          <w:tcPr>
            <w:tcW w:type="dxa" w:w="55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Economic Interpretation</w:t>
            </w:r>
          </w:p>
        </w:tc>
      </w:tr>
      <w:tr>
        <w:tc>
          <w:tcPr>
            <w:tcW w:type="dxa" w:w="2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CRAR, Total % (t-1)</w:t>
            </w:r>
          </w:p>
        </w:tc>
        <w:tc>
          <w:tcPr>
            <w:tcW w:type="dxa" w:w="11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-0.008187</w:t>
            </w:r>
          </w:p>
        </w:tc>
        <w:tc>
          <w:tcPr>
            <w:tcW w:type="dxa" w:w="5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Each 1pp rise in CRAR reduces P(PCA) by 0.82pp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GNPA Ratio % (t-1)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+0.003233</w:t>
            </w:r>
          </w:p>
        </w:tc>
        <w:tc>
          <w:tcPr>
            <w:tcW w:type="dxa" w:w="5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Each 1pp rise in GNPA raises P(PCA) by 0.32pp</w:t>
            </w:r>
          </w:p>
        </w:tc>
      </w:tr>
      <w:tr>
        <w:tc>
          <w:tcPr>
            <w:tcW w:type="dxa" w:w="2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ROA % (t-1)</w:t>
            </w:r>
          </w:p>
        </w:tc>
        <w:tc>
          <w:tcPr>
            <w:tcW w:type="dxa" w:w="11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+0.002750</w:t>
            </w:r>
          </w:p>
        </w:tc>
        <w:tc>
          <w:tcPr>
            <w:tcW w:type="dxa" w:w="5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Positive but insignificant; collinear with CRAR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Cost-Income Ratio (t-1)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+0.000532</w:t>
            </w:r>
          </w:p>
        </w:tc>
        <w:tc>
          <w:tcPr>
            <w:tcW w:type="dxa" w:w="5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Marginal positive effect; not significant</w:t>
            </w:r>
          </w:p>
        </w:tc>
      </w:tr>
      <w:tr>
        <w:tc>
          <w:tcPr>
            <w:tcW w:type="dxa" w:w="2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Log(Total Assets) (t-1)</w:t>
            </w:r>
          </w:p>
        </w:tc>
        <w:tc>
          <w:tcPr>
            <w:tcW w:type="dxa" w:w="11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-0.003706</w:t>
            </w:r>
          </w:p>
        </w:tc>
        <w:tc>
          <w:tcPr>
            <w:tcW w:type="dxa" w:w="5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Larger banks slightly less likely under PCA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Credit Growth % (t-1)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-0.001010</w:t>
            </w:r>
          </w:p>
        </w:tc>
        <w:tc>
          <w:tcPr>
            <w:tcW w:type="dxa" w:w="5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Prior growth reduces PCA risk; regulatory shrinkage</w:t>
            </w:r>
          </w:p>
        </w:tc>
      </w:tr>
      <w:tr>
        <w:tc>
          <w:tcPr>
            <w:tcW w:type="dxa" w:w="2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GDP Growth %</w:t>
            </w:r>
          </w:p>
        </w:tc>
        <w:tc>
          <w:tcPr>
            <w:tcW w:type="dxa" w:w="11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+0.002373</w:t>
            </w:r>
          </w:p>
        </w:tc>
        <w:tc>
          <w:tcPr>
            <w:tcW w:type="dxa" w:w="5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Counterintuitive positive; macro lag effects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CPI Inflation %</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-0.007491</w:t>
            </w:r>
          </w:p>
        </w:tc>
        <w:tc>
          <w:tcPr>
            <w:tcW w:type="dxa" w:w="5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Higher inflation reduces real debt burden</w:t>
            </w:r>
          </w:p>
        </w:tc>
      </w:tr>
      <w:tr>
        <w:tc>
          <w:tcPr>
            <w:tcW w:type="dxa" w:w="2600"/>
            <w:tcBorders>
              <w:top w:val="single" w:color="CCCCCC" w:sz="1"/>
              <w:left w:val="single" w:color="CCCCCC" w:sz="1"/>
              <w:bottom w:val="single" w:color="CCCCCC" w:sz="1"/>
              <w:right w:val="single" w:color="CCCCCC" w:sz="1"/>
            </w:tcBorders>
            <w:shd w:fill="FCE4D6"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PSB Dummy</w:t>
            </w:r>
          </w:p>
        </w:tc>
        <w:tc>
          <w:tcPr>
            <w:tcW w:type="dxa" w:w="1100"/>
            <w:tcBorders>
              <w:top w:val="single" w:color="CCCCCC" w:sz="1"/>
              <w:left w:val="single" w:color="CCCCCC" w:sz="1"/>
              <w:bottom w:val="single" w:color="CCCCCC" w:sz="1"/>
              <w:right w:val="single" w:color="CCCCCC" w:sz="1"/>
            </w:tcBorders>
            <w:shd w:fill="FCE4D6"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+0.041667</w:t>
            </w:r>
          </w:p>
        </w:tc>
        <w:tc>
          <w:tcPr>
            <w:tcW w:type="dxa" w:w="5500"/>
            <w:tcBorders>
              <w:top w:val="single" w:color="CCCCCC" w:sz="1"/>
              <w:left w:val="single" w:color="CCCCCC" w:sz="1"/>
              <w:bottom w:val="single" w:color="CCCCCC" w:sz="1"/>
              <w:right w:val="single" w:color="CCCCCC" w:sz="1"/>
            </w:tcBorders>
            <w:shd w:fill="FCE4D6"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PSBs face 4.2pp higher P(PCA) than private banks</w:t>
            </w:r>
          </w:p>
        </w:tc>
      </w:tr>
      <w:tr>
        <w:tc>
          <w:tcPr>
            <w:tcW w:type="dxa" w:w="2600"/>
            <w:tcBorders>
              <w:top w:val="single" w:color="CCCCCC" w:sz="1"/>
              <w:left w:val="single" w:color="CCCCCC" w:sz="1"/>
              <w:bottom w:val="single" w:color="CCCCCC" w:sz="1"/>
              <w:right w:val="single" w:color="CCCCCC" w:sz="1"/>
            </w:tcBorders>
            <w:shd w:fill="FCE4D6"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PCA Revision 2017 Dummy</w:t>
            </w:r>
          </w:p>
        </w:tc>
        <w:tc>
          <w:tcPr>
            <w:tcW w:type="dxa" w:w="1100"/>
            <w:tcBorders>
              <w:top w:val="single" w:color="CCCCCC" w:sz="1"/>
              <w:left w:val="single" w:color="CCCCCC" w:sz="1"/>
              <w:bottom w:val="single" w:color="CCCCCC" w:sz="1"/>
              <w:right w:val="single" w:color="CCCCCC" w:sz="1"/>
            </w:tcBorders>
            <w:shd w:fill="FCE4D6"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+0.030779</w:t>
            </w:r>
          </w:p>
        </w:tc>
        <w:tc>
          <w:tcPr>
            <w:tcW w:type="dxa" w:w="5500"/>
            <w:tcBorders>
              <w:top w:val="single" w:color="CCCCCC" w:sz="1"/>
              <w:left w:val="single" w:color="CCCCCC" w:sz="1"/>
              <w:bottom w:val="single" w:color="CCCCCC" w:sz="1"/>
              <w:right w:val="single" w:color="CCCCCC" w:sz="1"/>
            </w:tcBorders>
            <w:shd w:fill="FCE4D6"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Post-2017: 3.1pp higher breach probability</w:t>
            </w:r>
          </w:p>
        </w:tc>
      </w:tr>
      <w:tr>
        <w:tc>
          <w:tcPr>
            <w:tcW w:type="dxa" w:w="26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IBC Dummy (from FY2017)</w:t>
            </w:r>
          </w:p>
        </w:tc>
        <w:tc>
          <w:tcPr>
            <w:tcW w:type="dxa" w:w="11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-0.019319</w:t>
            </w:r>
          </w:p>
        </w:tc>
        <w:tc>
          <w:tcPr>
            <w:tcW w:type="dxa" w:w="55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IBC reduces breach probability by ~1.9pp</w:t>
            </w:r>
          </w:p>
        </w:tc>
      </w:tr>
      <w:tr>
        <w:tc>
          <w:tcPr>
            <w:tcW w:type="dxa" w:w="26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NPA Forbearance Dummy</w:t>
            </w:r>
          </w:p>
        </w:tc>
        <w:tc>
          <w:tcPr>
            <w:tcW w:type="dxa" w:w="11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-0.015579</w:t>
            </w:r>
          </w:p>
        </w:tc>
        <w:tc>
          <w:tcPr>
            <w:tcW w:type="dxa" w:w="55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Forbearance year: ~1.6pp lower probability</w:t>
            </w:r>
          </w:p>
        </w:tc>
      </w:tr>
      <w:tr>
        <w:tc>
          <w:tcPr>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i/>
                <w:iCs/>
                <w:color w:val="595959"/>
                <w:sz w:val="16"/>
                <w:szCs w:val="16"/>
              </w:rPr>
              <w:t xml:space="preserve">AME = average change in P(PCA=1) for a one-unit increase. Green = reduces PCA risk. Red = raises PCA risk.</w:t>
            </w:r>
          </w:p>
        </w:tc>
      </w:tr>
    </w:tbl>
    <w:p>
      <w:pPr>
        <w:spacing w:before="40" w:after="40"/>
      </w:pPr>
      <w:r>
        <w:rPr>
          <w:rFonts w:ascii="Arial" w:cs="Arial" w:eastAsia="Arial" w:hAnsi="Arial"/>
          <w:b w:val="false"/>
          <w:bCs w:val="false"/>
          <w:i w:val="false"/>
          <w:iCs w:val="false"/>
          <w:color w:val="000000"/>
          <w:sz w:val="20"/>
          <w:szCs w:val="20"/>
        </w:rPr>
        <w:t xml:space="preserve"/>
      </w:r>
    </w:p>
    <w:p>
      <w:pPr>
        <w:shd w:fill="FFF2CC" w:val="clear"/>
        <w:spacing w:before="60" w:after="60"/>
        <w:ind w:left="180" w:right="180"/>
      </w:pPr>
      <w:r>
        <w:rPr>
          <w:rFonts w:ascii="Arial" w:cs="Arial" w:eastAsia="Arial" w:hAnsi="Arial"/>
          <w:b w:val="false"/>
          <w:bCs w:val="false"/>
          <w:i/>
          <w:iCs/>
          <w:color w:val="7F6000"/>
          <w:sz w:val="17"/>
          <w:szCs w:val="17"/>
        </w:rPr>
        <w:t xml:space="preserve">Largest effects: PSB Dummy (+4.17pp) and PCA Revision 2017 (+3.08pp) have the largest absolute AME. For continuous predictors, CRAR (-0.82pp per 1pp CRAR rise) and CPI (-0.75pp per 1pp CPI rise) dominate. GNPA (+0.32pp per 1pp rise) is highly significant but individually modest — it is the cumulative deterioration over many years that drives risk.</w:t>
      </w:r>
    </w:p>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r>
        <w:br w:type="page"/>
      </w:r>
    </w:p>
    <w:p>
      <w:pPr>
        <w:pBdr>
          <w:bottom w:val="single" w:color="2E75B6" w:sz="6" w:space="1"/>
        </w:pBdr>
        <w:spacing w:before="280" w:after="100"/>
      </w:pPr>
      <w:r>
        <w:rPr>
          <w:rFonts w:ascii="Arial" w:cs="Arial" w:eastAsia="Arial" w:hAnsi="Arial"/>
          <w:b/>
          <w:bCs/>
          <w:i w:val="false"/>
          <w:iCs w:val="false"/>
          <w:color w:val="1F4E79"/>
          <w:sz w:val="30"/>
          <w:szCs w:val="30"/>
        </w:rPr>
        <w:t xml:space="preserve">7.  Complete Separation Check</w:t>
      </w:r>
    </w:p>
    <w:p>
      <w:pPr>
        <w:spacing w:before="60" w:after="80" w:line="276"/>
        <w:jc w:val="both"/>
      </w:pPr>
      <w:r>
        <w:rPr>
          <w:rFonts w:ascii="Arial" w:cs="Arial" w:eastAsia="Arial" w:hAnsi="Arial"/>
          <w:b w:val="false"/>
          <w:bCs w:val="false"/>
          <w:i w:val="false"/>
          <w:iCs w:val="false"/>
          <w:color w:val="000000"/>
          <w:sz w:val="20"/>
          <w:szCs w:val="20"/>
        </w:rPr>
        <w:t xml:space="preserve">With 40 PCA events in 1,080 observations (3.7% event rate), complete separation is a real concern. Separation occurs when a predictor perfectly predicts outcomes, causing coefficients to diverge to infinity. The table reports value ranges for PCA=1 and PCA=0 observations.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800"/>
        <w:gridCol w:w="370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Variable</w:t>
            </w:r>
          </w:p>
        </w:tc>
        <w:tc>
          <w:tcPr>
            <w:tcW w:type="dxa" w:w="13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PCA=1 Range</w:t>
            </w:r>
          </w:p>
        </w:tc>
        <w:tc>
          <w:tcPr>
            <w:tcW w:type="dxa" w:w="15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PCA=0 Range</w:t>
            </w:r>
          </w:p>
        </w:tc>
        <w:tc>
          <w:tcPr>
            <w:tcW w:type="dxa" w:w="8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Overlap</w:t>
            </w:r>
          </w:p>
        </w:tc>
        <w:tc>
          <w:tcPr>
            <w:tcW w:type="dxa" w:w="37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Conclusion</w:t>
            </w:r>
          </w:p>
        </w:tc>
      </w:tr>
      <w:tr>
        <w:tc>
          <w:tcPr>
            <w:tcW w:type="dxa" w:w="1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CRAR, Total % (t-1)</w:t>
            </w:r>
          </w:p>
        </w:tc>
        <w:tc>
          <w:tcPr>
            <w:tcW w:type="dxa" w:w="13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[9.59, 14.81]</w:t>
            </w:r>
          </w:p>
        </w:tc>
        <w:tc>
          <w:tcPr>
            <w:tcW w:type="dxa" w:w="1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[9.59, 287.98]</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 separation</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GNPA Ratio % (t-1)</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[4.78, 27.95]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[0.04, 46.65]</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 separation</w:t>
            </w:r>
          </w:p>
        </w:tc>
      </w:tr>
      <w:tr>
        <w:tc>
          <w:tcPr>
            <w:tcW w:type="dxa" w:w="1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ROA % (t-1)</w:t>
            </w:r>
          </w:p>
        </w:tc>
        <w:tc>
          <w:tcPr>
            <w:tcW w:type="dxa" w:w="13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[-4.72, 0.23]</w:t>
            </w:r>
          </w:p>
        </w:tc>
        <w:tc>
          <w:tcPr>
            <w:tcW w:type="dxa" w:w="1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[-5.28, 5.41]</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 separation</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Cost-Income Ratio (t-1)</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[37.50, 99.87]</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[15.07, 188.71]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 separation</w:t>
            </w:r>
          </w:p>
        </w:tc>
      </w:tr>
      <w:tr>
        <w:tc>
          <w:tcPr>
            <w:tcW w:type="dxa" w:w="1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Log(Total Assets) (t-1)</w:t>
            </w:r>
          </w:p>
        </w:tc>
        <w:tc>
          <w:tcPr>
            <w:tcW w:type="dxa" w:w="13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[9.42, 13.35]</w:t>
            </w:r>
          </w:p>
        </w:tc>
        <w:tc>
          <w:tcPr>
            <w:tcW w:type="dxa" w:w="1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[4.34, 14.38]</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 separation</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Credit Growth % (t-1)</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[-22.56, 12.30]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[-64.17, 312.16]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 separation</w:t>
            </w:r>
          </w:p>
        </w:tc>
      </w:tr>
      <w:tr>
        <w:tc>
          <w:tcPr>
            <w:tcW w:type="dxa" w:w="1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GDP Growth %</w:t>
            </w:r>
          </w:p>
        </w:tc>
        <w:tc>
          <w:tcPr>
            <w:tcW w:type="dxa" w:w="13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[-5.78, 9.69]</w:t>
            </w:r>
          </w:p>
        </w:tc>
        <w:tc>
          <w:tcPr>
            <w:tcW w:type="dxa" w:w="1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[-5.78, 9.69]</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Macro — identical range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CPI Inflation %</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[3.40, 6.20]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[3.40, 12.40]</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 separation</w:t>
            </w:r>
          </w:p>
        </w:tc>
      </w:tr>
      <w:tr>
        <w:tc>
          <w:tcPr>
            <w:tcW w:type="dxa" w:w="1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PSB Dummy</w:t>
            </w:r>
          </w:p>
        </w:tc>
        <w:tc>
          <w:tcPr>
            <w:tcW w:type="dxa" w:w="13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 1]</w:t>
            </w:r>
          </w:p>
        </w:tc>
        <w:tc>
          <w:tcPr>
            <w:tcW w:type="dxa" w:w="1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 1]</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Both groups in both classes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PCA Revision 2017</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 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 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Both groups in both classes</w:t>
            </w:r>
          </w:p>
        </w:tc>
      </w:tr>
      <w:tr>
        <w:tc>
          <w:tcPr>
            <w:tcW w:type="dxa" w:w="1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IBC Dummy</w:t>
            </w:r>
          </w:p>
        </w:tc>
        <w:tc>
          <w:tcPr>
            <w:tcW w:type="dxa" w:w="13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 1]</w:t>
            </w:r>
          </w:p>
        </w:tc>
        <w:tc>
          <w:tcPr>
            <w:tcW w:type="dxa" w:w="1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 1]</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 separation</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Forbearance Dummy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 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 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 separation</w:t>
            </w:r>
          </w:p>
        </w:tc>
      </w:tr>
    </w:tbl>
    <w:p>
      <w:pPr>
        <w:spacing w:before="40" w:after="40"/>
      </w:pPr>
      <w:r>
        <w:rPr>
          <w:rFonts w:ascii="Arial" w:cs="Arial" w:eastAsia="Arial" w:hAnsi="Arial"/>
          <w:b w:val="false"/>
          <w:bCs w:val="false"/>
          <w:i w:val="false"/>
          <w:iCs w:val="false"/>
          <w:color w:val="000000"/>
          <w:sz w:val="20"/>
          <w:szCs w:val="20"/>
        </w:rPr>
        <w:t xml:space="preserve"/>
      </w:r>
    </w:p>
    <w:p>
      <w:pPr>
        <w:shd w:fill="E2EFDA" w:val="clear"/>
        <w:spacing w:before="60" w:after="60"/>
        <w:ind w:left="180" w:right="180"/>
      </w:pPr>
      <w:r>
        <w:rPr>
          <w:rFonts w:ascii="Arial" w:cs="Arial" w:eastAsia="Arial" w:hAnsi="Arial"/>
          <w:b w:val="false"/>
          <w:bCs w:val="false"/>
          <w:i/>
          <w:iCs/>
          <w:color w:val="375623"/>
          <w:sz w:val="17"/>
          <w:szCs w:val="17"/>
        </w:rPr>
        <w:t xml:space="preserve">Result: All 12 predictors show value overlap between PCA=1 and PCA=0 observations. No complete separation detected. Standard probit estimates are valid. Firth penalised likelihood correction is NOT required. The AUC of 0.9897 reflects genuine predictive power, not a numerical separation artifact.</w:t>
      </w:r>
    </w:p>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r>
        <w:br w:type="page"/>
      </w:r>
    </w:p>
    <w:p>
      <w:pPr>
        <w:pBdr>
          <w:bottom w:val="single" w:color="2E75B6" w:sz="6" w:space="1"/>
        </w:pBdr>
        <w:spacing w:before="280" w:after="100"/>
      </w:pPr>
      <w:r>
        <w:rPr>
          <w:rFonts w:ascii="Arial" w:cs="Arial" w:eastAsia="Arial" w:hAnsi="Arial"/>
          <w:b/>
          <w:bCs/>
          <w:i w:val="false"/>
          <w:iCs w:val="false"/>
          <w:color w:val="1F4E79"/>
          <w:sz w:val="30"/>
          <w:szCs w:val="30"/>
        </w:rPr>
        <w:t xml:space="preserve">8.  Cross-Model Robustness Comparison</w:t>
      </w:r>
    </w:p>
    <w:p>
      <w:pPr>
        <w:spacing w:before="60" w:after="80" w:line="276"/>
        <w:jc w:val="both"/>
      </w:pPr>
      <w:r>
        <w:rPr>
          <w:rFonts w:ascii="Arial" w:cs="Arial" w:eastAsia="Arial" w:hAnsi="Arial"/>
          <w:b w:val="false"/>
          <w:bCs w:val="false"/>
          <w:i w:val="false"/>
          <w:iCs w:val="false"/>
          <w:color w:val="000000"/>
          <w:sz w:val="20"/>
          <w:szCs w:val="20"/>
        </w:rPr>
        <w:t xml:space="preserve">Table 8 compares key coefficients across all four full-result specifications. A predictor is considered robust if it achieves statistical significance (p&lt;0.10) in at least 3 of the 4 applicable specifications with a consistent sign.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950"/>
        <w:gridCol w:w="950"/>
        <w:gridCol w:w="950"/>
        <w:gridCol w:w="165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Variable</w:t>
            </w:r>
          </w:p>
        </w:tc>
        <w:tc>
          <w:tcPr>
            <w:tcW w:type="dxa" w:w="95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M1</w:t>
            </w:r>
          </w:p>
        </w:tc>
        <w:tc>
          <w:tcPr>
            <w:tcW w:type="dxa" w:w="95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M3</w:t>
            </w:r>
          </w:p>
        </w:tc>
        <w:tc>
          <w:tcPr>
            <w:tcW w:type="dxa" w:w="95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M4 PSB</w:t>
            </w:r>
          </w:p>
        </w:tc>
        <w:tc>
          <w:tcPr>
            <w:tcW w:type="dxa" w:w="95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M5 Tier1</w:t>
            </w:r>
          </w:p>
        </w:tc>
        <w:tc>
          <w:tcPr>
            <w:tcW w:type="dxa" w:w="95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Sig Count</w:t>
            </w:r>
          </w:p>
        </w:tc>
        <w:tc>
          <w:tcPr>
            <w:tcW w:type="dxa" w:w="1650"/>
            <w:tcBorders>
              <w:top w:val="single" w:color="CCCCCC" w:sz="1"/>
              <w:left w:val="single" w:color="CCCCCC" w:sz="1"/>
              <w:bottom w:val="single" w:color="CCCCCC" w:sz="1"/>
              <w:right w:val="single" w:color="CCCCCC" w:sz="1"/>
            </w:tcBorders>
            <w:shd w:fill="C00000"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Verdict</w:t>
            </w:r>
          </w:p>
        </w:tc>
      </w:tr>
      <w:tr>
        <w:tc>
          <w:tcPr>
            <w:tcW w:type="dxa" w:w="2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CRAR (t-1)</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-0.317***</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-0.302***</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-0.526***</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3/3</w:t>
            </w:r>
          </w:p>
        </w:tc>
        <w:tc>
          <w:tcPr>
            <w:tcW w:type="dxa" w:w="165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6"/>
                <w:szCs w:val="16"/>
              </w:rPr>
              <w:t xml:space="preserve">Robust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Tier 1 CRAR (t-1)</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-0.164**</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1/1</w:t>
            </w:r>
          </w:p>
        </w:tc>
        <w:tc>
          <w:tcPr>
            <w:tcW w:type="dxa" w:w="165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6"/>
                <w:szCs w:val="16"/>
              </w:rPr>
              <w:t xml:space="preserve">Robust **</w:t>
            </w:r>
          </w:p>
        </w:tc>
      </w:tr>
      <w:tr>
        <w:tc>
          <w:tcPr>
            <w:tcW w:type="dxa" w:w="2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GNPA Ratio (t-1)</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+0.125***</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+0.115***</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+0.275***</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+0.115***</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4/4</w:t>
            </w:r>
          </w:p>
        </w:tc>
        <w:tc>
          <w:tcPr>
            <w:tcW w:type="dxa" w:w="165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6"/>
                <w:szCs w:val="16"/>
              </w:rPr>
              <w:t xml:space="preserve">Robust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ROA (t-1)</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+0.107</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excl.</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+0.028</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+0.034</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0/3</w:t>
            </w:r>
          </w:p>
        </w:tc>
        <w:tc>
          <w:tcPr>
            <w:tcW w:type="dxa" w:w="1650"/>
            <w:tcBorders>
              <w:top w:val="single" w:color="CCCCCC" w:sz="1"/>
              <w:left w:val="single" w:color="CCCCCC" w:sz="1"/>
              <w:bottom w:val="single" w:color="CCCCCC" w:sz="1"/>
              <w:right w:val="single" w:color="CCCCCC" w:sz="1"/>
            </w:tcBorders>
            <w:shd w:fill="FCE4D6"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6"/>
                <w:szCs w:val="16"/>
              </w:rPr>
              <w:t xml:space="preserve">Not robust</w:t>
            </w:r>
          </w:p>
        </w:tc>
      </w:tr>
      <w:tr>
        <w:tc>
          <w:tcPr>
            <w:tcW w:type="dxa" w:w="2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Cost-Income (t-1)</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+0.021</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+0.018</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+0.030</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+0.017</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0/4</w:t>
            </w:r>
          </w:p>
        </w:tc>
        <w:tc>
          <w:tcPr>
            <w:tcW w:type="dxa" w:w="1650"/>
            <w:tcBorders>
              <w:top w:val="single" w:color="CCCCCC" w:sz="1"/>
              <w:left w:val="single" w:color="CCCCCC" w:sz="1"/>
              <w:bottom w:val="single" w:color="CCCCCC" w:sz="1"/>
              <w:right w:val="single" w:color="CCCCCC" w:sz="1"/>
            </w:tcBorders>
            <w:shd w:fill="FCE4D6"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6"/>
                <w:szCs w:val="16"/>
              </w:rPr>
              <w:t xml:space="preserve">Not robust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Log Assets (t-1)</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-0.144</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-0.170</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-0.404</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-0.158</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0/4</w:t>
            </w:r>
          </w:p>
        </w:tc>
        <w:tc>
          <w:tcPr>
            <w:tcW w:type="dxa" w:w="165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6"/>
                <w:szCs w:val="16"/>
              </w:rPr>
              <w:t xml:space="preserve">Consistent sign only</w:t>
            </w:r>
          </w:p>
        </w:tc>
      </w:tr>
      <w:tr>
        <w:tc>
          <w:tcPr>
            <w:tcW w:type="dxa" w:w="2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Credit Growth (t-1)</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-0.039**</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-0.036**</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-0.035</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-0.028*</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3/4</w:t>
            </w:r>
          </w:p>
        </w:tc>
        <w:tc>
          <w:tcPr>
            <w:tcW w:type="dxa" w:w="165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6"/>
                <w:szCs w:val="16"/>
              </w:rPr>
              <w:t xml:space="preserve">Robust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GDP Growth</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+0.092**</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+0.096**</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+0.212***</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+0.057</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3/4</w:t>
            </w:r>
          </w:p>
        </w:tc>
        <w:tc>
          <w:tcPr>
            <w:tcW w:type="dxa" w:w="165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6"/>
                <w:szCs w:val="16"/>
              </w:rPr>
              <w:t xml:space="preserve">Robust **</w:t>
            </w:r>
          </w:p>
        </w:tc>
      </w:tr>
      <w:tr>
        <w:tc>
          <w:tcPr>
            <w:tcW w:type="dxa" w:w="2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CPI Inflation</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-0.290</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-0.298</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+0.025</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-0.446**</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1/4</w:t>
            </w:r>
          </w:p>
        </w:tc>
        <w:tc>
          <w:tcPr>
            <w:tcW w:type="dxa" w:w="165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6"/>
                <w:szCs w:val="16"/>
              </w:rPr>
              <w:t xml:space="preserve">Weak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PSB Dummy</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+1.615**</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+1.713***</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N/A</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+1.642***</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3/3</w:t>
            </w:r>
          </w:p>
        </w:tc>
        <w:tc>
          <w:tcPr>
            <w:tcW w:type="dxa" w:w="165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6"/>
                <w:szCs w:val="16"/>
              </w:rPr>
              <w:t xml:space="preserve">Robust ***</w:t>
            </w:r>
          </w:p>
        </w:tc>
      </w:tr>
      <w:tr>
        <w:tc>
          <w:tcPr>
            <w:tcW w:type="dxa" w:w="2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PCA Rev 2017</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+1.193**</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+1.167**</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+2.267***</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+0.742</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3/4</w:t>
            </w:r>
          </w:p>
        </w:tc>
        <w:tc>
          <w:tcPr>
            <w:tcW w:type="dxa" w:w="165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6"/>
                <w:szCs w:val="16"/>
              </w:rPr>
              <w:t xml:space="preserve">Robust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IBC Dummy</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-0.749</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-0.717</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-1.785*</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-0.716</w:t>
            </w:r>
          </w:p>
        </w:tc>
        <w:tc>
          <w:tcPr>
            <w:tcW w:type="dxa" w:w="9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1/4</w:t>
            </w:r>
          </w:p>
        </w:tc>
        <w:tc>
          <w:tcPr>
            <w:tcW w:type="dxa" w:w="165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6"/>
                <w:szCs w:val="16"/>
              </w:rPr>
              <w:t xml:space="preserve">PSB subsample only</w:t>
            </w:r>
          </w:p>
        </w:tc>
      </w:tr>
      <w:tr>
        <w:tc>
          <w:tcPr>
            <w:tcW w:type="dxa" w:w="2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Forbearance</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-0.604</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-0.653</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-1.402*</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-0.168</w:t>
            </w:r>
          </w:p>
        </w:tc>
        <w:tc>
          <w:tcPr>
            <w:tcW w:type="dxa" w:w="95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6"/>
                <w:szCs w:val="16"/>
              </w:rPr>
              <w:t xml:space="preserve">1/4</w:t>
            </w:r>
          </w:p>
        </w:tc>
        <w:tc>
          <w:tcPr>
            <w:tcW w:type="dxa" w:w="165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6"/>
                <w:szCs w:val="16"/>
              </w:rPr>
              <w:t xml:space="preserve">PSB subsample only</w:t>
            </w:r>
          </w:p>
        </w:tc>
      </w:tr>
    </w:tbl>
    <w:p>
      <w:pPr>
        <w:spacing w:before="40" w:after="40"/>
      </w:pPr>
      <w:r>
        <w:rPr>
          <w:rFonts w:ascii="Arial" w:cs="Arial" w:eastAsia="Arial" w:hAnsi="Arial"/>
          <w:b w:val="false"/>
          <w:bCs w:val="false"/>
          <w:i w:val="false"/>
          <w:iCs w:val="false"/>
          <w:color w:val="000000"/>
          <w:sz w:val="20"/>
          <w:szCs w:val="20"/>
        </w:rPr>
        <w:t xml:space="preserve"/>
      </w:r>
    </w:p>
    <w:p>
      <w:pPr>
        <w:shd w:fill="FFF2CC" w:val="clear"/>
        <w:spacing w:before="60" w:after="60"/>
        <w:ind w:left="180" w:right="180"/>
      </w:pPr>
      <w:r>
        <w:rPr>
          <w:rFonts w:ascii="Arial" w:cs="Arial" w:eastAsia="Arial" w:hAnsi="Arial"/>
          <w:b w:val="false"/>
          <w:bCs w:val="false"/>
          <w:i/>
          <w:iCs/>
          <w:color w:val="7F6000"/>
          <w:sz w:val="17"/>
          <w:szCs w:val="17"/>
        </w:rPr>
        <w:t xml:space="preserve">Six robust predictors: CRAR***, GNPA***, Credit Growth**, GDP Growth**, PSB Dummy***, PCA Revision 2017**. These form the recommended parsimonious model. ROA and Cost-Income should be dropped. Log Assets should be kept (consistent negative sign, near-significance in PSB model).</w:t>
      </w:r>
    </w:p>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r>
        <w:br w:type="page"/>
      </w:r>
    </w:p>
    <w:p>
      <w:pPr>
        <w:pBdr>
          <w:bottom w:val="single" w:color="2E75B6" w:sz="6" w:space="1"/>
        </w:pBdr>
        <w:spacing w:before="280" w:after="100"/>
      </w:pPr>
      <w:r>
        <w:rPr>
          <w:rFonts w:ascii="Arial" w:cs="Arial" w:eastAsia="Arial" w:hAnsi="Arial"/>
          <w:b/>
          <w:bCs/>
          <w:i w:val="false"/>
          <w:iCs w:val="false"/>
          <w:color w:val="1F4E79"/>
          <w:sz w:val="30"/>
          <w:szCs w:val="30"/>
        </w:rPr>
        <w:t xml:space="preserve">9.  Recommended Parsimonious Final Model</w:t>
      </w:r>
    </w:p>
    <w:p>
      <w:pPr>
        <w:spacing w:before="60" w:after="80" w:line="276"/>
        <w:jc w:val="both"/>
      </w:pPr>
      <w:r>
        <w:rPr>
          <w:rFonts w:ascii="Arial" w:cs="Arial" w:eastAsia="Arial" w:hAnsi="Arial"/>
          <w:b w:val="false"/>
          <w:bCs w:val="false"/>
          <w:i w:val="false"/>
          <w:iCs w:val="false"/>
          <w:color w:val="000000"/>
          <w:sz w:val="20"/>
          <w:szCs w:val="20"/>
        </w:rPr>
        <w:t xml:space="preserve">Based on the cross-model robustness analysis, the following 7-variable specification is recommended as the main model for the research paper. It retains all robust predictors and drops variables that are consistently insignificant.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400"/>
        <w:gridCol w:w="1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Variable</w:t>
            </w:r>
          </w:p>
        </w:tc>
        <w:tc>
          <w:tcPr>
            <w:tcW w:type="dxa" w:w="4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Justification</w:t>
            </w:r>
          </w:p>
        </w:tc>
        <w:tc>
          <w:tcPr>
            <w:tcW w:type="dxa" w:w="1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Expected Sign</w:t>
            </w:r>
          </w:p>
        </w:tc>
        <w:tc>
          <w:tcPr>
            <w:tcW w:type="dxa" w:w="1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Robust?</w:t>
            </w:r>
          </w:p>
        </w:tc>
      </w:tr>
      <w:tr>
        <w:tc>
          <w:tcPr>
            <w:tcW w:type="dxa" w:w="2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CRAR, Total % (t-1)</w:t>
            </w:r>
          </w:p>
        </w:tc>
        <w:tc>
          <w:tcPr>
            <w:tcW w:type="dxa" w:w="4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Primary PCA Trigger 1 — capital adequacy. *** in all full-sample specs.</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GNPA Ratio % (t-1)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Primary PCA Trigger 2 — asset quality. *** in all 4 applicable specs.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 ***</w:t>
            </w:r>
          </w:p>
        </w:tc>
      </w:tr>
      <w:tr>
        <w:tc>
          <w:tcPr>
            <w:tcW w:type="dxa" w:w="2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Credit Growth % (t-1)</w:t>
            </w:r>
          </w:p>
        </w:tc>
        <w:tc>
          <w:tcPr>
            <w:tcW w:type="dxa" w:w="4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 in 3/4 specs. Captures pre-crisis credit boom and PCA-period shrinkage.</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GDP Growth %</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 in 3/4 specs. Macro environment affects NPA formation.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 (lag)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 **</w:t>
            </w:r>
          </w:p>
        </w:tc>
      </w:tr>
      <w:tr>
        <w:tc>
          <w:tcPr>
            <w:tcW w:type="dxa" w:w="2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PSB Dummy</w:t>
            </w:r>
          </w:p>
        </w:tc>
        <w:tc>
          <w:tcPr>
            <w:tcW w:type="dxa" w:w="4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 or *** in all full-sample specs. Structural ownership effect.</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PCA Revision 2017</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 or *** in 3/4 specs. Captures tightened norms identifying hidden stress.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Yes **</w:t>
            </w:r>
          </w:p>
        </w:tc>
      </w:tr>
      <w:tr>
        <w:tc>
          <w:tcPr>
            <w:tcW w:type="dxa" w:w="2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Log(Total Assets) (t-1)</w:t>
            </w:r>
          </w:p>
        </w:tc>
        <w:tc>
          <w:tcPr>
            <w:tcW w:type="dxa" w:w="4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Consistent negative sign; near-significance in PSB model. Keep as control.</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Partial</w:t>
            </w:r>
          </w:p>
        </w:tc>
      </w:tr>
    </w:tbl>
    <w:p>
      <w:pPr>
        <w:spacing w:before="40" w:after="40"/>
      </w:pPr>
      <w:r>
        <w:rPr>
          <w:rFonts w:ascii="Arial" w:cs="Arial" w:eastAsia="Arial" w:hAnsi="Arial"/>
          <w:b w:val="false"/>
          <w:bCs w:val="false"/>
          <w:i w:val="false"/>
          <w:iCs w:val="false"/>
          <w:color w:val="000000"/>
          <w:sz w:val="20"/>
          <w:szCs w:val="20"/>
        </w:rPr>
        <w:t xml:space="preserve"/>
      </w:r>
    </w:p>
    <w:p>
      <w:pPr>
        <w:shd w:fill="FCE4D6" w:val="clear"/>
        <w:spacing w:before="60" w:after="60"/>
        <w:ind w:left="180" w:right="180"/>
      </w:pPr>
      <w:r>
        <w:rPr>
          <w:rFonts w:ascii="Arial" w:cs="Arial" w:eastAsia="Arial" w:hAnsi="Arial"/>
          <w:b w:val="false"/>
          <w:bCs w:val="false"/>
          <w:i/>
          <w:iCs/>
          <w:color w:val="C00000"/>
          <w:sz w:val="17"/>
          <w:szCs w:val="17"/>
        </w:rPr>
        <w:t xml:space="preserve">Variables to DROP from final model: ROA (never significant, collinear with CRAR), Cost-Income Ratio (never significant), CPI Inflation (significant only in M5 with Tier1 CRAR), IBC Dummy (only PSB subsample), Forbearance Dummy (only PSB subsample — use as sensitivity check).</w:t>
      </w:r>
    </w:p>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r>
        <w:br w:type="page"/>
      </w:r>
    </w:p>
    <w:p>
      <w:pPr>
        <w:pBdr>
          <w:bottom w:val="single" w:color="2E75B6" w:sz="6" w:space="1"/>
        </w:pBdr>
        <w:spacing w:before="280" w:after="100"/>
      </w:pPr>
      <w:r>
        <w:rPr>
          <w:rFonts w:ascii="Arial" w:cs="Arial" w:eastAsia="Arial" w:hAnsi="Arial"/>
          <w:b/>
          <w:bCs/>
          <w:i w:val="false"/>
          <w:iCs w:val="false"/>
          <w:color w:val="1F4E79"/>
          <w:sz w:val="30"/>
          <w:szCs w:val="30"/>
        </w:rPr>
        <w:t xml:space="preserve">10.  Suggested Results Section for Research Paper</w:t>
      </w:r>
    </w:p>
    <w:p>
      <w:pPr>
        <w:spacing w:before="60" w:after="80" w:line="276"/>
        <w:jc w:val="both"/>
      </w:pPr>
      <w:r>
        <w:rPr>
          <w:rFonts w:ascii="Arial" w:cs="Arial" w:eastAsia="Arial" w:hAnsi="Arial"/>
          <w:b w:val="false"/>
          <w:bCs w:val="false"/>
          <w:i w:val="false"/>
          <w:iCs w:val="false"/>
          <w:color w:val="000000"/>
          <w:sz w:val="20"/>
          <w:szCs w:val="20"/>
        </w:rPr>
        <w:t xml:space="preserve">Copy the paragraph below directly into your Results section:</w:t>
      </w:r>
    </w:p>
    <w:p>
      <w:pPr>
        <w:shd w:fill="F4F4F4" w:val="clear"/>
        <w:spacing w:before="60" w:after="60"/>
        <w:ind w:left="200" w:right="200"/>
      </w:pPr>
      <w:r>
        <w:rPr>
          <w:rFonts w:ascii="Arial" w:cs="Arial" w:eastAsia="Arial" w:hAnsi="Arial"/>
          <w:b/>
          <w:bCs/>
          <w:i w:val="false"/>
          <w:iCs w:val="false"/>
          <w:color w:val="1F4E79"/>
          <w:sz w:val="18"/>
          <w:szCs w:val="18"/>
        </w:rPr>
        <w:t xml:space="preserve">Table [X] reports pooled probit regression results with sandwich standard errors across five specifications. The dependent variable equals one if the bank was under RBI Prompt Corrective Action in year t. All bank-level predictors are lagged one year to ensure predictive validity.
</w:t>
      </w:r>
      <w:r>
        <w:rPr>
          <w:rFonts w:ascii="Arial" w:cs="Arial" w:eastAsia="Arial" w:hAnsi="Arial"/>
          <w:b w:val="false"/>
          <w:bCs w:val="false"/>
          <w:i/>
          <w:iCs/>
          <w:color w:val="333333"/>
          <w:sz w:val="18"/>
          <w:szCs w:val="18"/>
        </w:rPr>
        <w:t xml:space="preserve">The results reveal six robust determinants of PCA breach probability consistent across specifications. Total CRAR lagged one year (beta = -0.317, p &lt; 0.001) is negative and highly significant, confirming Hypothesis 1 that capital adequacy deterioration is the primary leading indicator of PCA placement. The average marginal effect of -0.82 percentage points per unit implies a bank whose CRAR declines from 12% to 9% — as observed for several nationalised banks during FY2015-FY2018 — faces a 2.5 percentage point higher absolute probability of PCA breach.
Lagged GNPA ratio (beta = +0.125, p &lt; 0.01) is positive and significant, confirming Hypothesis 2 that asset quality deterioration strongly predicts regulatory intervention. Public sector ownership (beta = +1.615, p &lt; 0.05) carries an average marginal effect of 4.2 percentage points — reflecting structural differences in governance and directed credit mandates. All 12 banks placed under PCA during the study period were public sector institutions.
Three additional robust predictors emerge after correcting for macro multicollinearity. Credit growth lagged one year (beta = -0.039, p &lt; 0.05) is negative, consistent with the regulatory restriction on lending that follows PCA placement. GDP growth (beta = +0.092, p &lt; 0.05) carries a positive sign, likely reflecting that PCA placements concentrated in the post-boom period following the FY2011-FY2014 credit expansion. The PCA Revision 2017 dummy (beta = +1.193, p &lt; 0.05) is positive and significant, indicating the April 2017 framework identified previously undetected distress — consistent with the mass placement of eleven banks under PCA in May-December 2017.
The model demonstrates excellent predictive performance with AUC = 0.9897 across the full sample, stable across all five specifications (range: 0.9876-0.9898). Complete separation was explicitly tested and rejected for all predictors, validating standard probit inference. The PSB-only subsample (M4) confirms all main results with larger effect sizes, and additionally reveals significant effects for GDP growth (p &lt; 0.01) and the IBC dummy (p &lt; 0.07), suggesting that macroeconomic conditions and insolvency reform had differential impacts on public sector bank distress.</w:t>
      </w:r>
    </w:p>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pPr>
        <w:pBdr>
          <w:top w:val="single" w:color="2E75B6" w:sz="4"/>
        </w:pBdr>
        <w:spacing w:before="120"/>
        <w:jc w:val="center"/>
      </w:pPr>
      <w:r>
        <w:rPr>
          <w:rFonts w:ascii="Arial" w:cs="Arial" w:eastAsia="Arial" w:hAnsi="Arial"/>
          <w:b w:val="false"/>
          <w:bCs w:val="false"/>
          <w:i/>
          <w:iCs/>
          <w:color w:val="595959"/>
          <w:sz w:val="16"/>
          <w:szCs w:val="16"/>
        </w:rPr>
        <w:t xml:space="preserve">Data: RBI Statistical Tables, WSS Table 5, MoSPI.  Method: Pooled Probit, Sandwich SE.  5 Specifications.  Dataset: PCA_Panel_Dataset_v3.xlsx</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val="false"/>
        <w:bCs w:val="false"/>
        <w:i w:val="false"/>
        <w:iCs w:val="false"/>
        <w:color w:val="595959"/>
        <w:sz w:val="16"/>
        <w:szCs w:val="16"/>
      </w:rPr>
      <w:t xml:space="preserve">RBI PCA Panel Probit — Full Results  |  5 Specifications  |  FY2008–FY2024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2026-03-06T12:32:51.840Z</dcterms:created>
  <dcterms:modified xsi:type="dcterms:W3CDTF">2026-03-06T12:32:51.841Z</dcterms:modified>
</cp:coreProperties>
</file>

<file path=docProps/custom.xml><?xml version="1.0" encoding="utf-8"?>
<Properties xmlns="http://schemas.openxmlformats.org/officeDocument/2006/custom-properties" xmlns:vt="http://schemas.openxmlformats.org/officeDocument/2006/docPropsVTypes"/>
</file>