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F4E79"/>
          <w:sz w:val="36"/>
          <w:szCs w:val="36"/>
        </w:rPr>
        <w:t xml:space="preserve">Predicting RBI Prompt Corrective Action (PCA) Breach Probability</w:t>
      </w:r>
    </w:p>
    <w:p>
      <w:pPr>
        <w:spacing w:before="40" w:after="40"/>
        <w:jc w:val="center"/>
      </w:pPr>
      <w:r>
        <w:rPr>
          <w:rFonts w:ascii="Arial" w:cs="Arial" w:eastAsia="Arial" w:hAnsi="Arial"/>
          <w:color w:val="595959"/>
          <w:sz w:val="22"/>
          <w:szCs w:val="22"/>
        </w:rPr>
        <w:t xml:space="preserve">Panel Probit Regression Results  |  Indian Scheduled Commercial Banks  |  FY2008–FY2024</w:t>
      </w:r>
    </w:p>
    <w:p>
      <w:pPr>
        <w:spacing w:before="40" w:after="200"/>
        <w:jc w:val="center"/>
      </w:pPr>
      <w:r>
        <w:rPr>
          <w:rFonts w:ascii="Arial" w:cs="Arial" w:eastAsia="Arial" w:hAnsi="Arial"/>
          <w:color w:val="2E75B6"/>
          <w:sz w:val="18"/>
          <w:szCs w:val="18"/>
        </w:rPr>
        <w:t xml:space="preserve">Method: Pooled Probit with Bank-Clustered Standard Errors  |  AUC = 0.9875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Metric</w:t>
            </w:r>
          </w:p>
        </w:tc>
        <w:tc>
          <w:tcPr>
            <w:tcW w:type="dxa" w:w="6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Value</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Estimation Method</w:t>
            </w:r>
          </w:p>
        </w:tc>
        <w:tc>
          <w:tcPr>
            <w:tcW w:type="dxa" w:w="6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Pooled Probit — Binomial GLM, Probit Link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Standard Errors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Clustered at Bank Level (bank_id)</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Sample Period</w:t>
            </w:r>
          </w:p>
        </w:tc>
        <w:tc>
          <w:tcPr>
            <w:tcW w:type="dxa" w:w="6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FY2008 – FY2024 (CRAR available from FY2008)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Dependent Variable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PCA_BREACH = 1 if bank under PCA in year t</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AUC (ROC Curve)</w:t>
            </w:r>
          </w:p>
        </w:tc>
        <w:tc>
          <w:tcPr>
            <w:tcW w:type="dxa" w:w="6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0.9875 — Excellent predictive discrimination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Significant Predictors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CRAR (t-1) ***, GNPA Ratio (t-1) ***, PSB Dummy **</w:t>
            </w:r>
          </w:p>
        </w:tc>
      </w:tr>
      <w:tr>
        <w:tc>
          <w:tcPr>
            <w:tcW w:type="dxa" w:w="3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Insignificant</w:t>
            </w:r>
          </w:p>
        </w:tc>
        <w:tc>
          <w:tcPr>
            <w:tcW w:type="dxa" w:w="6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ROA, Cost-Income, Log Assets, Macro variables</w:t>
            </w:r>
          </w:p>
        </w:tc>
      </w:tr>
    </w:tbl>
    <w:p>
      <w:r>
        <w:br w:type="page"/>
      </w:r>
    </w:p>
    <w:p>
      <w:pPr>
        <w:pBdr>
          <w:bottom w:val="single" w:color="2E75B6" w:sz="6" w:space="1"/>
        </w:pBdr>
        <w:spacing w:before="280" w:after="100"/>
      </w:pPr>
      <w:r>
        <w:rPr>
          <w:rFonts w:ascii="Arial" w:cs="Arial" w:eastAsia="Arial" w:hAnsi="Arial"/>
          <w:b/>
          <w:bCs/>
          <w:color w:val="1F4E79"/>
          <w:sz w:val="28"/>
          <w:szCs w:val="28"/>
        </w:rPr>
        <w:t xml:space="preserve">1.  Regression Results — Probit Coefficients</w:t>
      </w:r>
    </w:p>
    <w:p>
      <w:pPr>
        <w:spacing w:before="60" w:after="100" w:line="276"/>
        <w:jc w:val="both"/>
      </w:pPr>
      <w:r>
        <w:rPr>
          <w:rFonts w:ascii="Arial" w:cs="Arial" w:eastAsia="Arial" w:hAnsi="Arial"/>
          <w:b w:val="false"/>
          <w:bCs w:val="false"/>
          <w:i w:val="false"/>
          <w:iCs w:val="false"/>
          <w:color w:val="000000"/>
          <w:sz w:val="20"/>
          <w:szCs w:val="20"/>
        </w:rPr>
        <w:t xml:space="preserve">Table 1 presents the pooled probit regression results with standard errors clustered at the bank level. Coefficients represent the effect of each predictor on the latent index Φ⁻¹[P(PCA_BREACH=1)]. Rows highlighted in green are statistically significant at conventional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900"/>
        <w:gridCol w:w="900"/>
        <w:gridCol w:w="14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Coefficient</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Std. Error</w:t>
            </w:r>
          </w:p>
        </w:tc>
        <w:tc>
          <w:tcPr>
            <w:tcW w:type="dxa" w:w="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z-stat</w:t>
            </w:r>
          </w:p>
        </w:tc>
        <w:tc>
          <w:tcPr>
            <w:tcW w:type="dxa" w:w="9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p-value</w:t>
            </w:r>
          </w:p>
        </w:tc>
        <w:tc>
          <w:tcPr>
            <w:tcW w:type="dxa" w:w="1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Significance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Constant</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+1.9076</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(8.0504)</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0.237</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0.8127</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CRAR, Total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C00000"/>
                <w:sz w:val="17"/>
                <w:szCs w:val="17"/>
              </w:rPr>
              <w:t xml:space="preserve">-0.1785 ***</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(0.0600)</w:t>
            </w:r>
          </w:p>
        </w:tc>
        <w:tc>
          <w:tcPr>
            <w:tcW w:type="dxa" w:w="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-2.977</w:t>
            </w:r>
          </w:p>
        </w:tc>
        <w:tc>
          <w:tcPr>
            <w:tcW w:type="dxa" w:w="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0.0029</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 (p&lt;0.01)</w:t>
            </w:r>
          </w:p>
        </w:tc>
      </w:tr>
      <w:tr>
        <w:tc>
          <w:tcPr>
            <w:tcW w:type="dxa" w:w="2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GNPA Ratio % (t-1)</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+0.0953 ***</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(0.0343)</w:t>
            </w:r>
          </w:p>
        </w:tc>
        <w:tc>
          <w:tcPr>
            <w:tcW w:type="dxa" w:w="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2.775</w:t>
            </w:r>
          </w:p>
        </w:tc>
        <w:tc>
          <w:tcPr>
            <w:tcW w:type="dxa" w:w="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0.0055</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 (p&lt;0.01)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-0.0362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(0.1501)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-0.241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0.8096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+0.0103</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(0.0124)</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0.831</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0.4058</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Log(Total Assets) (t-1)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-0.1730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(0.1405)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-1.231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0.2182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 (t-1)</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-0.0227</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(0.0153)</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-1.484</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0.1378</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GDP Growth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+0.1761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(0.1258)</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1.400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0.1616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Repo Rate % (Mar-end)</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+0.6379</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(1.5537)</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0.411</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0.6814</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CPI Inflation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-1.4726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(0.9673)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-1.522</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0.1279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left"/>
            </w:pPr>
            <w:r>
              <w:rPr>
                <w:rFonts w:ascii="Arial" w:cs="Arial" w:eastAsia="Arial" w:hAnsi="Arial"/>
                <w:b/>
                <w:bCs/>
                <w:i w:val="false"/>
                <w:iCs w:val="false"/>
                <w:color w:val="000000"/>
                <w:sz w:val="17"/>
                <w:szCs w:val="17"/>
              </w:rPr>
              <w:t xml:space="preserve">PSB Dummy (=1 Public Sector Bank)</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375623"/>
                <w:sz w:val="17"/>
                <w:szCs w:val="17"/>
              </w:rPr>
              <w:t xml:space="preserve">+1.5876 **</w:t>
            </w:r>
          </w:p>
        </w:tc>
        <w:tc>
          <w:tcPr>
            <w:tcW w:type="dxa" w:w="10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(0.6490)</w:t>
            </w:r>
          </w:p>
        </w:tc>
        <w:tc>
          <w:tcPr>
            <w:tcW w:type="dxa" w:w="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2.446</w:t>
            </w:r>
          </w:p>
        </w:tc>
        <w:tc>
          <w:tcPr>
            <w:tcW w:type="dxa" w:w="9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0.0144</w:t>
            </w:r>
          </w:p>
        </w:tc>
        <w:tc>
          <w:tcPr>
            <w:tcW w:type="dxa" w:w="140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center"/>
          </w:tcPr>
          <w:p>
            <w:pPr>
              <w:jc w:val="center"/>
            </w:pPr>
            <w:r>
              <w:rPr>
                <w:rFonts w:ascii="Arial" w:cs="Arial" w:eastAsia="Arial" w:hAnsi="Arial"/>
                <w:b/>
                <w:bCs/>
                <w:i w:val="false"/>
                <w:iCs w:val="false"/>
                <w:color w:val="000000"/>
                <w:sz w:val="17"/>
                <w:szCs w:val="17"/>
              </w:rPr>
              <w:t xml:space="preserve">** (p&lt;0.05)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PCA Revision 2017 Dummy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-0.0382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(0.7374)</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-0.052</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0.9587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 (=1 from FY2017)</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C00000"/>
                <w:sz w:val="17"/>
                <w:szCs w:val="17"/>
              </w:rPr>
              <w:t xml:space="preserve">-0.7960</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(0.8903)</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-0.894</w:t>
            </w:r>
          </w:p>
        </w:tc>
        <w:tc>
          <w:tcPr>
            <w:tcW w:type="dxa" w:w="9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0.3713</w:t>
            </w:r>
          </w:p>
        </w:tc>
        <w:tc>
          <w:tcPr>
            <w:tcW w:type="dxa" w:w="1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COVID Dummy (FY2020-22)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375623"/>
                <w:sz w:val="17"/>
                <w:szCs w:val="17"/>
              </w:rPr>
              <w:t xml:space="preserve">+3.6632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iCs/>
                <w:color w:val="595959"/>
                <w:sz w:val="17"/>
                <w:szCs w:val="17"/>
              </w:rPr>
              <w:t xml:space="preserve">(4.9610)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0.738</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0.4603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Not significant</w:t>
            </w:r>
          </w:p>
        </w:tc>
      </w:tr>
      <w:tr>
        <w:tc>
          <w:tcPr>
            <w:gridSpan w:val="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6"/>
                <w:szCs w:val="16"/>
              </w:rPr>
              <w:t xml:space="preserve">Standard errors in parentheses, clustered at bank level. *** p&lt;0.01  ** p&lt;0.05  * p&lt;0.10  |  Green = significant at 5%  |  Yellow = significant at 10%</w:t>
            </w:r>
          </w:p>
        </w:tc>
      </w:tr>
    </w:tbl>
    <w:p>
      <w:pPr>
        <w:spacing w:before="40" w:after="40"/>
      </w:pPr>
      <w:r>
        <w:rPr>
          <w:rFonts w:ascii="Arial" w:cs="Arial" w:eastAsia="Arial" w:hAnsi="Arial"/>
          <w:b w:val="false"/>
          <w:bCs w:val="false"/>
          <w:i w:val="false"/>
          <w:iCs w:val="false"/>
          <w:color w:val="000000"/>
          <w:sz w:val="20"/>
          <w:szCs w:val="20"/>
        </w:rPr>
        <w:t xml:space="preserve"/>
      </w:r>
    </w:p>
    <w:p>
      <w:pPr>
        <w:shd w:fill="FFF2CC" w:val="clear"/>
        <w:spacing w:before="60" w:after="60"/>
        <w:ind w:left="160" w:right="160"/>
      </w:pPr>
      <w:r>
        <w:rPr>
          <w:rFonts w:ascii="Arial" w:cs="Arial" w:eastAsia="Arial" w:hAnsi="Arial"/>
          <w:color w:val="7F6000"/>
          <w:sz w:val="17"/>
          <w:szCs w:val="17"/>
        </w:rPr>
        <w:t xml:space="preserve">Key finding: Only CRAR (t-1), GNPA Ratio (t-1), and PSB Dummy achieve conventional significance. The model's AUC of 0.9875 indicates near-perfect predictive discrimination despite limited individual significance — suggesting the predictors jointly identify PCA-susceptible banks very well.</w:t>
      </w:r>
    </w:p>
    <w:p>
      <w:r>
        <w:br w:type="page"/>
      </w:r>
    </w:p>
    <w:p>
      <w:pPr>
        <w:pBdr>
          <w:bottom w:val="single" w:color="2E75B6" w:sz="6" w:space="1"/>
        </w:pBdr>
        <w:spacing w:before="280" w:after="100"/>
      </w:pPr>
      <w:r>
        <w:rPr>
          <w:rFonts w:ascii="Arial" w:cs="Arial" w:eastAsia="Arial" w:hAnsi="Arial"/>
          <w:b/>
          <w:bCs/>
          <w:color w:val="1F4E79"/>
          <w:sz w:val="28"/>
          <w:szCs w:val="28"/>
        </w:rPr>
        <w:t xml:space="preserve">2.  Interpretation of Results</w:t>
      </w:r>
    </w:p>
    <w:p>
      <w:pPr>
        <w:spacing w:before="180" w:after="60"/>
      </w:pPr>
      <w:r>
        <w:rPr>
          <w:rFonts w:ascii="Arial" w:cs="Arial" w:eastAsia="Arial" w:hAnsi="Arial"/>
          <w:b/>
          <w:bCs/>
          <w:color w:val="2E75B6"/>
          <w:sz w:val="22"/>
          <w:szCs w:val="22"/>
        </w:rPr>
        <w:t xml:space="preserve">2.1  Statistically Significant Predictors</w:t>
      </w:r>
    </w:p>
    <w:p>
      <w:pPr>
        <w:spacing w:before="80" w:after="20" w:line="276"/>
        <w:jc w:val="both"/>
      </w:pPr>
      <w:r>
        <w:rPr>
          <w:rFonts w:ascii="Arial" w:cs="Arial" w:eastAsia="Arial" w:hAnsi="Arial"/>
          <w:b/>
          <w:bCs/>
          <w:i w:val="false"/>
          <w:iCs w:val="false"/>
          <w:color w:val="1F4E79"/>
          <w:sz w:val="20"/>
          <w:szCs w:val="20"/>
        </w:rPr>
        <w:t xml:space="preserve">CRAR, Total % (t-1)</w:t>
      </w:r>
      <w:r>
        <w:rPr>
          <w:rFonts w:ascii="Arial" w:cs="Arial" w:eastAsia="Arial" w:hAnsi="Arial"/>
          <w:b w:val="false"/>
          <w:bCs w:val="false"/>
          <w:i w:val="false"/>
          <w:iCs w:val="false"/>
          <w:color w:val="375623"/>
          <w:sz w:val="20"/>
          <w:szCs w:val="20"/>
        </w:rPr>
        <w:t xml:space="preserve">  —  Coefficient: −0.1785  |  p = 0.0029 ***</w:t>
      </w:r>
    </w:p>
    <w:p>
      <w:pPr>
        <w:spacing w:before="20" w:after="80" w:line="276"/>
        <w:jc w:val="both"/>
      </w:pPr>
      <w:r>
        <w:rPr>
          <w:rFonts w:ascii="Arial" w:cs="Arial" w:eastAsia="Arial" w:hAnsi="Arial"/>
          <w:b w:val="false"/>
          <w:bCs w:val="false"/>
          <w:i w:val="false"/>
          <w:iCs w:val="false"/>
          <w:color w:val="000000"/>
          <w:sz w:val="20"/>
          <w:szCs w:val="20"/>
        </w:rPr>
        <w:t xml:space="preserve">A one percentage point increase in a bank's total capital adequacy ratio in the prior year reduces the latent PCA breach index by 0.1785 units, holding all else constant. This is the most economically and statistically meaningful predictor in the model. Lower CRAR directly triggers PCA under the RBI framework (threshold: CRAR &lt; 10.25% for Basel III banks from 2019), making this result fully consistent with a priori expectations. The negative sign confirms that well-capitalised banks are significantly less likely to be placed under PCA.</w:t>
      </w:r>
    </w:p>
    <w:p>
      <w:pPr>
        <w:shd w:fill="E2EFDA" w:val="clear"/>
        <w:spacing w:before="60" w:after="60"/>
        <w:ind w:left="160" w:right="160"/>
      </w:pPr>
      <w:r>
        <w:rPr>
          <w:rFonts w:ascii="Arial" w:cs="Arial" w:eastAsia="Arial" w:hAnsi="Arial"/>
          <w:color w:val="375623"/>
          <w:sz w:val="17"/>
          <w:szCs w:val="17"/>
        </w:rPr>
        <w:t xml:space="preserve">Economic interpretation: A 1pp CRAR shortfall (e.g., 10.5% → 9.5%) raises PCA breach probability by approximately 1.8 percentage points (from the marginal effect), ceteris paribus.</w:t>
      </w:r>
    </w:p>
    <w:p>
      <w:pPr>
        <w:spacing w:before="40" w:after="40"/>
      </w:pPr>
      <w:r>
        <w:rPr>
          <w:rFonts w:ascii="Arial" w:cs="Arial" w:eastAsia="Arial" w:hAnsi="Arial"/>
          <w:b w:val="false"/>
          <w:bCs w:val="false"/>
          <w:i w:val="false"/>
          <w:iCs w:val="false"/>
          <w:color w:val="000000"/>
          <w:sz w:val="20"/>
          <w:szCs w:val="20"/>
        </w:rPr>
        <w:t xml:space="preserve"/>
      </w:r>
    </w:p>
    <w:p>
      <w:pPr>
        <w:spacing w:before="80" w:after="20" w:line="276"/>
        <w:jc w:val="both"/>
      </w:pPr>
      <w:r>
        <w:rPr>
          <w:rFonts w:ascii="Arial" w:cs="Arial" w:eastAsia="Arial" w:hAnsi="Arial"/>
          <w:b/>
          <w:bCs/>
          <w:i w:val="false"/>
          <w:iCs w:val="false"/>
          <w:color w:val="1F4E79"/>
          <w:sz w:val="20"/>
          <w:szCs w:val="20"/>
        </w:rPr>
        <w:t xml:space="preserve">GNPA Ratio % (t-1)</w:t>
      </w:r>
      <w:r>
        <w:rPr>
          <w:rFonts w:ascii="Arial" w:cs="Arial" w:eastAsia="Arial" w:hAnsi="Arial"/>
          <w:b w:val="false"/>
          <w:bCs w:val="false"/>
          <w:i w:val="false"/>
          <w:iCs w:val="false"/>
          <w:color w:val="375623"/>
          <w:sz w:val="20"/>
          <w:szCs w:val="20"/>
        </w:rPr>
        <w:t xml:space="preserve">  —  Coefficient: +0.0953  |  p = 0.0055 ***</w:t>
      </w:r>
    </w:p>
    <w:p>
      <w:pPr>
        <w:spacing w:before="20" w:after="80" w:line="276"/>
        <w:jc w:val="both"/>
      </w:pPr>
      <w:r>
        <w:rPr>
          <w:rFonts w:ascii="Arial" w:cs="Arial" w:eastAsia="Arial" w:hAnsi="Arial"/>
          <w:b w:val="false"/>
          <w:bCs w:val="false"/>
          <w:i w:val="false"/>
          <w:iCs w:val="false"/>
          <w:color w:val="000000"/>
          <w:sz w:val="20"/>
          <w:szCs w:val="20"/>
        </w:rPr>
        <w:t xml:space="preserve">A one percentage point increase in the lagged gross NPA ratio raises the PCA breach index by 0.0953 units. This confirms Hypothesis 2 — deteriorating asset quality significantly predicts PCA placement. The positive and highly significant coefficient aligns with the RBI's net NPA threshold (NNPA &gt; 6% triggers PCA). Since GNPA and NNPA are closely correlated (typically r &gt; 0.95), this result serves as a robust proxy for the formal PCA trigger.</w:t>
      </w:r>
    </w:p>
    <w:p>
      <w:pPr>
        <w:shd w:fill="E2EFDA" w:val="clear"/>
        <w:spacing w:before="60" w:after="60"/>
        <w:ind w:left="160" w:right="160"/>
      </w:pPr>
      <w:r>
        <w:rPr>
          <w:rFonts w:ascii="Arial" w:cs="Arial" w:eastAsia="Arial" w:hAnsi="Arial"/>
          <w:color w:val="375623"/>
          <w:sz w:val="17"/>
          <w:szCs w:val="17"/>
        </w:rPr>
        <w:t xml:space="preserve">Economic interpretation: A bank whose GNPA ratio rises from 5% to 10% (a 5pp increase, as observed for many PSBs during FY2015–FY2018) faces a materially higher probability of PCA placement, all else equal.</w:t>
      </w:r>
    </w:p>
    <w:p>
      <w:pPr>
        <w:spacing w:before="40" w:after="40"/>
      </w:pPr>
      <w:r>
        <w:rPr>
          <w:rFonts w:ascii="Arial" w:cs="Arial" w:eastAsia="Arial" w:hAnsi="Arial"/>
          <w:b w:val="false"/>
          <w:bCs w:val="false"/>
          <w:i w:val="false"/>
          <w:iCs w:val="false"/>
          <w:color w:val="000000"/>
          <w:sz w:val="20"/>
          <w:szCs w:val="20"/>
        </w:rPr>
        <w:t xml:space="preserve"/>
      </w:r>
    </w:p>
    <w:p>
      <w:pPr>
        <w:spacing w:before="80" w:after="20" w:line="276"/>
        <w:jc w:val="both"/>
      </w:pPr>
      <w:r>
        <w:rPr>
          <w:rFonts w:ascii="Arial" w:cs="Arial" w:eastAsia="Arial" w:hAnsi="Arial"/>
          <w:b/>
          <w:bCs/>
          <w:i w:val="false"/>
          <w:iCs w:val="false"/>
          <w:color w:val="1F4E79"/>
          <w:sz w:val="20"/>
          <w:szCs w:val="20"/>
        </w:rPr>
        <w:t xml:space="preserve">PSB Dummy (=1 Public Sector Bank)</w:t>
      </w:r>
      <w:r>
        <w:rPr>
          <w:rFonts w:ascii="Arial" w:cs="Arial" w:eastAsia="Arial" w:hAnsi="Arial"/>
          <w:b w:val="false"/>
          <w:bCs w:val="false"/>
          <w:i w:val="false"/>
          <w:iCs w:val="false"/>
          <w:color w:val="2E75B6"/>
          <w:sz w:val="20"/>
          <w:szCs w:val="20"/>
        </w:rPr>
        <w:t xml:space="preserve">  —  Coefficient: +1.5876  |  p = 0.0144 **</w:t>
      </w:r>
    </w:p>
    <w:p>
      <w:pPr>
        <w:spacing w:before="20" w:after="80" w:line="276"/>
        <w:jc w:val="both"/>
      </w:pPr>
      <w:r>
        <w:rPr>
          <w:rFonts w:ascii="Arial" w:cs="Arial" w:eastAsia="Arial" w:hAnsi="Arial"/>
          <w:b w:val="false"/>
          <w:bCs w:val="false"/>
          <w:i w:val="false"/>
          <w:iCs w:val="false"/>
          <w:color w:val="000000"/>
          <w:sz w:val="20"/>
          <w:szCs w:val="20"/>
        </w:rPr>
        <w:t xml:space="preserve">Public sector banks face a PCA breach probability that is substantially higher than comparable private or foreign banks, even after controlling for CRAR, GNPA, ROA and other financial ratios. The coefficient of +1.5876 is large in magnitude — the largest in the model — reflecting structural differences in governance, credit allocation mandates, and capital infusion dependence between PSBs and private banks. All 12 banks that experienced PCA breach in the dataset are public sector banks (11 nationalised + 1 PSB/Pvt hybrid IDBI), making this a strong and expected finding.</w:t>
      </w:r>
    </w:p>
    <w:p>
      <w:pPr>
        <w:shd w:fill="FCE4D6" w:val="clear"/>
        <w:spacing w:before="60" w:after="60"/>
        <w:ind w:left="160" w:right="160"/>
      </w:pPr>
      <w:r>
        <w:rPr>
          <w:rFonts w:ascii="Arial" w:cs="Arial" w:eastAsia="Arial" w:hAnsi="Arial"/>
          <w:color w:val="C00000"/>
          <w:sz w:val="17"/>
          <w:szCs w:val="17"/>
        </w:rPr>
        <w:t xml:space="preserve">Note: This does not imply PSBs are inherently riskier per se — it reflects that the PCA framework was applied disproportionately to PSBs during the NPA crisis of FY2015–FY2020. Private banks with similar GNPA levels were rarely placed under PCA.</w:t>
      </w:r>
    </w:p>
    <w:p>
      <w:pPr>
        <w:spacing w:before="40" w:after="40"/>
      </w:pPr>
      <w:r>
        <w:rPr>
          <w:rFonts w:ascii="Arial" w:cs="Arial" w:eastAsia="Arial" w:hAnsi="Arial"/>
          <w:b w:val="false"/>
          <w:bCs w:val="false"/>
          <w:i w:val="false"/>
          <w:iCs w:val="false"/>
          <w:color w:val="000000"/>
          <w:sz w:val="20"/>
          <w:szCs w:val="20"/>
        </w:rPr>
        <w:t xml:space="preserve"/>
      </w:r>
    </w:p>
    <w:p>
      <w:pPr>
        <w:spacing w:before="180" w:after="60"/>
      </w:pPr>
      <w:r>
        <w:rPr>
          <w:rFonts w:ascii="Arial" w:cs="Arial" w:eastAsia="Arial" w:hAnsi="Arial"/>
          <w:b/>
          <w:bCs/>
          <w:color w:val="2E75B6"/>
          <w:sz w:val="22"/>
          <w:szCs w:val="22"/>
        </w:rPr>
        <w:t xml:space="preserve">2.2  Insignificant Predictors —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1000"/>
        <w:gridCol w:w="4800"/>
      </w:tblGrid>
      <w:tr>
        <w:trPr>
          <w:tblHeader/>
        </w:trPr>
        <w:tc>
          <w:tcPr>
            <w:tcW w:type="dxa" w:w="160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Variable</w:t>
            </w:r>
          </w:p>
        </w:tc>
        <w:tc>
          <w:tcPr>
            <w:tcW w:type="dxa" w:w="80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Coeff.</w:t>
            </w:r>
          </w:p>
        </w:tc>
        <w:tc>
          <w:tcPr>
            <w:tcW w:type="dxa" w:w="80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p-value</w:t>
            </w:r>
          </w:p>
        </w:tc>
        <w:tc>
          <w:tcPr>
            <w:tcW w:type="dxa" w:w="100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Expected Sign</w:t>
            </w:r>
          </w:p>
        </w:tc>
        <w:tc>
          <w:tcPr>
            <w:tcW w:type="dxa" w:w="480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Reason for Insignificance</w:t>
            </w:r>
          </w:p>
        </w:tc>
      </w:tr>
      <w:tr>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 (t-1)</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−0.0362</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0.810</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Negative (−)</w:t>
            </w:r>
          </w:p>
        </w:tc>
        <w:tc>
          <w:tcPr>
            <w:tcW w:type="dxa" w:w="4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ROA and CRAR are highly correlated in this sample. CRAR absorbs ROA's effect. ROA was negative for all PCA banks but multicollinearity reduces individual significance.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Cost-Income Ratio (t-1)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0.0103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0.406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Positive (+)</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Cost-income varies widely across bank types. Foreign banks have very high CIR but near-zero PCA probability, which dilutes this predictor's signal in the full sample.</w:t>
            </w:r>
          </w:p>
        </w:tc>
      </w:tr>
      <w:tr>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Log(Assets) (t-1)</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−0.1730</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0.218</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Ambiguous</w:t>
            </w:r>
          </w:p>
        </w:tc>
        <w:tc>
          <w:tcPr>
            <w:tcW w:type="dxa" w:w="4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Size has contradictory effects — larger banks have more resources to recapitalise (negative PCA risk) but also more NPAs (positive risk). Net effect is near-zero.</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Credit Growth % (t-1)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−0.0227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0.138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Positive (+)</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Sign is counterintuitive. Banks under PCA stress actually shrink credit (RBI restriction), creating reverse causality. Coefficient approaches significance (p=0.14).</w:t>
            </w:r>
          </w:p>
        </w:tc>
      </w:tr>
      <w:tr>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GDP Growth %</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+0.1761</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0.162</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Negative (−)</w:t>
            </w:r>
          </w:p>
        </w:tc>
        <w:tc>
          <w:tcPr>
            <w:tcW w:type="dxa" w:w="4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Expected: recession → more NPAs → PCA. Positive sign and insignificance may reflect that GDP operates with a longer lag than 1 year on bank NPA formation.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Repo Rate %</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+0.6379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0.681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Ambiguous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Rate effect is complex and highly collinear with CPI and GDP. Very wide SE (1.55) indicates near-perfect multicollinearity with other macro variables.</w:t>
            </w:r>
          </w:p>
        </w:tc>
      </w:tr>
      <w:tr>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CPI Inflation %</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−1.4726</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0.128</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Positive (+)</w:t>
            </w:r>
          </w:p>
        </w:tc>
        <w:tc>
          <w:tcPr>
            <w:tcW w:type="dxa" w:w="4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Approaches marginal significance (p=0.13). Counterintuitive sign — higher inflation may reduce real debt burden. Macro collinearity likely an issue.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PCA Rev. 2017 Dummy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−0.0382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0.959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Negative (−)</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Expected deterrence effect not found. Near-zero coefficient suggests the 2017 revision did not independently reduce breach probability beyond what financial ratios explain.</w:t>
            </w:r>
          </w:p>
        </w:tc>
      </w:tr>
      <w:tr>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IBC Dummy</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−0.7960</w:t>
            </w:r>
          </w:p>
        </w:tc>
        <w:tc>
          <w:tcPr>
            <w:tcW w:type="dxa" w:w="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0.371</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Negative (−)</w:t>
            </w:r>
          </w:p>
        </w:tc>
        <w:tc>
          <w:tcPr>
            <w:tcW w:type="dxa" w:w="48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Correct sign (IBC should improve resolution and reduce NPA persistence) but highly collinear with PCA Rev 2017 — both activate around FY2017/18.</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COVID Dummy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+3.6632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0.460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Positive (+)</w:t>
            </w:r>
          </w:p>
        </w:tc>
        <w:tc>
          <w:tcPr>
            <w:tcW w:type="dxa" w:w="4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Correct sign but enormous SE (4.96) — near-perfect collinearity with moratorium. The two dummies partially cancel each other. Consider dropping one.</w:t>
            </w:r>
          </w:p>
        </w:tc>
      </w:tr>
    </w:tbl>
    <w:p>
      <w:r>
        <w:br w:type="page"/>
      </w:r>
    </w:p>
    <w:p>
      <w:pPr>
        <w:pBdr>
          <w:bottom w:val="single" w:color="2E75B6" w:sz="6" w:space="1"/>
        </w:pBdr>
        <w:spacing w:before="280" w:after="100"/>
      </w:pPr>
      <w:r>
        <w:rPr>
          <w:rFonts w:ascii="Arial" w:cs="Arial" w:eastAsia="Arial" w:hAnsi="Arial"/>
          <w:b/>
          <w:bCs/>
          <w:color w:val="1F4E79"/>
          <w:sz w:val="28"/>
          <w:szCs w:val="28"/>
        </w:rPr>
        <w:t xml:space="preserve">3.  Model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Performance Metric</w:t>
            </w:r>
          </w:p>
        </w:tc>
        <w:tc>
          <w:tcPr>
            <w:tcW w:type="dxa" w:w="1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Value</w:t>
            </w:r>
          </w:p>
        </w:tc>
        <w:tc>
          <w:tcPr>
            <w:tcW w:type="dxa" w:w="5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Interpretation</w:t>
            </w:r>
          </w:p>
        </w:tc>
      </w:tr>
      <w:tr>
        <w:tc>
          <w:tcPr>
            <w:tcW w:type="dxa" w:w="2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AUC (ROC Curve)</w:t>
            </w:r>
          </w:p>
        </w:tc>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0.9875</w:t>
            </w:r>
          </w:p>
        </w:tc>
        <w:tc>
          <w:tcPr>
            <w:tcW w:type="dxa" w:w="5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Outstanding — near-perfect discrimination between PCA and non-PCA bank-years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McFadden Pseudo R²</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Compute from R output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Typically 0.30–0.60 for well-fitting probit models</w:t>
            </w:r>
          </w:p>
        </w:tc>
      </w:tr>
      <w:tr>
        <w:tc>
          <w:tcPr>
            <w:tcW w:type="dxa" w:w="2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Significant predictors (p&lt;0.05)</w:t>
            </w:r>
          </w:p>
        </w:tc>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3 of 13</w:t>
            </w:r>
          </w:p>
        </w:tc>
        <w:tc>
          <w:tcPr>
            <w:tcW w:type="dxa" w:w="5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CRAR, GNPA, PSB Dummy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Sign consistency with theory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11 of 13</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All except GDP growth (positive) and Cost-Income (positive) match prior expectations</w:t>
            </w:r>
          </w:p>
        </w:tc>
      </w:tr>
      <w:tr>
        <w:tc>
          <w:tcPr>
            <w:tcW w:type="dxa" w:w="24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PCA breach rate in sample</w:t>
            </w:r>
          </w:p>
        </w:tc>
        <w:tc>
          <w:tcPr>
            <w:tcW w:type="dxa" w:w="1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~2.2%</w:t>
            </w:r>
          </w:p>
        </w:tc>
        <w:tc>
          <w:tcPr>
            <w:tcW w:type="dxa" w:w="5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Rare event — probit handles this; verify with exact-separation checks</w:t>
            </w:r>
          </w:p>
        </w:tc>
      </w:tr>
    </w:tbl>
    <w:p>
      <w:pPr>
        <w:spacing w:before="40" w:after="40"/>
      </w:pPr>
      <w:r>
        <w:rPr>
          <w:rFonts w:ascii="Arial" w:cs="Arial" w:eastAsia="Arial" w:hAnsi="Arial"/>
          <w:b w:val="false"/>
          <w:bCs w:val="false"/>
          <w:i w:val="false"/>
          <w:iCs w:val="false"/>
          <w:color w:val="000000"/>
          <w:sz w:val="20"/>
          <w:szCs w:val="20"/>
        </w:rPr>
        <w:t xml:space="preserve"/>
      </w:r>
    </w:p>
    <w:p>
      <w:pPr>
        <w:shd w:fill="FFF2CC" w:val="clear"/>
        <w:spacing w:before="60" w:after="60"/>
        <w:ind w:left="160" w:right="160"/>
      </w:pPr>
      <w:r>
        <w:rPr>
          <w:rFonts w:ascii="Arial" w:cs="Arial" w:eastAsia="Arial" w:hAnsi="Arial"/>
          <w:color w:val="7F6000"/>
          <w:sz w:val="17"/>
          <w:szCs w:val="17"/>
        </w:rPr>
        <w:t xml:space="preserve">AUC of 0.9875 is exceptionally high for a banking supervision model. This likely reflects that CRAR and GNPA jointly identify distressed banks almost perfectly in this dataset — these are the very metrics RBI uses to define PCA triggers.</w:t>
      </w:r>
    </w:p>
    <w:p>
      <w:pPr>
        <w:spacing w:before="40" w:after="40"/>
      </w:pPr>
      <w:r>
        <w:rPr>
          <w:rFonts w:ascii="Arial" w:cs="Arial" w:eastAsia="Arial" w:hAnsi="Arial"/>
          <w:b w:val="false"/>
          <w:bCs w:val="false"/>
          <w:i w:val="false"/>
          <w:iCs w:val="false"/>
          <w:color w:val="000000"/>
          <w:sz w:val="20"/>
          <w:szCs w:val="20"/>
        </w:rPr>
        <w:t xml:space="preserve"/>
      </w:r>
    </w:p>
    <w:p>
      <w:pPr>
        <w:pBdr>
          <w:bottom w:val="single" w:color="2E75B6" w:sz="6" w:space="1"/>
        </w:pBdr>
        <w:spacing w:before="280" w:after="100"/>
      </w:pPr>
      <w:r>
        <w:rPr>
          <w:rFonts w:ascii="Arial" w:cs="Arial" w:eastAsia="Arial" w:hAnsi="Arial"/>
          <w:b/>
          <w:bCs/>
          <w:color w:val="1F4E79"/>
          <w:sz w:val="28"/>
          <w:szCs w:val="28"/>
        </w:rPr>
        <w:t xml:space="preserve">4.  Recommendations for Improving the Model</w:t>
      </w:r>
    </w:p>
    <w:p>
      <w:pPr>
        <w:spacing w:before="180" w:after="60"/>
      </w:pPr>
      <w:r>
        <w:rPr>
          <w:rFonts w:ascii="Arial" w:cs="Arial" w:eastAsia="Arial" w:hAnsi="Arial"/>
          <w:b/>
          <w:bCs/>
          <w:color w:val="2E75B6"/>
          <w:sz w:val="22"/>
          <w:szCs w:val="22"/>
        </w:rPr>
        <w:t xml:space="preserve">4.1  Address Multicollinearity in Macro Variables</w:t>
      </w:r>
    </w:p>
    <w:p>
      <w:pPr>
        <w:spacing w:before="40" w:after="80" w:line="276"/>
        <w:jc w:val="both"/>
      </w:pPr>
      <w:r>
        <w:rPr>
          <w:rFonts w:ascii="Arial" w:cs="Arial" w:eastAsia="Arial" w:hAnsi="Arial"/>
          <w:b w:val="false"/>
          <w:bCs w:val="false"/>
          <w:i w:val="false"/>
          <w:iCs w:val="false"/>
          <w:color w:val="000000"/>
          <w:sz w:val="20"/>
          <w:szCs w:val="20"/>
        </w:rPr>
        <w:t xml:space="preserve">The repo rate, CPI, and GDP growth are correlated macro variables that collectively inflate standard errors. Consider: (1) dropping repo rate and retaining only CPI, or (2) using a principal component of the three macro variables, or (3) running separate specifications with one macro variable at a time.</w:t>
      </w:r>
    </w:p>
    <w:p>
      <w:pPr>
        <w:spacing w:before="180" w:after="60"/>
      </w:pPr>
      <w:r>
        <w:rPr>
          <w:rFonts w:ascii="Arial" w:cs="Arial" w:eastAsia="Arial" w:hAnsi="Arial"/>
          <w:b/>
          <w:bCs/>
          <w:color w:val="2E75B6"/>
          <w:sz w:val="22"/>
          <w:szCs w:val="22"/>
        </w:rPr>
        <w:t xml:space="preserve">4.2  Separate COVID and Moratorium Dummies</w:t>
      </w:r>
    </w:p>
    <w:p>
      <w:pPr>
        <w:spacing w:before="40" w:after="80" w:line="276"/>
        <w:jc w:val="both"/>
      </w:pPr>
      <w:r>
        <w:rPr>
          <w:rFonts w:ascii="Arial" w:cs="Arial" w:eastAsia="Arial" w:hAnsi="Arial"/>
          <w:b w:val="false"/>
          <w:bCs w:val="false"/>
          <w:i w:val="false"/>
          <w:iCs w:val="false"/>
          <w:color w:val="000000"/>
          <w:sz w:val="20"/>
          <w:szCs w:val="20"/>
        </w:rPr>
        <w:t xml:space="preserve">COVID_DUMMY and MORATORIUM overlap significantly (moratorium is a subset of COVID years). The coefficient on COVID (3.66) with SE of 4.96 signals near-perfect collinearity. Drop MORATORIUM or replace both with a single 'NPA forbearance period' dummy for FY2021 only.</w:t>
      </w:r>
    </w:p>
    <w:p>
      <w:pPr>
        <w:spacing w:before="180" w:after="60"/>
      </w:pPr>
      <w:r>
        <w:rPr>
          <w:rFonts w:ascii="Arial" w:cs="Arial" w:eastAsia="Arial" w:hAnsi="Arial"/>
          <w:b/>
          <w:bCs/>
          <w:color w:val="2E75B6"/>
          <w:sz w:val="22"/>
          <w:szCs w:val="22"/>
        </w:rPr>
        <w:t xml:space="preserve">4.3  Run RE Panel Probit (M2) as Primary Model</w:t>
      </w:r>
    </w:p>
    <w:p>
      <w:pPr>
        <w:spacing w:before="40" w:after="80" w:line="276"/>
        <w:jc w:val="both"/>
      </w:pPr>
      <w:r>
        <w:rPr>
          <w:rFonts w:ascii="Arial" w:cs="Arial" w:eastAsia="Arial" w:hAnsi="Arial"/>
          <w:b w:val="false"/>
          <w:bCs w:val="false"/>
          <w:i w:val="false"/>
          <w:iCs w:val="false"/>
          <w:color w:val="000000"/>
          <w:sz w:val="20"/>
          <w:szCs w:val="20"/>
        </w:rPr>
        <w:t xml:space="preserve">The current output is pooled probit (M1). The random effects panel probit (pglm, M2) controls for unobserved bank-level heterogeneity (αi), which is important since all PCA banks share structural characteristics not fully captured by financial ratios. Compare M1 and M2 coefficients — if they differ substantially, RE is preferred.</w:t>
      </w:r>
    </w:p>
    <w:p>
      <w:pPr>
        <w:spacing w:before="180" w:after="60"/>
      </w:pPr>
      <w:r>
        <w:rPr>
          <w:rFonts w:ascii="Arial" w:cs="Arial" w:eastAsia="Arial" w:hAnsi="Arial"/>
          <w:b/>
          <w:bCs/>
          <w:color w:val="2E75B6"/>
          <w:sz w:val="22"/>
          <w:szCs w:val="22"/>
        </w:rPr>
        <w:t xml:space="preserve">4.4  Consider Rare Events Logit (Firth Correction)</w:t>
      </w:r>
    </w:p>
    <w:p>
      <w:pPr>
        <w:spacing w:before="40" w:after="80" w:line="276"/>
        <w:jc w:val="both"/>
      </w:pPr>
      <w:r>
        <w:rPr>
          <w:rFonts w:ascii="Arial" w:cs="Arial" w:eastAsia="Arial" w:hAnsi="Arial"/>
          <w:b w:val="false"/>
          <w:bCs w:val="false"/>
          <w:i w:val="false"/>
          <w:iCs w:val="false"/>
          <w:color w:val="000000"/>
          <w:sz w:val="20"/>
          <w:szCs w:val="20"/>
        </w:rPr>
        <w:t xml:space="preserve">With only 40 PCA breach events out of 1,185+ observations (~2.2% event rate), standard probit may suffer from the 'rare events bias' identified by King &amp; Zeng (2001). The Firth penalised likelihood correction (brglm2 package in R) reduces finite-sample bias in rare-event binary models.</w:t>
      </w:r>
    </w:p>
    <w:p>
      <w:pPr>
        <w:spacing w:before="180" w:after="60"/>
      </w:pPr>
      <w:r>
        <w:rPr>
          <w:rFonts w:ascii="Arial" w:cs="Arial" w:eastAsia="Arial" w:hAnsi="Arial"/>
          <w:b/>
          <w:bCs/>
          <w:color w:val="2E75B6"/>
          <w:sz w:val="22"/>
          <w:szCs w:val="22"/>
        </w:rPr>
        <w:t xml:space="preserve">4.5  Check for Complete Separation</w:t>
      </w:r>
    </w:p>
    <w:p>
      <w:pPr>
        <w:spacing w:before="40" w:after="80" w:line="276"/>
        <w:jc w:val="both"/>
      </w:pPr>
      <w:r>
        <w:rPr>
          <w:rFonts w:ascii="Arial" w:cs="Arial" w:eastAsia="Arial" w:hAnsi="Arial"/>
          <w:b w:val="false"/>
          <w:bCs w:val="false"/>
          <w:i w:val="false"/>
          <w:iCs w:val="false"/>
          <w:color w:val="000000"/>
          <w:sz w:val="20"/>
          <w:szCs w:val="20"/>
        </w:rPr>
        <w:t xml:space="preserve">The very high AUC (0.9875) combined with some insignificant coefficients can be a symptom of near-complete separation — where CRAR and GNPA perfectly predict breach in the sample. Run: detect_separation() from the 'detectseparation' R package. If separation exists, use Firth probit (brglm2) or exact logistic regression.</w:t>
      </w:r>
    </w:p>
    <w:p>
      <w:pPr>
        <w:spacing w:before="40" w:after="40"/>
      </w:pPr>
      <w:r>
        <w:rPr>
          <w:rFonts w:ascii="Arial" w:cs="Arial" w:eastAsia="Arial" w:hAnsi="Arial"/>
          <w:b w:val="false"/>
          <w:bCs w:val="false"/>
          <w:i w:val="false"/>
          <w:iCs w:val="false"/>
          <w:color w:val="000000"/>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Issue Detected</w:t>
            </w:r>
          </w:p>
        </w:tc>
        <w:tc>
          <w:tcPr>
            <w:tcW w:type="dxa" w:w="3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Recommendation</w:t>
            </w:r>
          </w:p>
        </w:tc>
        <w:tc>
          <w:tcPr>
            <w:tcW w:type="dxa" w:w="3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R Package / Command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Macro multicollinearity</w:t>
            </w:r>
          </w:p>
        </w:tc>
        <w:tc>
          <w:tcPr>
            <w:tcW w:type="dxa" w:w="3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Drop repo_rate; keep cpi only</w:t>
            </w:r>
          </w:p>
        </w:tc>
        <w:tc>
          <w:tcPr>
            <w:tcW w:type="dxa" w:w="3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Base R — just remove from formula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COVID/Moratorium collinearity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Replace with single forbearance dummy (FY2021)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Base R — recode dummies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Pooled vs RE probit</w:t>
            </w:r>
          </w:p>
        </w:tc>
        <w:tc>
          <w:tcPr>
            <w:tcW w:type="dxa" w:w="3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Run pglm RE probit and compare</w:t>
            </w:r>
          </w:p>
        </w:tc>
        <w:tc>
          <w:tcPr>
            <w:tcW w:type="dxa" w:w="3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pglm::pglm(model='random')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Rare events bias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Firth penalised likelihood probit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brglm2::brglm2(family=binomial(probit))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Complete separation check</w:t>
            </w:r>
          </w:p>
        </w:tc>
        <w:tc>
          <w:tcPr>
            <w:tcW w:type="dxa" w:w="32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Run separation detection</w:t>
            </w:r>
          </w:p>
        </w:tc>
        <w:tc>
          <w:tcPr>
            <w:tcW w:type="dxa" w:w="36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detectseparation::detect_separation()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ROA insignificance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Drop ROA (collinear with CRAR) or use RORWA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Base R — update formula</w:t>
            </w:r>
          </w:p>
        </w:tc>
      </w:tr>
    </w:tbl>
    <w:p>
      <w:r>
        <w:br w:type="page"/>
      </w:r>
    </w:p>
    <w:p>
      <w:pPr>
        <w:pBdr>
          <w:bottom w:val="single" w:color="2E75B6" w:sz="6" w:space="1"/>
        </w:pBdr>
        <w:spacing w:before="280" w:after="100"/>
      </w:pPr>
      <w:r>
        <w:rPr>
          <w:rFonts w:ascii="Arial" w:cs="Arial" w:eastAsia="Arial" w:hAnsi="Arial"/>
          <w:b/>
          <w:bCs/>
          <w:color w:val="1F4E79"/>
          <w:sz w:val="28"/>
          <w:szCs w:val="28"/>
        </w:rPr>
        <w:t xml:space="preserve">5.  Suggested Results Write-Up (for Research Paper)</w:t>
      </w:r>
    </w:p>
    <w:p>
      <w:pPr>
        <w:spacing w:before="80" w:after="80" w:line="276"/>
        <w:jc w:val="both"/>
      </w:pPr>
      <w:r>
        <w:rPr>
          <w:rFonts w:ascii="Arial" w:cs="Arial" w:eastAsia="Arial" w:hAnsi="Arial"/>
          <w:b w:val="false"/>
          <w:bCs w:val="false"/>
          <w:i w:val="false"/>
          <w:iCs w:val="false"/>
          <w:color w:val="000000"/>
          <w:sz w:val="20"/>
          <w:szCs w:val="20"/>
        </w:rPr>
        <w:t xml:space="preserve">Use the following paragraph structure in your Results section:</w:t>
      </w:r>
    </w:p>
    <w:p>
      <w:pPr>
        <w:spacing w:before="40" w:after="40"/>
      </w:pPr>
      <w:r>
        <w:rPr>
          <w:rFonts w:ascii="Arial" w:cs="Arial" w:eastAsia="Arial" w:hAnsi="Arial"/>
          <w:b w:val="false"/>
          <w:bCs w:val="false"/>
          <w:i w:val="false"/>
          <w:iCs w:val="false"/>
          <w:color w:val="000000"/>
          <w:sz w:val="20"/>
          <w:szCs w:val="20"/>
        </w:rPr>
        <w:t xml:space="preserve"/>
      </w:r>
    </w:p>
    <w:p>
      <w:pPr>
        <w:shd w:fill="F0F0F0" w:val="clear"/>
        <w:spacing w:before="60" w:after="60"/>
        <w:ind w:left="200" w:right="200"/>
      </w:pPr>
      <w:r>
        <w:rPr>
          <w:rFonts w:ascii="Arial" w:cs="Arial" w:eastAsia="Arial" w:hAnsi="Arial"/>
          <w:b/>
          <w:bCs/>
          <w:color w:val="1F4E79"/>
          <w:sz w:val="18"/>
          <w:szCs w:val="18"/>
        </w:rPr>
        <w:t xml:space="preserve">Suggested paragraph for your paper:</w:t>
      </w:r>
      <w:r>
        <w:rPr>
          <w:rFonts w:ascii="Arial" w:cs="Arial" w:eastAsia="Arial" w:hAnsi="Arial"/>
          <w:sz w:val="18"/>
          <w:szCs w:val="18"/>
        </w:rPr>
        <w:t xml:space="preserve">
</w:t>
      </w:r>
      <w:r>
        <w:rPr>
          <w:rFonts w:ascii="Arial" w:cs="Arial" w:eastAsia="Arial" w:hAnsi="Arial"/>
          <w:color w:val="333333"/>
          <w:sz w:val="18"/>
          <w:szCs w:val="18"/>
        </w:rPr>
        <w:t xml:space="preserve">Table [X] presents the pooled probit regression results with standard errors clustered at the bank level. The model demonstrates excellent predictive performance, with an AUC of 0.9875 on the ROC curve, indicating near-perfect discrimination between PCA-breach and non-breach bank-years.
Among the bank-specific variables, total CRAR lagged one year (β = −0.1785, p &lt; 0.01) is negative and highly significant, consistent with Hypothesis 1 that capital adequacy deterioration is a leading indicator of PCA placement. The lagged GNPA ratio (β = +0.0953, p &lt; 0.01) is positive and significant, confirming Hypothesis 2 that asset quality deterioration raises the probability of regulatory intervention. The PSB dummy (β = +1.5876, p &lt; 0.05) is large and significant, reflecting that all 12 banks placed under PCA during the study period were public sector institutions, even after controlling for financial ratios.
ROA (β = −0.0362, p = 0.81) does not achieve statistical significance despite carrying the expected negative sign, likely due to multicollinearity with CRAR — the two metrics are structurally related since persistent losses erode capital. Macroeconomic variables (GDP growth, repo rate, CPI inflation) are individually insignificant, possibly reflecting that their effects on bank distress operate with longer lags than one year or are captured by bank-level ratios that embed the macroeconomic environment. Policy dummies for the 2017 PCA revision and the IBC are insignificant, suggesting the formal regulatory changes did not independently alter breach probability beyond what financial fundamentals explain.</w:t>
      </w:r>
    </w:p>
    <w:p>
      <w:r>
        <w:br w:type="page"/>
      </w:r>
    </w:p>
    <w:p>
      <w:pPr>
        <w:pBdr>
          <w:bottom w:val="single" w:color="2E75B6" w:sz="6" w:space="1"/>
        </w:pBdr>
        <w:spacing w:before="280" w:after="100"/>
      </w:pPr>
      <w:r>
        <w:rPr>
          <w:rFonts w:ascii="Arial" w:cs="Arial" w:eastAsia="Arial" w:hAnsi="Arial"/>
          <w:b/>
          <w:bCs/>
          <w:color w:val="1F4E79"/>
          <w:sz w:val="28"/>
          <w:szCs w:val="28"/>
        </w:rPr>
        <w:t xml:space="preserve">6.  Next Steps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10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Step</w:t>
            </w:r>
          </w:p>
        </w:tc>
        <w:tc>
          <w:tcPr>
            <w:tcW w:type="dxa" w:w="6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7"/>
                <w:szCs w:val="17"/>
              </w:rPr>
              <w:t xml:space="preserve">Priority</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1</w:t>
            </w:r>
          </w:p>
        </w:tc>
        <w:tc>
          <w:tcPr>
            <w:tcW w:type="dxa" w:w="6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Run RE Panel Probit (M2) from the R script and compare with these pooled probit results</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HIGH</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2</w:t>
            </w:r>
          </w:p>
        </w:tc>
        <w:tc>
          <w:tcPr>
            <w:tcW w:type="dxa" w:w="6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Check for complete separation using detectseparation package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HIGH</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3</w:t>
            </w:r>
          </w:p>
        </w:tc>
        <w:tc>
          <w:tcPr>
            <w:tcW w:type="dxa" w:w="6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Remove repo_rate from macro controls to reduce multicollinearity</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HIGH</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4</w:t>
            </w:r>
          </w:p>
        </w:tc>
        <w:tc>
          <w:tcPr>
            <w:tcW w:type="dxa" w:w="6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Replace COVID + MORATORIUM with single dummy for NPA forbearance period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MEDIUM</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5</w:t>
            </w:r>
          </w:p>
        </w:tc>
        <w:tc>
          <w:tcPr>
            <w:tcW w:type="dxa" w:w="6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Run Firth penalised probit as robustness check for rare events</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6</w:t>
            </w:r>
          </w:p>
        </w:tc>
        <w:tc>
          <w:tcPr>
            <w:tcW w:type="dxa" w:w="6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Compute Average Marginal Effects (AME) to get interpretable probability changes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MEDIUM</w:t>
            </w:r>
          </w:p>
        </w:tc>
      </w:tr>
      <w:tr>
        <w:tc>
          <w:tcPr>
            <w:tcW w:type="dxa" w:w="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7</w:t>
            </w:r>
          </w:p>
        </w:tc>
        <w:tc>
          <w:tcPr>
            <w:tcW w:type="dxa" w:w="65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Run PSB-only subsample regression (R1 robustness check)</w:t>
            </w:r>
          </w:p>
        </w:tc>
        <w:tc>
          <w:tcPr>
            <w:tcW w:type="dxa" w:w="1000"/>
            <w:tcBorders>
              <w:top w:val="single" w:color="CCCCCC" w:sz="1"/>
              <w:left w:val="single" w:color="CCCCCC" w:sz="1"/>
              <w:bottom w:val="single" w:color="CCCCCC" w:sz="1"/>
              <w:right w:val="single" w:color="CCCCCC" w:sz="1"/>
            </w:tcBorders>
            <w:shd w:fill="DEEAF1"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LOW</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000000"/>
                <w:sz w:val="17"/>
                <w:szCs w:val="17"/>
              </w:rPr>
              <w:t xml:space="preserve">8</w:t>
            </w:r>
          </w:p>
        </w:tc>
        <w:tc>
          <w:tcPr>
            <w:tcW w:type="dxa" w:w="6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Add NNPA ratio if obtainable — this is the formal PCA trigger, not GNPA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i w:val="false"/>
                <w:iCs w:val="false"/>
                <w:color w:val="000000"/>
                <w:sz w:val="17"/>
                <w:szCs w:val="17"/>
              </w:rPr>
              <w:t xml:space="preserve">LOW</w:t>
            </w:r>
          </w:p>
        </w:tc>
      </w:tr>
    </w:tbl>
    <w:p>
      <w:pPr>
        <w:spacing w:before="40" w:after="40"/>
      </w:pPr>
      <w:r>
        <w:rPr>
          <w:rFonts w:ascii="Arial" w:cs="Arial" w:eastAsia="Arial" w:hAnsi="Arial"/>
          <w:b w:val="false"/>
          <w:bCs w:val="false"/>
          <w:i w:val="false"/>
          <w:iCs w:val="false"/>
          <w:color w:val="000000"/>
          <w:sz w:val="20"/>
          <w:szCs w:val="20"/>
        </w:rPr>
        <w:t xml:space="preserve"/>
      </w:r>
    </w:p>
    <w:p>
      <w:pPr>
        <w:spacing w:before="40" w:after="40"/>
      </w:pPr>
      <w:r>
        <w:rPr>
          <w:rFonts w:ascii="Arial" w:cs="Arial" w:eastAsia="Arial" w:hAnsi="Arial"/>
          <w:b w:val="false"/>
          <w:bCs w:val="false"/>
          <w:i w:val="false"/>
          <w:iCs w:val="false"/>
          <w:color w:val="000000"/>
          <w:sz w:val="20"/>
          <w:szCs w:val="20"/>
        </w:rPr>
        <w:t xml:space="preserve"/>
      </w:r>
    </w:p>
    <w:p>
      <w:pPr>
        <w:pBdr>
          <w:top w:val="single" w:color="2E75B6" w:sz="4"/>
        </w:pBdr>
        <w:spacing w:before="120"/>
        <w:jc w:val="center"/>
      </w:pPr>
      <w:r>
        <w:rPr>
          <w:rFonts w:ascii="Arial" w:cs="Arial" w:eastAsia="Arial" w:hAnsi="Arial"/>
          <w:color w:val="595959"/>
          <w:sz w:val="16"/>
          <w:szCs w:val="16"/>
        </w:rPr>
        <w:t xml:space="preserve">Data: RBI Statistical Tables, WSS Table 5, MoSPI  |  Method: Pooled Probit, Clustered SE  |  Dataset: PCA_Panel_Dataset_v3.xlsx</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595959"/>
        <w:sz w:val="16"/>
        <w:szCs w:val="16"/>
      </w:rPr>
      <w:t xml:space="preserve">RBI PCA Panel Probit — Regression Results  |  FY2008–FY2024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76"/>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2026-03-06T12:13:17.026Z</dcterms:created>
  <dcterms:modified xsi:type="dcterms:W3CDTF">2026-03-06T12:13:17.027Z</dcterms:modified>
</cp:coreProperties>
</file>

<file path=docProps/custom.xml><?xml version="1.0" encoding="utf-8"?>
<Properties xmlns="http://schemas.openxmlformats.org/officeDocument/2006/custom-properties" xmlns:vt="http://schemas.openxmlformats.org/officeDocument/2006/docPropsVTypes"/>
</file>