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i w:val="false"/>
          <w:iCs w:val="false"/>
          <w:color w:val="1F4E79"/>
          <w:sz w:val="38"/>
          <w:szCs w:val="38"/>
        </w:rPr>
        <w:t xml:space="preserve">Predicting the Probability of Regulatory Threshold Breach</w:t>
      </w:r>
    </w:p>
    <w:p>
      <w:pPr>
        <w:spacing w:before="60" w:after="60"/>
        <w:jc w:val="center"/>
      </w:pPr>
      <w:r>
        <w:rPr>
          <w:rFonts w:ascii="Arial" w:cs="Arial" w:eastAsia="Arial" w:hAnsi="Arial"/>
          <w:b/>
          <w:bCs/>
          <w:i w:val="false"/>
          <w:iCs w:val="false"/>
          <w:color w:val="2E75B6"/>
          <w:sz w:val="30"/>
          <w:szCs w:val="30"/>
        </w:rPr>
        <w:t xml:space="preserve">Under RBI's Prompt Corrective Action (PCA) Framework</w:t>
      </w:r>
    </w:p>
    <w:p>
      <w:pPr>
        <w:spacing w:before="80" w:after="400"/>
        <w:jc w:val="center"/>
      </w:pPr>
      <w:r>
        <w:rPr>
          <w:rFonts w:ascii="Arial" w:cs="Arial" w:eastAsia="Arial" w:hAnsi="Arial"/>
          <w:b w:val="false"/>
          <w:bCs w:val="false"/>
          <w:i/>
          <w:iCs/>
          <w:color w:val="595959"/>
          <w:sz w:val="22"/>
          <w:szCs w:val="22"/>
        </w:rPr>
        <w:t xml:space="preserve">A Panel Probit Analysis of Indian Scheduled Commercial Banks</w:t>
      </w:r>
    </w:p>
    <w:p>
      <w:pPr>
        <w:spacing w:before="60" w:after="60"/>
        <w:jc w:val="center"/>
      </w:pPr>
      <w:r>
        <w:rPr>
          <w:rFonts w:ascii="Arial" w:cs="Arial" w:eastAsia="Arial" w:hAnsi="Arial"/>
          <w:b/>
          <w:bCs/>
          <w:i w:val="false"/>
          <w:iCs w:val="false"/>
          <w:color w:val="833C00"/>
          <w:sz w:val="22"/>
          <w:szCs w:val="22"/>
        </w:rPr>
        <w:t xml:space="preserve">Research Framework, Variable Documentation &amp; Dataset Description</w:t>
      </w:r>
    </w:p>
    <w:p>
      <w:pPr>
        <w:spacing w:before="40" w:after="40"/>
      </w:pPr>
      <w:r>
        <w:rPr>
          <w:rFonts w:ascii="Arial" w:cs="Arial" w:eastAsia="Arial" w:hAnsi="Arial"/>
          <w:sz w:val="18"/>
          <w:szCs w:val="18"/>
        </w:rPr>
        <w:t xml:space="preserve"/>
      </w:r>
    </w:p>
    <w:p>
      <w:pPr>
        <w:spacing w:before="40" w:after="40"/>
      </w:pPr>
      <w:r>
        <w:rPr>
          <w:rFonts w:ascii="Arial" w:cs="Arial" w:eastAsia="Arial" w:hAnsi="Arial"/>
          <w:sz w:val="18"/>
          <w:szCs w:val="18"/>
        </w:rP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
            </w:r>
          </w:p>
        </w:tc>
        <w:tc>
          <w:tcPr>
            <w:tcW w:type="dxa" w:w="6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Study Period</w:t>
            </w:r>
          </w:p>
        </w:tc>
        <w:tc>
          <w:tcPr>
            <w:tcW w:type="dxa" w:w="6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 to FY2024 (20 years)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Number of Banks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139 Scheduled Commercial Banks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Observations</w:t>
            </w:r>
          </w:p>
        </w:tc>
        <w:tc>
          <w:tcPr>
            <w:tcW w:type="dxa" w:w="6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1,801 Bank-Year Observations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 Breach Events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40 Bank-Year Breach Observations (12 Banks)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Variables</w:t>
            </w:r>
          </w:p>
        </w:tc>
        <w:tc>
          <w:tcPr>
            <w:tcW w:type="dxa" w:w="6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47 Variables (22 Raw + 15 Computed + 4 Macro + 6 Policy Dummies)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Primary Estimator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Random Effects Panel Probit  |  Robust SE clustered at bank level</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Secondary Estimator</w:t>
            </w:r>
          </w:p>
        </w:tc>
        <w:tc>
          <w:tcPr>
            <w:tcW w:type="dxa" w:w="6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Ordered Probit for breach severity (Grade 0–3)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Data Sources</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Statistical Tables (DBIE), MoSPI, RBI Monetary Policy Statements</w:t>
            </w:r>
          </w:p>
        </w:tc>
      </w:tr>
    </w:tbl>
    <w:p>
      <w:r>
        <w:br w:type="page"/>
      </w:r>
    </w:p>
    <w:p>
      <w:pPr>
        <w:pStyle w:val="Heading1"/>
      </w:pPr>
      <w:r>
        <w:rPr>
          <w:rFonts w:ascii="Arial" w:cs="Arial" w:eastAsia="Arial" w:hAnsi="Arial"/>
          <w:b/>
          <w:bCs/>
          <w:i w:val="false"/>
          <w:iCs w:val="false"/>
          <w:color w:val="1F4E79"/>
          <w:sz w:val="30"/>
          <w:szCs w:val="30"/>
        </w:rPr>
        <w:t xml:space="preserve">1.  Introduction and Research Motivation</w:t>
      </w:r>
    </w:p>
    <w:p>
      <w:pPr>
        <w:spacing w:before="80" w:after="80"/>
        <w:jc w:val="both"/>
      </w:pPr>
      <w:r>
        <w:rPr>
          <w:rFonts w:ascii="Arial" w:cs="Arial" w:eastAsia="Arial" w:hAnsi="Arial"/>
          <w:b w:val="false"/>
          <w:bCs w:val="false"/>
          <w:i w:val="false"/>
          <w:iCs w:val="false"/>
          <w:color w:val="000000"/>
          <w:sz w:val="20"/>
          <w:szCs w:val="20"/>
        </w:rPr>
        <w:t xml:space="preserve">India's banking sector experienced severe stress between 2014 and 2022, culminating in the placement of twelve Scheduled Commercial Banks (SCBs) under the Reserve Bank of India's (RBI) Prompt Corrective Action (PCA) framework. The PCA framework is a structured early intervention mechanism that enables the regulator to initiate corrective actions when a bank's financial health deteriorates beyond pre-specified thresholds across three risk dimensions: capital adequacy, asset quality, and profitability.</w:t>
      </w:r>
    </w:p>
    <w:p>
      <w:pPr>
        <w:spacing w:before="40" w:after="40"/>
      </w:pPr>
      <w:r>
        <w:rPr>
          <w:rFonts w:ascii="Arial" w:cs="Arial" w:eastAsia="Arial" w:hAnsi="Arial"/>
          <w:sz w:val="18"/>
          <w:szCs w:val="18"/>
        </w:rPr>
        <w:t xml:space="preserve"/>
      </w:r>
    </w:p>
    <w:p>
      <w:pPr>
        <w:spacing w:before="80" w:after="80"/>
        <w:jc w:val="both"/>
      </w:pPr>
      <w:r>
        <w:rPr>
          <w:rFonts w:ascii="Arial" w:cs="Arial" w:eastAsia="Arial" w:hAnsi="Arial"/>
          <w:b w:val="false"/>
          <w:bCs w:val="false"/>
          <w:i w:val="false"/>
          <w:iCs w:val="false"/>
          <w:color w:val="000000"/>
          <w:sz w:val="20"/>
          <w:szCs w:val="20"/>
        </w:rPr>
        <w:t xml:space="preserve">Existing empirical literature on Indian banking predominantly employs OLS, GMM, or standard fixed-effects regressions to model levels of non-performing assets or capital ratios. No published study has explicitly modelled the probability of breaching the RBI's PCA thresholds as a binary outcome using bank-level panel probit methods. This research fills that gap.</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1.1  Research Novelty and Contributions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Frames PCA threshold breach as a binary probit outcome — converting a supervisory classification problem into an econometric early warning model.</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Uses 1-year lagged predictors throughout, giving the model genuine out-of-sample predictive power for supervisory use.</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Extends the primary model to an ordered probit specification capturing breach severity (Grade 0 through Grade 3).</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Tests whether the April 2017 PCA framework revision produced a measurable deterrence effect on breach probability.</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Entire dataset constructed exclusively from publicly available RBI data — fully replicable.</w:t>
      </w:r>
    </w:p>
    <w:p>
      <w:pPr>
        <w:spacing w:before="40" w:after="40"/>
      </w:pPr>
      <w:r>
        <w:rPr>
          <w:rFonts w:ascii="Arial" w:cs="Arial" w:eastAsia="Arial" w:hAnsi="Arial"/>
          <w:sz w:val="18"/>
          <w:szCs w:val="18"/>
        </w:rPr>
        <w:t xml:space="preserve"/>
      </w:r>
    </w:p>
    <w:p>
      <w:r>
        <w:br w:type="page"/>
      </w:r>
    </w:p>
    <w:p>
      <w:pPr>
        <w:pStyle w:val="Heading1"/>
      </w:pPr>
      <w:r>
        <w:rPr>
          <w:rFonts w:ascii="Arial" w:cs="Arial" w:eastAsia="Arial" w:hAnsi="Arial"/>
          <w:b/>
          <w:bCs/>
          <w:i w:val="false"/>
          <w:iCs w:val="false"/>
          <w:color w:val="1F4E79"/>
          <w:sz w:val="30"/>
          <w:szCs w:val="30"/>
        </w:rPr>
        <w:t xml:space="preserve">2.  RBI's Prompt Corrective Action Framework</w:t>
      </w:r>
    </w:p>
    <w:p>
      <w:pPr>
        <w:spacing w:before="80" w:after="80"/>
        <w:jc w:val="both"/>
      </w:pPr>
      <w:r>
        <w:rPr>
          <w:rFonts w:ascii="Arial" w:cs="Arial" w:eastAsia="Arial" w:hAnsi="Arial"/>
          <w:b w:val="false"/>
          <w:bCs w:val="false"/>
          <w:i w:val="false"/>
          <w:iCs w:val="false"/>
          <w:color w:val="000000"/>
          <w:sz w:val="20"/>
          <w:szCs w:val="20"/>
        </w:rPr>
        <w:t xml:space="preserve">The RBI introduced the PCA framework in December 2002 (Circular DBS.CO.PP.BC.9/11.01.005/2002-03). The framework was substantially revised in April 2017 (Circular DBS.CO.PPD.BC.No.8/11.01.005/2016-17) and again in November 2021 (Circular DOS.CO.PPG.SEC.No.4/11.01.005/2021-22). The framework monitors three categories of risk parameters with escalating restrictions:</w:t>
      </w:r>
    </w:p>
    <w:p>
      <w:pPr>
        <w:spacing w:before="40" w:after="40"/>
      </w:pPr>
      <w:r>
        <w:rPr>
          <w:rFonts w:ascii="Arial" w:cs="Arial" w:eastAsia="Arial" w:hAnsi="Arial"/>
          <w:sz w:val="18"/>
          <w:szCs w:val="18"/>
        </w:rPr>
        <w:t xml:space="preserve"/>
      </w:r>
    </w:p>
    <w:tbl>
      <w:tblPr>
        <w:tblW w:type="dxa" w:w="85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600"/>
        <w:gridCol w:w="1600"/>
        <w:gridCol w:w="1600"/>
        <w:gridCol w:w="1900"/>
      </w:tblGrid>
      <w:tr>
        <w:tc>
          <w:tcPr>
            <w:tcW w:type="dxa" w:w="18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Risk Parameter</w:t>
            </w:r>
          </w:p>
        </w:tc>
        <w:tc>
          <w:tcPr>
            <w:tcW w:type="dxa" w:w="1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Indicator</w:t>
            </w:r>
          </w:p>
        </w:tc>
        <w:tc>
          <w:tcPr>
            <w:tcW w:type="dxa" w:w="1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Risk Threshold 1</w:t>
            </w:r>
          </w:p>
        </w:tc>
        <w:tc>
          <w:tcPr>
            <w:tcW w:type="dxa" w:w="1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Risk Threshold 2</w:t>
            </w:r>
          </w:p>
        </w:tc>
        <w:tc>
          <w:tcPr>
            <w:tcW w:type="dxa" w:w="19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Risk Threshold 3</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Capital Adequacy</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CRAR</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10.875%</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10.25%</w:t>
            </w:r>
          </w:p>
        </w:tc>
        <w:tc>
          <w:tcPr>
            <w:tcW w:type="dxa" w:w="1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9.625%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Capital Adequacy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CET1 Ratio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7.525%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6.75%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&lt; 6.375%</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Asset Quality</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NPA Ratio</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6% but &lt; 9%</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9% but &lt; 12%</w:t>
            </w:r>
          </w:p>
        </w:tc>
        <w:tc>
          <w:tcPr>
            <w:tcW w:type="dxa" w:w="1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Profitability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Return on Assets (ROA)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for 2 yrs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for 3 yrs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for 4 yrs</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2.1  Banks Placed Under PCA (2014–2022)</w:t>
      </w:r>
    </w:p>
    <w:tbl>
      <w:tblPr>
        <w:tblW w:type="dxa" w:w="9500"/>
        <w:tblBorders>
          <w:top w:val="single" w:color="CCCCCC" w:sz="1"/>
          <w:left w:val="single" w:color="CCCCCC" w:sz="1"/>
          <w:bottom w:val="single" w:color="CCCCCC" w:sz="1"/>
          <w:right w:val="single" w:color="CCCCCC" w:sz="1"/>
          <w:insideH w:val="single" w:color="auto" w:sz="4"/>
          <w:insideV w:val="single" w:color="auto" w:sz="4"/>
        </w:tblBorders>
      </w:tblPr>
      <w:tblGrid>
        <w:gridCol w:w="2300"/>
        <w:gridCol w:w="1500"/>
        <w:gridCol w:w="2100"/>
        <w:gridCol w:w="1100"/>
        <w:gridCol w:w="2500"/>
      </w:tblGrid>
      <w:tr>
        <w:tc>
          <w:tcPr>
            <w:tcW w:type="dxa" w:w="23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Bank</w:t>
            </w:r>
          </w:p>
        </w:tc>
        <w:tc>
          <w:tcPr>
            <w:tcW w:type="dxa" w:w="15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Entry Date</w:t>
            </w:r>
          </w:p>
        </w:tc>
        <w:tc>
          <w:tcPr>
            <w:tcW w:type="dxa" w:w="21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Exit / Outcome</w:t>
            </w:r>
          </w:p>
        </w:tc>
        <w:tc>
          <w:tcPr>
            <w:tcW w:type="dxa" w:w="11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Duration</w:t>
            </w:r>
          </w:p>
        </w:tc>
        <w:tc>
          <w:tcPr>
            <w:tcW w:type="dxa" w:w="25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Primary Trigger</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United Bank of India</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February 2014</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Merged into PNB (Apr 2020)</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6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 NPA, persistent negative ROA</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Indian Overseas Bank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October 2015</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Sep 2021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6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GNPA &gt; 9.4%, negative ROA</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Dhanlaxmi Bank</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November 2015</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Feb 2019</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Capital inadequacy, NPA breach</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 of Maharashtra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June 2017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Feb 2019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NNPA 11.76%, ROA −1.09%</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IDBI Bank</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May 2017</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Mar 2021</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NNPA &gt; 10%, negative ROA</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UCO Bank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May 2017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Sep 2021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5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NNPA breach, negative ROA</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Dena Bank</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May 2017</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Merged into BoB (Apr 2019)</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 NPA, capital stress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Central Bank of India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June 2017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Sep 2022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6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CRAR breach, NNPA high</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 of India</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December 2017</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Removed Jan 2019</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CRAR breach, NPA stress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Oriental Bank of Commerce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December 2017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Merged into PNB (Apr 2020)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NPA breach</w:t>
            </w:r>
          </w:p>
        </w:tc>
      </w:tr>
      <w:tr>
        <w:tc>
          <w:tcPr>
            <w:tcW w:type="dxa" w:w="2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Corporation Bank</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December 2017</w:t>
            </w:r>
          </w:p>
        </w:tc>
        <w:tc>
          <w:tcPr>
            <w:tcW w:type="dxa" w:w="2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Merged into Union Bank (Apr 2020)</w:t>
            </w:r>
          </w:p>
        </w:tc>
        <w:tc>
          <w:tcPr>
            <w:tcW w:type="dxa" w:w="11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NPA breach, capital stress</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Allahabad Bank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January 2018</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Merged into Indian Bank (Apr 2020)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years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NPA breach, capital stress</w:t>
            </w:r>
          </w:p>
        </w:tc>
      </w:tr>
    </w:tbl>
    <w:p>
      <w:pPr>
        <w:spacing w:before="40" w:after="40"/>
      </w:pPr>
      <w:r>
        <w:rPr>
          <w:rFonts w:ascii="Arial" w:cs="Arial" w:eastAsia="Arial" w:hAnsi="Arial"/>
          <w:sz w:val="18"/>
          <w:szCs w:val="18"/>
        </w:rPr>
        <w:t xml:space="preserve"/>
      </w:r>
    </w:p>
    <w:p>
      <w:pPr>
        <w:shd w:fill="FFF2CC" w:val="clear"/>
        <w:spacing w:before="80" w:after="80"/>
        <w:ind w:left="200" w:right="200"/>
      </w:pPr>
      <w:r>
        <w:rPr>
          <w:rFonts w:ascii="Arial" w:cs="Arial" w:eastAsia="Arial" w:hAnsi="Arial"/>
          <w:b w:val="false"/>
          <w:bCs w:val="false"/>
          <w:i/>
          <w:iCs/>
          <w:color w:val="7F6000"/>
          <w:sz w:val="18"/>
          <w:szCs w:val="18"/>
        </w:rPr>
        <w:t xml:space="preserve">Correction Note: Bank of Maharashtra entry corrected to June 2017 (NNPA 11.76%, not 2015 as in some secondary sources). United Bank of India entry corrected to February 2014 (first bank placed under PCA, not April 2014). Source verification: RBI Notifications, Trend and Progress of Banking in India.</w:t>
      </w:r>
    </w:p>
    <w:p>
      <w:r>
        <w:br w:type="page"/>
      </w:r>
    </w:p>
    <w:p>
      <w:pPr>
        <w:pStyle w:val="Heading1"/>
      </w:pPr>
      <w:r>
        <w:rPr>
          <w:rFonts w:ascii="Arial" w:cs="Arial" w:eastAsia="Arial" w:hAnsi="Arial"/>
          <w:b/>
          <w:bCs/>
          <w:i w:val="false"/>
          <w:iCs w:val="false"/>
          <w:color w:val="1F4E79"/>
          <w:sz w:val="30"/>
          <w:szCs w:val="30"/>
        </w:rPr>
        <w:t xml:space="preserve">3.  Econometric Model Specification</w:t>
      </w:r>
    </w:p>
    <w:p>
      <w:pPr>
        <w:pStyle w:val="Heading2"/>
      </w:pPr>
      <w:r>
        <w:rPr>
          <w:rFonts w:ascii="Arial" w:cs="Arial" w:eastAsia="Arial" w:hAnsi="Arial"/>
          <w:b/>
          <w:bCs/>
          <w:i w:val="false"/>
          <w:iCs w:val="false"/>
          <w:color w:val="2E75B6"/>
          <w:sz w:val="24"/>
          <w:szCs w:val="24"/>
        </w:rPr>
        <w:t xml:space="preserve">3.1  Primary Model — Random Effects Panel Probit</w:t>
      </w:r>
    </w:p>
    <w:p>
      <w:pPr>
        <w:spacing w:before="80" w:after="80"/>
        <w:jc w:val="both"/>
      </w:pPr>
      <w:r>
        <w:rPr>
          <w:rFonts w:ascii="Arial" w:cs="Arial" w:eastAsia="Arial" w:hAnsi="Arial"/>
          <w:b w:val="false"/>
          <w:bCs w:val="false"/>
          <w:i w:val="false"/>
          <w:iCs w:val="false"/>
          <w:color w:val="000000"/>
          <w:sz w:val="20"/>
          <w:szCs w:val="20"/>
        </w:rPr>
        <w:t xml:space="preserve">The primary estimating equation is a random effects panel probit model where the dependent variable is the binary PCA breach indicator:</w:t>
      </w:r>
    </w:p>
    <w:p>
      <w:pPr>
        <w:spacing w:before="40" w:after="40"/>
      </w:pPr>
      <w:r>
        <w:rPr>
          <w:rFonts w:ascii="Arial" w:cs="Arial" w:eastAsia="Arial" w:hAnsi="Arial"/>
          <w:sz w:val="18"/>
          <w:szCs w:val="18"/>
        </w:rPr>
        <w:t xml:space="preserve"/>
      </w:r>
    </w:p>
    <w:p>
      <w:pPr>
        <w:shd w:fill="DEEAF1" w:val="clear"/>
        <w:spacing w:before="80" w:after="80"/>
        <w:ind w:left="400" w:right="400"/>
        <w:jc w:val="center"/>
      </w:pPr>
      <w:r>
        <w:rPr>
          <w:rFonts w:ascii="Arial" w:cs="Arial" w:eastAsia="Arial" w:hAnsi="Arial"/>
          <w:b w:val="false"/>
          <w:bCs w:val="false"/>
          <w:i w:val="false"/>
          <w:iCs w:val="false"/>
          <w:color w:val="000000"/>
          <w:sz w:val="20"/>
          <w:szCs w:val="20"/>
        </w:rPr>
        <w:t xml:space="preserve">P(PCA_BREACH</w:t>
      </w:r>
      <w:r>
        <w:rPr>
          <w:rFonts w:ascii="Arial" w:cs="Arial" w:eastAsia="Arial" w:hAnsi="Arial"/>
          <w:sz w:val="18"/>
          <w:szCs w:val="18"/>
          <w:vertAlign w:val="subscript"/>
        </w:rPr>
        <w:t xml:space="preserve">it</w:t>
      </w:r>
      <w:r>
        <w:rPr>
          <w:rFonts w:ascii="Arial" w:cs="Arial" w:eastAsia="Arial" w:hAnsi="Arial"/>
          <w:b w:val="false"/>
          <w:bCs w:val="false"/>
          <w:i w:val="false"/>
          <w:iCs w:val="false"/>
          <w:color w:val="000000"/>
          <w:sz w:val="20"/>
          <w:szCs w:val="20"/>
        </w:rPr>
        <w:t xml:space="preserve"> = 1) = Φ(α</w:t>
      </w:r>
      <w:r>
        <w:rPr>
          <w:rFonts w:ascii="Arial" w:cs="Arial" w:eastAsia="Arial" w:hAnsi="Arial"/>
          <w:sz w:val="18"/>
          <w:szCs w:val="18"/>
          <w:vertAlign w:val="subscript"/>
        </w:rPr>
        <w:t xml:space="preserve">i</w:t>
      </w:r>
      <w:r>
        <w:rPr>
          <w:rFonts w:ascii="Arial" w:cs="Arial" w:eastAsia="Arial" w:hAnsi="Arial"/>
          <w:b w:val="false"/>
          <w:bCs w:val="false"/>
          <w:i w:val="false"/>
          <w:iCs w:val="false"/>
          <w:color w:val="000000"/>
          <w:sz w:val="20"/>
          <w:szCs w:val="20"/>
        </w:rPr>
        <w:t xml:space="preserve"> + Σβ</w:t>
      </w:r>
      <w:r>
        <w:rPr>
          <w:rFonts w:ascii="Arial" w:cs="Arial" w:eastAsia="Arial" w:hAnsi="Arial"/>
          <w:sz w:val="18"/>
          <w:szCs w:val="18"/>
          <w:vertAlign w:val="subscript"/>
        </w:rPr>
        <w:t xml:space="preserve">k</w:t>
      </w:r>
      <w:r>
        <w:rPr>
          <w:rFonts w:ascii="Arial" w:cs="Arial" w:eastAsia="Arial" w:hAnsi="Arial"/>
          <w:b w:val="false"/>
          <w:bCs w:val="false"/>
          <w:i w:val="false"/>
          <w:iCs w:val="false"/>
          <w:color w:val="000000"/>
          <w:sz w:val="20"/>
          <w:szCs w:val="20"/>
        </w:rPr>
        <w:t xml:space="preserve">X</w:t>
      </w:r>
      <w:r>
        <w:rPr>
          <w:rFonts w:ascii="Arial" w:cs="Arial" w:eastAsia="Arial" w:hAnsi="Arial"/>
          <w:sz w:val="18"/>
          <w:szCs w:val="18"/>
          <w:vertAlign w:val="subscript"/>
        </w:rPr>
        <w:t xml:space="preserve">k,i,t−1</w:t>
      </w:r>
      <w:r>
        <w:rPr>
          <w:rFonts w:ascii="Arial" w:cs="Arial" w:eastAsia="Arial" w:hAnsi="Arial"/>
          <w:b w:val="false"/>
          <w:bCs w:val="false"/>
          <w:i w:val="false"/>
          <w:iCs w:val="false"/>
          <w:color w:val="000000"/>
          <w:sz w:val="20"/>
          <w:szCs w:val="20"/>
        </w:rPr>
        <w:t xml:space="preserve"> + Σγ</w:t>
      </w:r>
      <w:r>
        <w:rPr>
          <w:rFonts w:ascii="Arial" w:cs="Arial" w:eastAsia="Arial" w:hAnsi="Arial"/>
          <w:sz w:val="18"/>
          <w:szCs w:val="18"/>
          <w:vertAlign w:val="subscript"/>
        </w:rPr>
        <w:t xml:space="preserve">j</w:t>
      </w:r>
      <w:r>
        <w:rPr>
          <w:rFonts w:ascii="Arial" w:cs="Arial" w:eastAsia="Arial" w:hAnsi="Arial"/>
          <w:b w:val="false"/>
          <w:bCs w:val="false"/>
          <w:i w:val="false"/>
          <w:iCs w:val="false"/>
          <w:color w:val="000000"/>
          <w:sz w:val="20"/>
          <w:szCs w:val="20"/>
        </w:rPr>
        <w:t xml:space="preserve">M</w:t>
      </w:r>
      <w:r>
        <w:rPr>
          <w:rFonts w:ascii="Arial" w:cs="Arial" w:eastAsia="Arial" w:hAnsi="Arial"/>
          <w:sz w:val="18"/>
          <w:szCs w:val="18"/>
          <w:vertAlign w:val="subscript"/>
        </w:rPr>
        <w:t xml:space="preserve">j,t</w:t>
      </w:r>
      <w:r>
        <w:rPr>
          <w:rFonts w:ascii="Arial" w:cs="Arial" w:eastAsia="Arial" w:hAnsi="Arial"/>
          <w:b w:val="false"/>
          <w:bCs w:val="false"/>
          <w:i w:val="false"/>
          <w:iCs w:val="false"/>
          <w:color w:val="000000"/>
          <w:sz w:val="20"/>
          <w:szCs w:val="20"/>
        </w:rPr>
        <w:t xml:space="preserve"> + Σδ</w:t>
      </w:r>
      <w:r>
        <w:rPr>
          <w:rFonts w:ascii="Arial" w:cs="Arial" w:eastAsia="Arial" w:hAnsi="Arial"/>
          <w:sz w:val="18"/>
          <w:szCs w:val="18"/>
          <w:vertAlign w:val="subscript"/>
        </w:rPr>
        <w:t xml:space="preserve">p</w:t>
      </w:r>
      <w:r>
        <w:rPr>
          <w:rFonts w:ascii="Arial" w:cs="Arial" w:eastAsia="Arial" w:hAnsi="Arial"/>
          <w:b w:val="false"/>
          <w:bCs w:val="false"/>
          <w:i w:val="false"/>
          <w:iCs w:val="false"/>
          <w:color w:val="000000"/>
          <w:sz w:val="20"/>
          <w:szCs w:val="20"/>
        </w:rPr>
        <w:t xml:space="preserve">D</w:t>
      </w:r>
      <w:r>
        <w:rPr>
          <w:rFonts w:ascii="Arial" w:cs="Arial" w:eastAsia="Arial" w:hAnsi="Arial"/>
          <w:sz w:val="18"/>
          <w:szCs w:val="18"/>
          <w:vertAlign w:val="subscript"/>
        </w:rPr>
        <w:t xml:space="preserve">p,t</w:t>
      </w:r>
      <w:r>
        <w:rPr>
          <w:rFonts w:ascii="Arial" w:cs="Arial" w:eastAsia="Arial" w:hAnsi="Arial"/>
          <w:b w:val="false"/>
          <w:bCs w:val="false"/>
          <w:i w:val="false"/>
          <w:iCs w:val="false"/>
          <w:color w:val="000000"/>
          <w:sz w:val="20"/>
          <w:szCs w:val="20"/>
        </w:rPr>
        <w:t xml:space="preserve"> + ε</w:t>
      </w:r>
      <w:r>
        <w:rPr>
          <w:rFonts w:ascii="Arial" w:cs="Arial" w:eastAsia="Arial" w:hAnsi="Arial"/>
          <w:sz w:val="18"/>
          <w:szCs w:val="18"/>
          <w:vertAlign w:val="subscript"/>
        </w:rPr>
        <w:t xml:space="preserve">it</w:t>
      </w:r>
      <w:r>
        <w:rPr>
          <w:rFonts w:ascii="Arial" w:cs="Arial" w:eastAsia="Arial" w:hAnsi="Arial"/>
          <w:b w:val="false"/>
          <w:bCs w:val="false"/>
          <w:i w:val="false"/>
          <w:iCs w:val="false"/>
          <w:color w:val="000000"/>
          <w:sz w:val="20"/>
          <w:szCs w:val="20"/>
        </w:rPr>
        <w:t xml:space="preserve">)</w:t>
      </w:r>
    </w:p>
    <w:p>
      <w:pPr>
        <w:spacing w:before="40" w:after="40"/>
      </w:pPr>
      <w:r>
        <w:rPr>
          <w:rFonts w:ascii="Arial" w:cs="Arial" w:eastAsia="Arial" w:hAnsi="Arial"/>
          <w:sz w:val="18"/>
          <w:szCs w:val="18"/>
        </w:rPr>
        <w:t xml:space="preserve"/>
      </w:r>
    </w:p>
    <w:p>
      <w:pPr>
        <w:spacing w:before="80" w:after="80"/>
        <w:jc w:val="both"/>
      </w:pPr>
      <w:r>
        <w:rPr>
          <w:rFonts w:ascii="Arial" w:cs="Arial" w:eastAsia="Arial" w:hAnsi="Arial"/>
          <w:b w:val="false"/>
          <w:bCs w:val="false"/>
          <w:i w:val="false"/>
          <w:iCs w:val="false"/>
          <w:color w:val="000000"/>
          <w:sz w:val="20"/>
          <w:szCs w:val="20"/>
        </w:rPr>
        <w:t xml:space="preserve">Where: </w:t>
      </w:r>
      <w:r>
        <w:rPr>
          <w:rFonts w:ascii="Arial" w:cs="Arial" w:eastAsia="Arial" w:hAnsi="Arial"/>
          <w:b/>
          <w:bCs/>
          <w:i w:val="false"/>
          <w:iCs w:val="false"/>
          <w:color w:val="000000"/>
          <w:sz w:val="20"/>
          <w:szCs w:val="20"/>
        </w:rPr>
        <w:t xml:space="preserve">Φ(.)</w:t>
      </w:r>
      <w:r>
        <w:rPr>
          <w:rFonts w:ascii="Arial" w:cs="Arial" w:eastAsia="Arial" w:hAnsi="Arial"/>
          <w:b w:val="false"/>
          <w:bCs w:val="false"/>
          <w:i w:val="false"/>
          <w:iCs w:val="false"/>
          <w:color w:val="000000"/>
          <w:sz w:val="20"/>
          <w:szCs w:val="20"/>
        </w:rPr>
        <w:t xml:space="preserve"> is the standard normal CDF; </w:t>
      </w:r>
      <w:r>
        <w:rPr>
          <w:rFonts w:ascii="Arial" w:cs="Arial" w:eastAsia="Arial" w:hAnsi="Arial"/>
          <w:b/>
          <w:bCs/>
          <w:i w:val="false"/>
          <w:iCs w:val="false"/>
          <w:color w:val="000000"/>
          <w:sz w:val="20"/>
          <w:szCs w:val="20"/>
        </w:rPr>
        <w:t xml:space="preserve">αi</w:t>
      </w:r>
      <w:r>
        <w:rPr>
          <w:rFonts w:ascii="Arial" w:cs="Arial" w:eastAsia="Arial" w:hAnsi="Arial"/>
          <w:b w:val="false"/>
          <w:bCs w:val="false"/>
          <w:i w:val="false"/>
          <w:iCs w:val="false"/>
          <w:color w:val="000000"/>
          <w:sz w:val="20"/>
          <w:szCs w:val="20"/>
        </w:rPr>
        <w:t xml:space="preserve"> is the bank-level random effect; </w:t>
      </w:r>
      <w:r>
        <w:rPr>
          <w:rFonts w:ascii="Arial" w:cs="Arial" w:eastAsia="Arial" w:hAnsi="Arial"/>
          <w:b/>
          <w:bCs/>
          <w:i w:val="false"/>
          <w:iCs w:val="false"/>
          <w:color w:val="000000"/>
          <w:sz w:val="20"/>
          <w:szCs w:val="20"/>
        </w:rPr>
        <w:t xml:space="preserve">Xk,i,t-1</w:t>
      </w:r>
      <w:r>
        <w:rPr>
          <w:rFonts w:ascii="Arial" w:cs="Arial" w:eastAsia="Arial" w:hAnsi="Arial"/>
          <w:b w:val="false"/>
          <w:bCs w:val="false"/>
          <w:i w:val="false"/>
          <w:iCs w:val="false"/>
          <w:color w:val="000000"/>
          <w:sz w:val="20"/>
          <w:szCs w:val="20"/>
        </w:rPr>
        <w:t xml:space="preserve"> are bank-specific predictors lagged one period (key for predictive validity); </w:t>
      </w:r>
      <w:r>
        <w:rPr>
          <w:rFonts w:ascii="Arial" w:cs="Arial" w:eastAsia="Arial" w:hAnsi="Arial"/>
          <w:b/>
          <w:bCs/>
          <w:i w:val="false"/>
          <w:iCs w:val="false"/>
          <w:color w:val="000000"/>
          <w:sz w:val="20"/>
          <w:szCs w:val="20"/>
        </w:rPr>
        <w:t xml:space="preserve">Mjt</w:t>
      </w:r>
      <w:r>
        <w:rPr>
          <w:rFonts w:ascii="Arial" w:cs="Arial" w:eastAsia="Arial" w:hAnsi="Arial"/>
          <w:b w:val="false"/>
          <w:bCs w:val="false"/>
          <w:i w:val="false"/>
          <w:iCs w:val="false"/>
          <w:color w:val="000000"/>
          <w:sz w:val="20"/>
          <w:szCs w:val="20"/>
        </w:rPr>
        <w:t xml:space="preserve"> are macroeconomic controls; </w:t>
      </w:r>
      <w:r>
        <w:rPr>
          <w:rFonts w:ascii="Arial" w:cs="Arial" w:eastAsia="Arial" w:hAnsi="Arial"/>
          <w:b/>
          <w:bCs/>
          <w:i w:val="false"/>
          <w:iCs w:val="false"/>
          <w:color w:val="000000"/>
          <w:sz w:val="20"/>
          <w:szCs w:val="20"/>
        </w:rPr>
        <w:t xml:space="preserve">Dpt</w:t>
      </w:r>
      <w:r>
        <w:rPr>
          <w:rFonts w:ascii="Arial" w:cs="Arial" w:eastAsia="Arial" w:hAnsi="Arial"/>
          <w:b w:val="false"/>
          <w:bCs w:val="false"/>
          <w:i w:val="false"/>
          <w:iCs w:val="false"/>
          <w:color w:val="000000"/>
          <w:sz w:val="20"/>
          <w:szCs w:val="20"/>
        </w:rPr>
        <w:t xml:space="preserve"> are policy dummies; and </w:t>
      </w:r>
      <w:r>
        <w:rPr>
          <w:rFonts w:ascii="Arial" w:cs="Arial" w:eastAsia="Arial" w:hAnsi="Arial"/>
          <w:b/>
          <w:bCs/>
          <w:i w:val="false"/>
          <w:iCs w:val="false"/>
          <w:color w:val="000000"/>
          <w:sz w:val="20"/>
          <w:szCs w:val="20"/>
        </w:rPr>
        <w:t xml:space="preserve">εit</w:t>
      </w:r>
      <w:r>
        <w:rPr>
          <w:rFonts w:ascii="Arial" w:cs="Arial" w:eastAsia="Arial" w:hAnsi="Arial"/>
          <w:b w:val="false"/>
          <w:bCs w:val="false"/>
          <w:i w:val="false"/>
          <w:iCs w:val="false"/>
          <w:color w:val="000000"/>
          <w:sz w:val="20"/>
          <w:szCs w:val="20"/>
        </w:rPr>
        <w:t xml:space="preserve"> is the idiosyncratic error.</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3.2  Extended Model — Ordered Probit for Breach Severity</w:t>
      </w:r>
    </w:p>
    <w:p>
      <w:pPr>
        <w:spacing w:before="80" w:after="80"/>
        <w:jc w:val="both"/>
      </w:pPr>
      <w:r>
        <w:rPr>
          <w:rFonts w:ascii="Arial" w:cs="Arial" w:eastAsia="Arial" w:hAnsi="Arial"/>
          <w:b w:val="false"/>
          <w:bCs w:val="false"/>
          <w:i w:val="false"/>
          <w:iCs w:val="false"/>
          <w:color w:val="000000"/>
          <w:sz w:val="20"/>
          <w:szCs w:val="20"/>
        </w:rPr>
        <w:t xml:space="preserve">An ordered probit extension models the severity of breach across four ordered categories: Grade 0 (no breach), Grade 1 (mild breach), Grade 2 (moderate breach), and Grade 3 (severe breach), reflecting the escalating restrictions imposed under the RBI PCA framework.</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3.3  Identification Strategy</w:t>
      </w:r>
    </w:p>
    <w:p>
      <w:pPr>
        <w:spacing w:before="80" w:after="80"/>
        <w:jc w:val="both"/>
      </w:pPr>
      <w:r>
        <w:rPr>
          <w:rFonts w:ascii="Arial" w:cs="Arial" w:eastAsia="Arial" w:hAnsi="Arial"/>
          <w:b w:val="false"/>
          <w:bCs w:val="false"/>
          <w:i w:val="false"/>
          <w:iCs w:val="false"/>
          <w:color w:val="000000"/>
          <w:sz w:val="20"/>
          <w:szCs w:val="20"/>
        </w:rPr>
        <w:t xml:space="preserve">Random effects (RE) are preferred over fixed effects (FE) for two reasons. First, key policy dummy variables (IBC_DUMMY, PCA_REVISION_2017) are time-invariant within sub-periods and would be absorbed by bank fixed effects. Second, the RE probit estimator is consistent under the assumption that bank-level unobserved heterogeneity is uncorrelated with regressors — plausible given that PCA breach is driven largely by macroeconomic shocks and sector-wide credit cycles rather than purely bank-specific permanent characteristics.</w:t>
      </w:r>
    </w:p>
    <w:p>
      <w:pPr>
        <w:spacing w:before="80" w:after="80"/>
        <w:jc w:val="both"/>
      </w:pPr>
      <w:r>
        <w:rPr>
          <w:rFonts w:ascii="Arial" w:cs="Arial" w:eastAsia="Arial" w:hAnsi="Arial"/>
          <w:b w:val="false"/>
          <w:bCs w:val="false"/>
          <w:i w:val="false"/>
          <w:iCs w:val="false"/>
          <w:color w:val="000000"/>
          <w:sz w:val="20"/>
          <w:szCs w:val="20"/>
        </w:rPr>
        <w:t xml:space="preserve">As robustness checks: (a) conditional logit (Chamberlain FE logit) for within-bank variation; (b) pooled probit with year dummies; (c) LPM with bank and year fixed effects for marginal effects comparison.</w:t>
      </w:r>
    </w:p>
    <w:p>
      <w:r>
        <w:br w:type="page"/>
      </w:r>
    </w:p>
    <w:p>
      <w:pPr>
        <w:pStyle w:val="Heading1"/>
      </w:pPr>
      <w:r>
        <w:rPr>
          <w:rFonts w:ascii="Arial" w:cs="Arial" w:eastAsia="Arial" w:hAnsi="Arial"/>
          <w:b/>
          <w:bCs/>
          <w:i w:val="false"/>
          <w:iCs w:val="false"/>
          <w:color w:val="1F4E79"/>
          <w:sz w:val="30"/>
          <w:szCs w:val="30"/>
        </w:rPr>
        <w:t xml:space="preserve">4.  Variable Framework</w:t>
      </w:r>
    </w:p>
    <w:p>
      <w:pPr>
        <w:pStyle w:val="Heading2"/>
      </w:pPr>
      <w:r>
        <w:rPr>
          <w:rFonts w:ascii="Arial" w:cs="Arial" w:eastAsia="Arial" w:hAnsi="Arial"/>
          <w:b/>
          <w:bCs/>
          <w:i w:val="false"/>
          <w:iCs w:val="false"/>
          <w:color w:val="2E75B6"/>
          <w:sz w:val="24"/>
          <w:szCs w:val="24"/>
        </w:rPr>
        <w:t xml:space="preserve">4.1  Dependent Variable</w:t>
      </w:r>
    </w:p>
    <w:tbl>
      <w:tblPr>
        <w:tblW w:type="dxa" w:w="89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2800"/>
        <w:gridCol w:w="3400"/>
        <w:gridCol w:w="900"/>
      </w:tblGrid>
      <w:tr>
        <w:tc>
          <w:tcPr>
            <w:tcW w:type="dxa" w:w="18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28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Definition</w:t>
            </w:r>
          </w:p>
        </w:tc>
        <w:tc>
          <w:tcPr>
            <w:tcW w:type="dxa" w:w="34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Construction</w:t>
            </w:r>
          </w:p>
        </w:tc>
        <w:tc>
          <w:tcPr>
            <w:tcW w:type="dxa" w:w="9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Direction</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PCA_BREACH</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if bank is under PCA in FY t; = 0 otherwise</w:t>
            </w:r>
          </w:p>
        </w:tc>
        <w:tc>
          <w:tcPr>
            <w:tcW w:type="dxa" w:w="3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Coded from RBI PCA entry/exit notifications. Verified against Trend and Progress of Banking in India annual publications.</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(Outcome)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PCA_GRADE (Alt.)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Ordered: 0=None, 1=Grade 1, 2=Grade 2, 3=Grade 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From individual RBI PCA placement circulars specifying which risk threshold was breached.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(Outcome)</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4.2  Capital Adequacy — PCA Trigger 1</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2600"/>
        <w:gridCol w:w="3000"/>
        <w:gridCol w:w="16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Definition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Source File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Sign</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TOTAL_CRAR_PCT</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Capital Adequacy Ratio — Basel III (%)</w:t>
            </w:r>
          </w:p>
        </w:tc>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Bank-wise CRAR Table</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(higher CRAR → lower breach probability)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TIER1_CRAR_PCT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Tier 1 CRAR — Core Capital (%)</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Bank-wise CRAR Table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TIER2_CRAR_PCT</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Tier 2 CRAR — Supplementary Capital (%)</w:t>
            </w:r>
          </w:p>
        </w:tc>
        <w:tc>
          <w:tcPr>
            <w:tcW w:type="dxa" w:w="3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Bank-wise CRAR Table</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w:t>
            </w:r>
          </w:p>
        </w:tc>
      </w:tr>
    </w:tbl>
    <w:p>
      <w:pPr>
        <w:spacing w:before="40" w:after="40"/>
      </w:pPr>
      <w:r>
        <w:rPr>
          <w:rFonts w:ascii="Arial" w:cs="Arial" w:eastAsia="Arial" w:hAnsi="Arial"/>
          <w:sz w:val="18"/>
          <w:szCs w:val="18"/>
        </w:rPr>
        <w:t xml:space="preserve"/>
      </w:r>
    </w:p>
    <w:p>
      <w:pPr>
        <w:shd w:fill="FFF2CC" w:val="clear"/>
        <w:spacing w:before="80" w:after="80"/>
        <w:ind w:left="200" w:right="200"/>
      </w:pPr>
      <w:r>
        <w:rPr>
          <w:rFonts w:ascii="Arial" w:cs="Arial" w:eastAsia="Arial" w:hAnsi="Arial"/>
          <w:b w:val="false"/>
          <w:bCs w:val="false"/>
          <w:i/>
          <w:iCs/>
          <w:color w:val="7F6000"/>
          <w:sz w:val="18"/>
          <w:szCs w:val="18"/>
        </w:rPr>
        <w:t xml:space="preserve">Coverage note: CRAR data is available from FY2008 onward (Basel III reporting commenced FY2008). FY2005–FY2007 CRAR is missing for all banks. Specifications using CRAR are estimated on the FY2008–FY2024 subsample.</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4.3  Asset Quality — PCA Trigger 2 (Proxy)</w:t>
      </w:r>
    </w:p>
    <w:tbl>
      <w:tblPr>
        <w:tblW w:type="dxa" w:w="89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3600"/>
        <w:gridCol w:w="2600"/>
        <w:gridCol w:w="900"/>
      </w:tblGrid>
      <w:tr>
        <w:tc>
          <w:tcPr>
            <w:tcW w:type="dxa" w:w="18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3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Definition</w:t>
            </w:r>
          </w:p>
        </w:tc>
        <w:tc>
          <w:tcPr>
            <w:tcW w:type="dxa" w:w="26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Source File</w:t>
            </w:r>
          </w:p>
        </w:tc>
        <w:tc>
          <w:tcPr>
            <w:tcW w:type="dxa" w:w="900"/>
            <w:tcBorders>
              <w:top w:val="single" w:color="CCCCCC" w:sz="1"/>
              <w:left w:val="single" w:color="CCCCCC" w:sz="1"/>
              <w:bottom w:val="single" w:color="CCCCCC" w:sz="1"/>
              <w:right w:val="single" w:color="CCCCCC" w:sz="1"/>
            </w:tcBorders>
            <w:shd w:fill="C000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Sign</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GNPA_RATIO_PCT</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Gross NPA / Gross Advances (%). Used as proxy for NNPA ratio — the formal PCA trigger — because bank-wise Net NPA is not published as a standalone RBI table.</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Table 20 — Bank-wise GNPA</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(higher GNPA → higher breach probability)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GNPA_AMT_CR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Gross NPA Amount (Rs Crore)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Table 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CREDIT_GROWTH_PCT</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YoY % growth in Advances. Rapid credit expansion associated with subsequent NPA build-up (evergreening hypothesis).</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Computed from RBI Liabilities &amp; Assets Table</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(lagged 1–2 years)</w:t>
            </w:r>
          </w:p>
        </w:tc>
      </w:tr>
    </w:tbl>
    <w:p>
      <w:pPr>
        <w:spacing w:before="40" w:after="40"/>
      </w:pPr>
      <w:r>
        <w:rPr>
          <w:rFonts w:ascii="Arial" w:cs="Arial" w:eastAsia="Arial" w:hAnsi="Arial"/>
          <w:sz w:val="18"/>
          <w:szCs w:val="18"/>
        </w:rPr>
        <w:t xml:space="preserve"/>
      </w:r>
    </w:p>
    <w:p>
      <w:pPr>
        <w:shd w:fill="FCE4D6" w:val="clear"/>
        <w:spacing w:before="80" w:after="80"/>
        <w:ind w:left="200" w:right="200"/>
      </w:pPr>
      <w:r>
        <w:rPr>
          <w:rFonts w:ascii="Arial" w:cs="Arial" w:eastAsia="Arial" w:hAnsi="Arial"/>
          <w:b w:val="false"/>
          <w:bCs w:val="false"/>
          <w:i/>
          <w:iCs/>
          <w:color w:val="7B2500"/>
          <w:sz w:val="18"/>
          <w:szCs w:val="18"/>
        </w:rPr>
        <w:t xml:space="preserve">Data limitation: RBI's formal PCA trigger uses Net NPA ratio. Bank-wise NNPA is not published as a downloadable series. GNPA ratio is used as a proxy. Correlation between GNPA and NNPA at bank level is typically above 0.95. Researchers who require NNPA must extract it manually from individual bank annual reports (~665 data points across 12 PCA banks × 20 years). This limitation is disclosed in the methodology section.</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4.4  Profitability — PCA Trigger 3</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4200"/>
        <w:gridCol w:w="28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Formula</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Sign</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ROA_PCT</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 Total Assets × 100</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(negative ROA is a PCA trigger)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ROE_PCT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 (Capital + Reserves) × 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NIM_PCT</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(Interest Earned - Interest Expended) / Total Assets × 100</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(declining NIM signals core profitability stress)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COST_INCOME_PCT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Op. Expenses / (Op. Expenses + Op. Profit) × 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(higher cost ratio → less efficient → more stress)</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NET_PROFIT_CR</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or Loss (Rs Crore) — level variable</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4.5  Balance Sheet and Business Mix Variables</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4500"/>
        <w:gridCol w:w="27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Definition</w:t>
            </w:r>
          </w:p>
        </w:tc>
        <w:tc>
          <w:tcPr>
            <w:tcW w:type="dxa" w:w="2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Sign</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LOG_ASSETS</w:t>
            </w:r>
          </w:p>
        </w:tc>
        <w:tc>
          <w:tcPr>
            <w:tcW w:type="dxa" w:w="4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ln(Total Assets). Size control — larger banks expected to have lower breach probability (diversification, too-big-to-fail effects).</w:t>
            </w:r>
          </w:p>
        </w:tc>
        <w:tc>
          <w:tcPr>
            <w:tcW w:type="dxa" w:w="2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CD_RATIO_PCT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Advances / Deposits × 100. High ratio indicates aggressive lending relative to deposit base.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 for breach risk</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INV_DEP_RATIO_PCT</w:t>
            </w:r>
          </w:p>
        </w:tc>
        <w:tc>
          <w:tcPr>
            <w:tcW w:type="dxa" w:w="4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Investments / Deposits × 100. High ratio indicates conservative deployment in SLR securities.</w:t>
            </w:r>
          </w:p>
        </w:tc>
        <w:tc>
          <w:tcPr>
            <w:tcW w:type="dxa" w:w="2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DEPOSIT_GROWTH_PCT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YoY % change in Deposits. Proxy for funding stability.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(higher deposit growth → more stable funding)</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BUSINESS_PER_EMP_CR</w:t>
            </w:r>
          </w:p>
        </w:tc>
        <w:tc>
          <w:tcPr>
            <w:tcW w:type="dxa" w:w="4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(Advances + Deposits) / Employees. Productivity measure.</w:t>
            </w:r>
          </w:p>
        </w:tc>
        <w:tc>
          <w:tcPr>
            <w:tcW w:type="dxa" w:w="2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(more productive → healthier bank)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STAFF_EXP_RATIO_PCT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Staff Exp / Op Exp × 100. Legacy wage structures in PSBs inflate this ratio.</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4.6  Macroeconomic Control Variables</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2800"/>
        <w:gridCol w:w="2800"/>
        <w:gridCol w:w="16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Definition</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Source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Expected Sign</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GDP_GROWTH_PCT</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Real GDP growth (YoY %) at 2011-12 constant prices. Economic slowdown deteriorates borrower repayment capacity.</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MoSPI — Macro-Economic Aggregates file (uploaded). Computed YoY from levels.</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(slowdown → higher breach risk)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M3_GROWTH_PCT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Broad money supply (M3) growth %. Loose monetary conditions generally reduce bank stress.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Select Monetary Aggregates — Growth Rates (uploaded file).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REPO_RATE_PCT</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Policy Repo Rate as on March 31. Higher rates increase debt servicing cost for borrowers.</w:t>
            </w:r>
          </w:p>
        </w:tc>
        <w:tc>
          <w:tcPr>
            <w:tcW w:type="dxa" w:w="2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Monetary Policy Statements (manually entered from primary records).</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CPI_INFLATION_PCT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Annual average CPI inflation (%). High inflation erodes real asset values and increases borrower stress.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MoSPI / RBI Handbook (manually entered). Pre-2012: CPI-IW; Post-2012: CPI Combined.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Positive (+)</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4.7  Policy Dummy Variables</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1800"/>
        <w:gridCol w:w="1200"/>
        <w:gridCol w:w="4300"/>
        <w:gridCol w:w="1700"/>
      </w:tblGrid>
      <w:tr>
        <w:tc>
          <w:tcPr>
            <w:tcW w:type="dxa" w:w="18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12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Value</w:t>
            </w:r>
          </w:p>
        </w:tc>
        <w:tc>
          <w:tcPr>
            <w:tcW w:type="dxa" w:w="43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Rationale</w:t>
            </w:r>
          </w:p>
        </w:tc>
        <w:tc>
          <w:tcPr>
            <w:tcW w:type="dxa" w:w="1700"/>
            <w:tcBorders>
              <w:top w:val="single" w:color="CCCCCC" w:sz="1"/>
              <w:left w:val="single" w:color="CCCCCC" w:sz="1"/>
              <w:bottom w:val="single" w:color="CCCCCC" w:sz="1"/>
              <w:right w:val="single" w:color="CCCCCC" w:sz="1"/>
            </w:tcBorders>
            <w:shd w:fill="833C0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RBI Reference</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PCA_REVISION_2017</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from FY2018 onward</w:t>
            </w:r>
          </w:p>
        </w:tc>
        <w:tc>
          <w:tcPr>
            <w:tcW w:type="dxa" w:w="4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2017 revision tightened PCA parameters significantly. Tests whether revised framework deterred banks from crossing thresholds (deterrence hypothesis).</w:t>
            </w:r>
          </w:p>
        </w:tc>
        <w:tc>
          <w:tcPr>
            <w:tcW w:type="dxa" w:w="1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DBS.CO.PPD.BC.No.8/11.01.005/2016-17 dated 13 April 2017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PCA_REVISION_2022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from FY2023 onward</w:t>
            </w:r>
          </w:p>
        </w:tc>
        <w:tc>
          <w:tcPr>
            <w:tcW w:type="dxa" w:w="4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November 2021 revision aligned PCA with Basel III capital thresholds and updated profitability triggers.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DOS.CO.PPG.SEC.No.4/11.01.005/2021-22 dated 2 Nov 2021</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IBC_DUMMY</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from FY2017 onward</w:t>
            </w:r>
          </w:p>
        </w:tc>
        <w:tc>
          <w:tcPr>
            <w:tcW w:type="dxa" w:w="4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Insolvency and Bankruptcy Code (May 2016) strengthened creditor rights; improved NPA resolution mechanism.</w:t>
            </w:r>
          </w:p>
        </w:tc>
        <w:tc>
          <w:tcPr>
            <w:tcW w:type="dxa" w:w="1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Insolvency &amp; Bankruptcy Code — enacted May 2016</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COVID_DUMMY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for FY2020, 2021, 2022</w:t>
            </w:r>
          </w:p>
        </w:tc>
        <w:tc>
          <w:tcPr>
            <w:tcW w:type="dxa" w:w="4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COVID pandemic and associated regulatory forbearance distorted NPA recognition. Structural break control.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COVID-related circulars March 2020 onwards</w:t>
            </w:r>
          </w:p>
        </w:tc>
      </w:tr>
      <w:tr>
        <w:tc>
          <w:tcPr>
            <w:tcW w:type="dxa" w:w="1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MORATORIUM</w:t>
            </w:r>
          </w:p>
        </w:tc>
        <w:tc>
          <w:tcPr>
            <w:tcW w:type="dxa" w:w="1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1 for FY2021 only</w:t>
            </w:r>
          </w:p>
        </w:tc>
        <w:tc>
          <w:tcPr>
            <w:tcW w:type="dxa" w:w="43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loan moratorium (March 27, 2020) prevented NPA classification. Separate from general COVID dummy.</w:t>
            </w:r>
          </w:p>
        </w:tc>
        <w:tc>
          <w:tcPr>
            <w:tcW w:type="dxa" w:w="1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Circular dated March 27, 2020</w:t>
            </w:r>
          </w:p>
        </w:tc>
      </w:tr>
    </w:tbl>
    <w:p>
      <w:r>
        <w:br w:type="page"/>
      </w:r>
    </w:p>
    <w:p>
      <w:pPr>
        <w:pStyle w:val="Heading1"/>
      </w:pPr>
      <w:r>
        <w:rPr>
          <w:rFonts w:ascii="Arial" w:cs="Arial" w:eastAsia="Arial" w:hAnsi="Arial"/>
          <w:b/>
          <w:bCs/>
          <w:i w:val="false"/>
          <w:iCs w:val="false"/>
          <w:color w:val="1F4E79"/>
          <w:sz w:val="30"/>
          <w:szCs w:val="30"/>
        </w:rPr>
        <w:t xml:space="preserve">5.  Data Sources and Collection</w:t>
      </w:r>
    </w:p>
    <w:tbl>
      <w:tblPr>
        <w:tblW w:type="dxa" w:w="860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3600"/>
        <w:gridCol w:w="1500"/>
        <w:gridCol w:w="900"/>
      </w:tblGrid>
      <w:tr>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Variables Extracted</w:t>
            </w:r>
          </w:p>
        </w:tc>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Coverage</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Level</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Statistical Tables — Liabilities &amp; Assets of SCBs</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Assets, Advances, Deposits, Investments, Capital, Reserves, Borrowings</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FY2005–FY2024</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Statistical Tables — Earnings &amp; Expenses of SCBs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Interest Income, Other Income, Interest Expended, Staff Exp, Op Exp, Net Profit, Op Profit, Net Interest Income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Bank-wise CRAR Table (STRBI B3)</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Tier 1 CRAR, Tier 2 CRAR, Total CRAR (Basel III)</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FY2008–FY2024</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Table 20 — Bank-wise GNPA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Gross NPA Amount, Gross Advances, GNPA Ratio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FY2004–FY2024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Table 12 — Bank-wise Employees</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Officers, Clerks, Sub-Staff, Total Employees</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FY2004–FY2021</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Select Monetary Aggregates — Growth Rates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M3 Growth %, Reserve Money Growth, M1 Growth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FY2000–FY2024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Aggregate</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MoSPI Macro-Economic Aggregates (Base 2011-12)</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Real GDP at Constant Prices (levels; YoY growth computed)</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FY2004–FY2024</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National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Monetary Policy Statements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Repo Rate — March 31 year-end value (manually entered)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National</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Notifications + Trend and Progress Reports</w:t>
            </w:r>
          </w:p>
        </w:tc>
        <w:tc>
          <w:tcPr>
            <w:tcW w:type="dxa" w:w="3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 Breach dummy — manually coded from primary circulars</w:t>
            </w:r>
          </w:p>
        </w:tc>
        <w:tc>
          <w:tcPr>
            <w:tcW w:type="dxa" w:w="1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FY2014–FY2022</w:t>
            </w:r>
          </w:p>
        </w:tc>
        <w:tc>
          <w:tcPr>
            <w:tcW w:type="dxa" w:w="9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Bank-wise</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5.1  Treatment of Bank Mergers</w:t>
      </w:r>
    </w:p>
    <w:p>
      <w:pPr>
        <w:spacing w:before="80" w:after="80"/>
        <w:jc w:val="both"/>
      </w:pPr>
      <w:r>
        <w:rPr>
          <w:rFonts w:ascii="Arial" w:cs="Arial" w:eastAsia="Arial" w:hAnsi="Arial"/>
          <w:b w:val="false"/>
          <w:bCs w:val="false"/>
          <w:i w:val="false"/>
          <w:iCs w:val="false"/>
          <w:color w:val="000000"/>
          <w:sz w:val="20"/>
          <w:szCs w:val="20"/>
        </w:rPr>
        <w:t xml:space="preserve">Bank mergers create unbalanced panels. The treatment rule applied is: each bank is treated as a separate entity up to and including the year before merger completion. MERGER_DUMMY = 1 in the final year of separate existence. Merged banks are excluded from post-merger years to avoid double-counting.</w:t>
      </w:r>
    </w:p>
    <w:p>
      <w:pPr>
        <w:spacing w:before="40" w:after="40"/>
      </w:pPr>
      <w:r>
        <w:rPr>
          <w:rFonts w:ascii="Arial" w:cs="Arial" w:eastAsia="Arial" w:hAnsi="Arial"/>
          <w:sz w:val="18"/>
          <w:szCs w:val="18"/>
        </w:rPr>
        <w:t xml:space="preserve"/>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2600"/>
        <w:gridCol w:w="1600"/>
        <w:gridCol w:w="480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Merger Event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Effective Date</w:t>
            </w:r>
          </w:p>
        </w:tc>
        <w:tc>
          <w:tcPr>
            <w:tcW w:type="dxa" w:w="4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Treatment</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State Bank Associates → SBI</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FY2017</w:t>
            </w:r>
          </w:p>
        </w:tc>
        <w:tc>
          <w:tcPr>
            <w:tcW w:type="dxa" w:w="4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Associates separate through FY2016; SBI post-merger is consolidated entity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Dena Bank + Vijaya Bank → Bank of Baroda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2019</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Separate through FY2018; Merger_Dummy=1 FY2019; excluded FY2020+</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OBC + United Bank → Punjab National Bank</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2020</w:t>
            </w:r>
          </w:p>
        </w:tc>
        <w:tc>
          <w:tcPr>
            <w:tcW w:type="dxa" w:w="4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Separate through FY2019; excluded FY2021+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Allahabad Bank → Indian Bank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Separate through FY2019; excluded FY2021+</w:t>
            </w:r>
          </w:p>
        </w:tc>
      </w:tr>
      <w:tr>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Andhra Bank + Corporation Bank → Union Bank</w:t>
            </w:r>
          </w:p>
        </w:tc>
        <w:tc>
          <w:tcPr>
            <w:tcW w:type="dxa" w:w="1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2020</w:t>
            </w:r>
          </w:p>
        </w:tc>
        <w:tc>
          <w:tcPr>
            <w:tcW w:type="dxa" w:w="4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Separate through FY2019; excluded FY2021+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Syndicate Bank → Canara Bank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April 2020</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Separate through FY2019; excluded FY2021+</w:t>
            </w:r>
          </w:p>
        </w:tc>
      </w:tr>
    </w:tbl>
    <w:p>
      <w:r>
        <w:br w:type="page"/>
      </w:r>
    </w:p>
    <w:p>
      <w:pPr>
        <w:pStyle w:val="Heading1"/>
      </w:pPr>
      <w:r>
        <w:rPr>
          <w:rFonts w:ascii="Arial" w:cs="Arial" w:eastAsia="Arial" w:hAnsi="Arial"/>
          <w:b/>
          <w:bCs/>
          <w:i w:val="false"/>
          <w:iCs w:val="false"/>
          <w:color w:val="1F4E79"/>
          <w:sz w:val="30"/>
          <w:szCs w:val="30"/>
        </w:rPr>
        <w:t xml:space="preserve">6.  Computed Variables — Complete Formulae</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3800"/>
        <w:gridCol w:w="3200"/>
      </w:tblGrid>
      <w:tr>
        <w:tc>
          <w:tcPr>
            <w:tcW w:type="dxa" w:w="20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38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Formula</w:t>
            </w:r>
          </w:p>
        </w:tc>
        <w:tc>
          <w:tcPr>
            <w:tcW w:type="dxa" w:w="3200"/>
            <w:tcBorders>
              <w:top w:val="single" w:color="CCCCCC" w:sz="1"/>
              <w:left w:val="single" w:color="CCCCCC" w:sz="1"/>
              <w:bottom w:val="single" w:color="CCCCCC" w:sz="1"/>
              <w:right w:val="single" w:color="CCCCCC" w:sz="1"/>
            </w:tcBorders>
            <w:shd w:fill="375623"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Notes / Edge Cases</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ROA_PCT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 Total Assets) × 100</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can be negative → negative ROA is a PCA profitability trigger. Total Assets always positive.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ROE_PCT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(Net Profit / (Capital + Reserves))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Uses book value equity. If Capital + Reserves ≤ 0 (technically insolvent), cell set to missing (NaN).</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NIM_PCT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(Interest Earned − Interest Expended) / Total Assets × 100</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NIM possible for severely stressed banks.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COST_INCOME_PCT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Op. Expenses / (Op. Expenses + Op. Profit)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Avoids dividing by Total Income to prevent distortion when NII is negative. If denominator ≤ 0, set to missing.</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CD_RATIO_PCT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Advances / Total Deposits) × 100</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Above 75% typically considered aggressive. If Deposits = 0 (payment banks early years), set to missing.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INV_DEP_RATIO_PCT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(Investments / Total Deposits)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Reflects SLR compliance + strategic investment. SLR minimum was 20.75%–21.5% during study period.</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LOG_ASSETS</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ln(Total Assets in Rs Crore)</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Controls for non-linear size effects. Always defined as Total Assets &gt;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STAFF_EXP_RATIO_PCT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(Staff Expenses / Operating Expenses)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Typically 55–65% for PSBs vs 30–45% for private banks. High ratio reflects legacy wage burdens.</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BUSINESS_PER_EMP_CR</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 Advances + Total Deposits) / Total Employees</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Productivity proxy in Rs Crore per employee. Only available through FY2021 (employee data ends FY2021).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CREDIT_GROWTH_PCT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(Advances_t − Advances_t−1) / Advances_t−1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Computed within-bank year-on-year. First year for each bank returns NaN (no prior year).</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DEPOSIT_GROWTH_PCT</w:t>
            </w:r>
          </w:p>
        </w:tc>
        <w:tc>
          <w:tcPr>
            <w:tcW w:type="dxa" w:w="38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(Deposits_t − Deposits_t−1) / Deposits_t−1 × 100</w:t>
            </w:r>
          </w:p>
        </w:tc>
        <w:tc>
          <w:tcPr>
            <w:tcW w:type="dxa" w:w="3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Same construction as credit growth. First year for each bank returns NaN.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GDP_GROWTH_PCT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(GDP_t − GDP_t−1) / GDP_t−1 × 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Computed from MoSPI GDP levels at 2011-12 constant prices. FY2005 is first computable growth rate.</w:t>
            </w:r>
          </w:p>
        </w:tc>
      </w:tr>
    </w:tbl>
    <w:p>
      <w:r>
        <w:br w:type="page"/>
      </w:r>
    </w:p>
    <w:p>
      <w:pPr>
        <w:pStyle w:val="Heading1"/>
      </w:pPr>
      <w:r>
        <w:rPr>
          <w:rFonts w:ascii="Arial" w:cs="Arial" w:eastAsia="Arial" w:hAnsi="Arial"/>
          <w:b/>
          <w:bCs/>
          <w:i w:val="false"/>
          <w:iCs w:val="false"/>
          <w:color w:val="1F4E79"/>
          <w:sz w:val="30"/>
          <w:szCs w:val="30"/>
        </w:rPr>
        <w:t xml:space="preserve">7.  Research Hypotheses</w:t>
      </w:r>
    </w:p>
    <w:tbl>
      <w:tblPr>
        <w:tblW w:type="dxa" w:w="7800"/>
        <w:tblBorders>
          <w:top w:val="single" w:color="CCCCCC" w:sz="1"/>
          <w:left w:val="single" w:color="CCCCCC" w:sz="1"/>
          <w:bottom w:val="single" w:color="CCCCCC" w:sz="1"/>
          <w:right w:val="single" w:color="CCCCCC" w:sz="1"/>
          <w:insideH w:val="single" w:color="auto" w:sz="4"/>
          <w:insideV w:val="single" w:color="auto" w:sz="4"/>
        </w:tblBorders>
      </w:tblPr>
      <w:tblGrid>
        <w:gridCol w:w="400"/>
        <w:gridCol w:w="4200"/>
        <w:gridCol w:w="2500"/>
        <w:gridCol w:w="700"/>
      </w:tblGrid>
      <w:tr>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Hypothesis</w:t>
            </w:r>
          </w:p>
        </w:tc>
        <w:tc>
          <w:tcPr>
            <w:tcW w:type="dxa" w:w="2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Sign</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H1</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Higher CRAR (better capitalised) reduces PCA breach probability</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TOTAL_CRAR_PCT (lag 1)</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Higher GNPA ratio (proxy for net NPA) increases breach probability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GNPA_RATIO_PCT (lag 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H3</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Negative / lower ROA increases breach probability</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ROA_PCT (lag 1)</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Higher cost-to-income ratio (inefficiency) increases breach probability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COST_INCOME_PCT (lag 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H5</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PSBs have higher breach probability than private banks (governance, directed lending)</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PSB_DUMMY</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Rapid credit growth increases future breach probability (evergreening / boom-bust)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CREDIT_GROWTH_PCT (lag 2)</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H7</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 slowdown increases breach probability (borrower stress)</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GDP_GROWTH_PCT</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Higher repo rate increases breach probability (debt service cost)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REPO_RATE_PCT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H9</w:t>
            </w:r>
          </w:p>
        </w:tc>
        <w:tc>
          <w:tcPr>
            <w:tcW w:type="dxa" w:w="4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2017 PCA revision deterred banks from crossing thresholds (deterrence effect)</w:t>
            </w:r>
          </w:p>
        </w:tc>
        <w:tc>
          <w:tcPr>
            <w:tcW w:type="dxa" w:w="25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PCA_REVISION_2017</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H10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IBC enactment reduced breach probability (improved NPA resolution)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IBC_DUMMY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 </w:t>
            </w:r>
          </w:p>
        </w:tc>
      </w:tr>
    </w:tbl>
    <w:p>
      <w:r>
        <w:br w:type="page"/>
      </w:r>
    </w:p>
    <w:p>
      <w:pPr>
        <w:pStyle w:val="Heading1"/>
      </w:pPr>
      <w:r>
        <w:rPr>
          <w:rFonts w:ascii="Arial" w:cs="Arial" w:eastAsia="Arial" w:hAnsi="Arial"/>
          <w:b/>
          <w:bCs/>
          <w:i w:val="false"/>
          <w:iCs w:val="false"/>
          <w:color w:val="1F4E79"/>
          <w:sz w:val="30"/>
          <w:szCs w:val="30"/>
        </w:rPr>
        <w:t xml:space="preserve">8.  Estimation Strategy</w:t>
      </w:r>
    </w:p>
    <w:p>
      <w:pPr>
        <w:pStyle w:val="Heading2"/>
      </w:pPr>
      <w:r>
        <w:rPr>
          <w:rFonts w:ascii="Arial" w:cs="Arial" w:eastAsia="Arial" w:hAnsi="Arial"/>
          <w:b/>
          <w:bCs/>
          <w:i w:val="false"/>
          <w:iCs w:val="false"/>
          <w:color w:val="2E75B6"/>
          <w:sz w:val="24"/>
          <w:szCs w:val="24"/>
        </w:rPr>
        <w:t xml:space="preserve">8.1  Step-by-Step Procedure</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Data Preparation: Merge all extracted variables into the panel. Winsorise continuous variables at 1st and 99th percentiles. Check multicollinearity (target VIF &lt; 5). Run pairwise correlation matrix for predictor screening.</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Preliminary Analysis: Descriptive statistics by PCA vs. Non-PCA status. Two-sample t-tests of means. Kaplan-Meier survival function for time-to-PCA-breach.</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Baseline Pooled Probit: Pooled probit with robust standard errors and year dummies. Compute Average Marginal Effects (AME) using margins (Stata) or marginaleffects (R).</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Random Effects Panel Probit (Primary): xtprobit in Stata / glmer with family=binomial in R. Cluster standard errors at bank level. Report AMEs and 95% CIs.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Ordered Probit Extension: oprobit / xtoprobit with PCA_GRADE (0–3) as dependent variable for breach severity modelling.</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Robustness Checks: (a) Conditional logit (clogit in Stata); (b) PSBs-only subsample; (c) Exclude COVID years (2020–2022); (d) Pre vs. post-2017 PCA revision split; (e) LPM with bank and year FE.</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Predictive Performance: ROC curve and AUC statistic. Sensitivity and specificity at optimal threshold. Out-of-sample holdout test on FY2022–FY2024.</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Interaction Effects: PSB_DUMMY × CREDIT_GROWTH interaction — tests whether credit growth carries differential breach risk for public sector banks.</w:t>
      </w:r>
    </w:p>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8.2  Stata Commands — Random Effects Panel Probit</w:t>
      </w:r>
    </w:p>
    <w:p>
      <w:pPr>
        <w:shd w:fill="F0F0F0" w:val="clear"/>
        <w:spacing w:before="80" w:after="80"/>
        <w:ind w:left="400"/>
      </w:pPr>
      <w:r>
        <w:rPr>
          <w:rFonts w:ascii="Courier New" w:cs="Courier New" w:eastAsia="Courier New" w:hAnsi="Courier New"/>
          <w:color w:val="000000"/>
          <w:sz w:val="16"/>
          <w:szCs w:val="16"/>
        </w:rPr>
        <w:t xml:space="preserve">* Step 1: Set panel structure
xtset bank_id fy
* Step 2: Create lagged variables
foreach v in total_crar_pct gnpa_ratio_pct roa_pct cost_income_pct \
             log_assets cd_ratio_pct credit_growth_pct {
    gen `v'_l1 = L.`v'
}
* Step 3: Random effects panel probit (primary model)
xtprobit pca_breach total_crar_pct_l1 gnpa_ratio_pct_l1 roa_pct_l1 \
         cost_income_pct_l1 log_assets_l1 cd_ratio_pct_l1 \
         credit_growth_pct_l1 ///
         gdp_growth_pct m3_growth_pct repo_rate_pct cpi_inflation_pct \
         psb_dummy pca_revision_2017 ibc_dummy covid_dummy merger_dummy, \
         re vce(cluster bank_id)
* Step 4: Average marginal effects
margins, dydx(*) atmeans</w:t>
      </w:r>
    </w:p>
    <w:p>
      <w:r>
        <w:br w:type="page"/>
      </w:r>
    </w:p>
    <w:p>
      <w:pPr>
        <w:pStyle w:val="Heading1"/>
      </w:pPr>
      <w:r>
        <w:rPr>
          <w:rFonts w:ascii="Arial" w:cs="Arial" w:eastAsia="Arial" w:hAnsi="Arial"/>
          <w:b/>
          <w:bCs/>
          <w:i w:val="false"/>
          <w:iCs w:val="false"/>
          <w:color w:val="1F4E79"/>
          <w:sz w:val="30"/>
          <w:szCs w:val="30"/>
        </w:rPr>
        <w:t xml:space="preserve">9.  Dataset Description — Companion Excel File</w:t>
      </w:r>
    </w:p>
    <w:p>
      <w:pPr>
        <w:spacing w:before="80" w:after="80"/>
        <w:jc w:val="both"/>
      </w:pPr>
      <w:r>
        <w:rPr>
          <w:rFonts w:ascii="Arial" w:cs="Arial" w:eastAsia="Arial" w:hAnsi="Arial"/>
          <w:b w:val="false"/>
          <w:bCs w:val="false"/>
          <w:i w:val="false"/>
          <w:iCs w:val="false"/>
          <w:color w:val="000000"/>
          <w:sz w:val="20"/>
          <w:szCs w:val="20"/>
        </w:rPr>
        <w:t xml:space="preserve">The companion file </w:t>
      </w:r>
      <w:r>
        <w:rPr>
          <w:rFonts w:ascii="Arial" w:cs="Arial" w:eastAsia="Arial" w:hAnsi="Arial"/>
          <w:b/>
          <w:bCs/>
          <w:i w:val="false"/>
          <w:iCs w:val="false"/>
          <w:color w:val="000000"/>
          <w:sz w:val="20"/>
          <w:szCs w:val="20"/>
        </w:rPr>
        <w:t xml:space="preserve">PCA_Panel_Dataset.xlsx</w:t>
      </w:r>
      <w:r>
        <w:rPr>
          <w:rFonts w:ascii="Arial" w:cs="Arial" w:eastAsia="Arial" w:hAnsi="Arial"/>
          <w:b w:val="false"/>
          <w:bCs w:val="false"/>
          <w:i w:val="false"/>
          <w:iCs w:val="false"/>
          <w:color w:val="000000"/>
          <w:sz w:val="20"/>
          <w:szCs w:val="20"/>
        </w:rPr>
        <w:t xml:space="preserve"> contains five structured sheets:</w:t>
      </w:r>
    </w:p>
    <w:p>
      <w:pPr>
        <w:spacing w:before="40" w:after="40"/>
      </w:pPr>
      <w:r>
        <w:rPr>
          <w:rFonts w:ascii="Arial" w:cs="Arial" w:eastAsia="Arial" w:hAnsi="Arial"/>
          <w:sz w:val="18"/>
          <w:szCs w:val="18"/>
        </w:rPr>
        <w:t xml:space="preserve"/>
      </w:r>
    </w:p>
    <w:tbl>
      <w:tblPr>
        <w:tblW w:type="dxa" w:w="8000"/>
        <w:tblBorders>
          <w:top w:val="single" w:color="CCCCCC" w:sz="1"/>
          <w:left w:val="single" w:color="CCCCCC" w:sz="1"/>
          <w:bottom w:val="single" w:color="CCCCCC" w:sz="1"/>
          <w:right w:val="single" w:color="CCCCCC" w:sz="1"/>
          <w:insideH w:val="single" w:color="auto" w:sz="4"/>
          <w:insideV w:val="single" w:color="auto" w:sz="4"/>
        </w:tblBorders>
      </w:tblPr>
      <w:tblGrid>
        <w:gridCol w:w="2000"/>
        <w:gridCol w:w="4600"/>
        <w:gridCol w:w="700"/>
        <w:gridCol w:w="70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Sheet</w:t>
            </w:r>
          </w:p>
        </w:tc>
        <w:tc>
          <w:tcPr>
            <w:tcW w:type="dxa" w:w="4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Contents</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Rows</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Columns</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Panel_Dataset</w:t>
            </w:r>
          </w:p>
        </w:tc>
        <w:tc>
          <w:tcPr>
            <w:tcW w:type="dxa" w:w="4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Complete panel — 139 banks × 20 years × 47 variables. Colour-coded by variable group.</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1,801</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PCA_Banks_Only</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12 PCA banks with 26 key variables. Red highlight for PCA=1 observations.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~240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26</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Descriptive_Statistics</w:t>
            </w:r>
          </w:p>
        </w:tc>
        <w:tc>
          <w:tcPr>
            <w:tcW w:type="dxa" w:w="4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Mean, SD, min, max, percentiles, missing counts — full sample + by PCA status.</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47</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Macro_Time_Series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Annual macroeconomic and policy dummy series FY2005–FY2024 with source notes.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10</w:t>
            </w:r>
          </w:p>
        </w:tc>
      </w:tr>
      <w:tr>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Variable_Codebook</w:t>
            </w:r>
          </w:p>
        </w:tc>
        <w:tc>
          <w:tcPr>
            <w:tcW w:type="dxa" w:w="4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Complete variable dictionary: definition, formula, source, unit, type for all 47 variables.</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47</w:t>
            </w:r>
          </w:p>
        </w:tc>
        <w:tc>
          <w:tcPr>
            <w:tcW w:type="dxa" w:w="7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7</w:t>
            </w:r>
          </w:p>
        </w:tc>
      </w:tr>
    </w:tbl>
    <w:p>
      <w:pPr>
        <w:spacing w:before="40" w:after="40"/>
      </w:pPr>
      <w:r>
        <w:rPr>
          <w:rFonts w:ascii="Arial" w:cs="Arial" w:eastAsia="Arial" w:hAnsi="Arial"/>
          <w:sz w:val="18"/>
          <w:szCs w:val="18"/>
        </w:rPr>
        <w:t xml:space="preserve"/>
      </w:r>
    </w:p>
    <w:p>
      <w:pPr>
        <w:pStyle w:val="Heading2"/>
      </w:pPr>
      <w:r>
        <w:rPr>
          <w:rFonts w:ascii="Arial" w:cs="Arial" w:eastAsia="Arial" w:hAnsi="Arial"/>
          <w:b/>
          <w:bCs/>
          <w:i w:val="false"/>
          <w:iCs w:val="false"/>
          <w:color w:val="2E75B6"/>
          <w:sz w:val="24"/>
          <w:szCs w:val="24"/>
        </w:rPr>
        <w:t xml:space="preserve">9.1  Missing Data Summary</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Pr>
      <w:tblGrid>
        <w:gridCol w:w="2200"/>
        <w:gridCol w:w="2200"/>
        <w:gridCol w:w="2600"/>
        <w:gridCol w:w="20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Variable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Coverage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Gap</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8"/>
                <w:szCs w:val="18"/>
              </w:rPr>
              <w:t xml:space="preserve">Reason</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TOTAL_CRAR_PCT</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FY2008–FY2024</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FY2005–FY2007 missing for all banks</w:t>
            </w:r>
          </w:p>
        </w:tc>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Basel III CRAR reporting commenced FY2008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TOTAL_EMPLOYEES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FY2004–FY2021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FY2022–FY2024 missing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RBI discontinued detailed employee table post-FY2021</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GNPA_RATIO_PCT</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FY2004–FY2024</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Full coverage available</w:t>
            </w:r>
          </w:p>
        </w:tc>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ROA_PCT / NIM_PCT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FY2005–FY2024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Full coverage for banks with earnings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Computed; missing only where raw data absent</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CREDIT_GROWTH_PCT</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FY2006–FY2024</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 missing (no prior year for lag)</w:t>
            </w:r>
          </w:p>
        </w:tc>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First-difference requires t-1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GDP_GROWTH_PCT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FY2005–FY2024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Full coverage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Computed from available GDP levels</w:t>
            </w:r>
          </w:p>
        </w:tc>
      </w:tr>
      <w:tr>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M3_GROWTH_PCT</w:t>
            </w:r>
          </w:p>
        </w:tc>
        <w:tc>
          <w:tcPr>
            <w:tcW w:type="dxa" w:w="22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FY2000–FY2024</w:t>
            </w:r>
          </w:p>
        </w:tc>
        <w:tc>
          <w:tcPr>
            <w:tcW w:type="dxa" w:w="26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Full coverage</w:t>
            </w:r>
          </w:p>
        </w:tc>
        <w:tc>
          <w:tcPr>
            <w:tcW w:type="dxa" w:w="2000"/>
            <w:tcBorders>
              <w:top w:val="single" w:color="CCCCCC" w:sz="1"/>
              <w:left w:val="single" w:color="CCCCCC" w:sz="1"/>
              <w:bottom w:val="single" w:color="CCCCCC" w:sz="1"/>
              <w:right w:val="single" w:color="CCCCCC" w:sz="1"/>
            </w:tcBorders>
            <w:shd w:fill="DEEAF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Directly from RBI monetary aggregates file</w:t>
            </w:r>
          </w:p>
        </w:tc>
      </w:tr>
    </w:tbl>
    <w:p>
      <w:r>
        <w:br w:type="page"/>
      </w:r>
    </w:p>
    <w:p>
      <w:pPr>
        <w:pStyle w:val="Heading1"/>
      </w:pPr>
      <w:r>
        <w:rPr>
          <w:rFonts w:ascii="Arial" w:cs="Arial" w:eastAsia="Arial" w:hAnsi="Arial"/>
          <w:b/>
          <w:bCs/>
          <w:i w:val="false"/>
          <w:iCs w:val="false"/>
          <w:color w:val="1F4E79"/>
          <w:sz w:val="30"/>
          <w:szCs w:val="30"/>
        </w:rPr>
        <w:t xml:space="preserve">10.  Data Limitations and Caveats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Bank-wise Net NPA (NNPA) ratio — the formal PCA trigger — is not published as a standalone downloadable table by RBI. GNPA ratio is used as a proxy (correlation typically &gt; 0.95). Disclosed as a limitation in the methodology section.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CRAR data unavailable for FY2005–FY2007. Capital adequacy specifications estimated on FY2008–FY2024 subsample (17 years).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Employee data ends at FY2021. Productivity variables (BUSINESS_PER_EMP) are only available through FY2021.</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Repo Rate and CPI values manually entered from RBI Monetary Policy Statements and MoSPI records. Pre-2012 CPI uses CPI-IW (Industrial Workers) series — standard practice for long Indian time series.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PCA Breach dummy coded from RBI notifications and cross-verified against Trend and Progress publications. Three entry dates corrected: United Bank (April → February 2014); Bank of Maharashtra (2015 → June 2017); Dhanlaxmi (2015 → November 2015). Researchers should independently verify dates against primary RBI circulars before publication.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Foreign banks and recently licensed small finance banks have shorter panel histories and may introduce sample selection bias. Sensitivity checks restricting sample to domestic SCBs (PSBs + old/new private banks) recommended.</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COVID period (FY2020–FY2022) saw regulatory forbearance on NPA recognition. The COVID_DUMMY and MORATORIUM controls partially address this but interpretation of NPA variables during this period requires caution.</w:t>
      </w:r>
    </w:p>
    <w:p>
      <w:pPr>
        <w:spacing w:before="40" w:after="40"/>
      </w:pPr>
      <w:r>
        <w:rPr>
          <w:rFonts w:ascii="Arial" w:cs="Arial" w:eastAsia="Arial" w:hAnsi="Arial"/>
          <w:sz w:val="18"/>
          <w:szCs w:val="18"/>
        </w:rPr>
        <w:t xml:space="preserve"/>
      </w:r>
    </w:p>
    <w:p>
      <w:r>
        <w:br w:type="page"/>
      </w:r>
    </w:p>
    <w:p>
      <w:pPr>
        <w:pStyle w:val="Heading1"/>
      </w:pPr>
      <w:r>
        <w:rPr>
          <w:rFonts w:ascii="Arial" w:cs="Arial" w:eastAsia="Arial" w:hAnsi="Arial"/>
          <w:b/>
          <w:bCs/>
          <w:i w:val="false"/>
          <w:iCs w:val="false"/>
          <w:color w:val="1F4E79"/>
          <w:sz w:val="30"/>
          <w:szCs w:val="30"/>
        </w:rPr>
        <w:t xml:space="preserve">11.  Data Sources — Full Citations</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(Annual). Statistical Tables Relating to Banks in India. Mumbai: RBI. Available at: https://data.rbi.org.in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Bank-wise Capital Adequacy Ratios (CRAR) of Scheduled Commercial Banks (STRBI B3). Mumbai: RBI Department of Supervision. Available at: https://data.rbi.org.in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Bank-wise and Bank Group-wise Gross Non-Performing Assets (Table 20). Mumbai: RBI. Available at: https://data.rbi.org.in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Bank-wise and Category-wise Employees of Scheduled Commercial Banks (Table 12). Mumbai: RBI. Available at: https://data.rbi.org.in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Select Monetary Aggregates — Growth Rates. Mumbai: RBI. Available at: https://data.rbi.org.in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(Annual). Trend and Progress of Banking in India. Mumbai: RBI. Available at: https://rbi.org.in</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(2017, April 13). Prompt Corrective Action Framework (Revised). Circular DBS.CO.PPD.BC.No.8/11.01.005/2016-17. Mumbai: RBI.</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(2021, November 2). Prompt Corrective Action Framework (Latest Revision). Circular DOS.CO.PPG.SEC.No.4/11.01.005/2021-22. Mumbai: RBI.</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Ministry of Statistics and Programme Implementation (MoSPI). National Accounts Statistics — Macro-Economic Aggregates at Constant Prices, Base Year 2011-12. New Delhi: Government of India.</w:t>
      </w:r>
    </w:p>
    <w:p>
      <w:pPr>
        <w:pStyle w:val="ListParagraph"/>
        <w:numPr>
          <w:ilvl w:val="0"/>
          <w:numId w:val="2"/>
        </w:numPr>
        <w:spacing w:before="50" w:after="50"/>
      </w:pPr>
      <w:r>
        <w:rPr>
          <w:rFonts w:ascii="Arial" w:cs="Arial" w:eastAsia="Arial" w:hAnsi="Arial"/>
          <w:b w:val="false"/>
          <w:bCs w:val="false"/>
          <w:i w:val="false"/>
          <w:iCs w:val="false"/>
          <w:color w:val="000000"/>
          <w:sz w:val="20"/>
          <w:szCs w:val="20"/>
        </w:rPr>
        <w:t xml:space="preserve">Reserve Bank of India. (Annual). Handbook of Statistics on Indian Economy. Mumbai: RBI. [Source for Repo Rate history and CPI data]. Available at: https://rbi.org.in</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val="false"/>
        <w:bCs w:val="false"/>
        <w:i w:val="false"/>
        <w:iCs w:val="false"/>
        <w:color w:val="595959"/>
        <w:sz w:val="16"/>
        <w:szCs w:val="16"/>
      </w:rPr>
      <w:t xml:space="preserve">Predicting PCA Breach Probability | RBI Panel Probit Study — Research Framework &amp; Variable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lvl w:ilvl="1" w15:tentative="1">
      <w:start w:val="1"/>
      <w:numFmt w:val="bullet"/>
      <w:lvlText w:val="◦"/>
      <w:lvlJc w:val="start"/>
      <w:pPr>
        <w:ind w:left="840" w:hanging="240"/>
      </w:pPr>
    </w:lvl>
  </w:abstractNum>
  <w:abstractNum w:abstractNumId="3"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2026-03-05T15:53:16.313Z</dcterms:created>
  <dcterms:modified xsi:type="dcterms:W3CDTF">2026-03-05T15:53:16.314Z</dcterms:modified>
</cp:coreProperties>
</file>

<file path=docProps/custom.xml><?xml version="1.0" encoding="utf-8"?>
<Properties xmlns="http://schemas.openxmlformats.org/officeDocument/2006/custom-properties" xmlns:vt="http://schemas.openxmlformats.org/officeDocument/2006/docPropsVTypes"/>
</file>