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8"/>
        </w:rPr>
        <w:t>IP-SAKTI SAHAYAK (IP शक्ति सहायक)</w:t>
      </w:r>
    </w:p>
    <w:p>
      <w:pPr>
        <w:jc w:val="center"/>
      </w:pPr>
      <w:r>
        <w:rPr>
          <w:i/>
          <w:color w:val="0D9488"/>
          <w:sz w:val="26"/>
        </w:rPr>
        <w:t>Ayurveda &amp; Traditional Knowledge IP &amp; Regulatory Intelligence Platform</w:t>
        <w:br/>
        <w:t>Complete Technical Guide, System Architecture &amp; Operational Blueprint</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F0F9FF"/>
            <w:tcMar>
              <w:top w:w="120" w:type="dxa"/>
              <w:bottom w:w="120" w:type="dxa"/>
              <w:left w:w="120" w:type="dxa"/>
              <w:right w:w="120" w:type="dxa"/>
            </w:tcMar>
          </w:tcPr>
          <w:p>
            <w:pPr>
              <w:jc w:val="center"/>
            </w:pPr>
            <w:r>
              <w:rPr>
                <w:b/>
                <w:color w:val="0D9488"/>
                <w:sz w:val="17"/>
              </w:rPr>
              <w:t>PROJECT TYPE</w:t>
              <w:br/>
            </w:r>
            <w:r>
              <w:rPr>
                <w:b/>
                <w:color w:val="1B365D"/>
                <w:sz w:val="19"/>
              </w:rPr>
              <w:t>GovTech / AI LegalTech / AYUSH IP</w:t>
            </w:r>
          </w:p>
        </w:tc>
        <w:tc>
          <w:tcPr>
            <w:tcW w:type="dxa" w:w="3168"/>
            <w:shd w:fill="F0F9FF"/>
            <w:tcMar>
              <w:top w:w="120" w:type="dxa"/>
              <w:bottom w:w="120" w:type="dxa"/>
              <w:left w:w="120" w:type="dxa"/>
              <w:right w:w="120" w:type="dxa"/>
            </w:tcMar>
          </w:tcPr>
          <w:p>
            <w:pPr>
              <w:jc w:val="center"/>
            </w:pPr>
            <w:r>
              <w:rPr>
                <w:b/>
                <w:color w:val="0D9488"/>
                <w:sz w:val="17"/>
              </w:rPr>
              <w:t>TECH STACK</w:t>
              <w:br/>
            </w:r>
            <w:r>
              <w:rPr>
                <w:b/>
                <w:color w:val="1B365D"/>
                <w:sz w:val="19"/>
              </w:rPr>
              <w:t>React 18, FastAPI, Supabase, BM25 RAG</w:t>
            </w:r>
          </w:p>
        </w:tc>
        <w:tc>
          <w:tcPr>
            <w:tcW w:type="dxa" w:w="3168"/>
            <w:shd w:fill="F0F9FF"/>
            <w:tcMar>
              <w:top w:w="120" w:type="dxa"/>
              <w:bottom w:w="120" w:type="dxa"/>
              <w:left w:w="120" w:type="dxa"/>
              <w:right w:w="120" w:type="dxa"/>
            </w:tcMar>
          </w:tcPr>
          <w:p>
            <w:pPr>
              <w:jc w:val="center"/>
            </w:pPr>
            <w:r>
              <w:rPr>
                <w:b/>
                <w:color w:val="0D9488"/>
                <w:sz w:val="17"/>
              </w:rPr>
              <w:t>DEPLOYMENT</w:t>
              <w:br/>
            </w:r>
            <w:r>
              <w:rPr>
                <w:b/>
                <w:color w:val="1B365D"/>
                <w:sz w:val="19"/>
              </w:rPr>
              <w:t>Vercel (FE), Render (BE), Supabase (DB)</w:t>
            </w:r>
          </w:p>
        </w:tc>
      </w:tr>
    </w:tbl>
    <w:p>
      <w:pPr>
        <w:spacing w:after="240"/>
      </w:pPr>
    </w:p>
    <w:p>
      <w:pPr>
        <w:spacing w:before="360" w:after="120"/>
      </w:pPr>
      <w:r>
        <w:rPr>
          <w:b/>
          <w:color w:val="1B365D"/>
          <w:sz w:val="32"/>
        </w:rPr>
        <w:t>1. Executive Summary &amp; Problem Statement</w:t>
      </w:r>
    </w:p>
    <w:p>
      <w:pPr>
        <w:spacing w:before="0" w:after="160"/>
      </w:pPr>
      <w:r>
        <w:rPr>
          <w:color w:val="0D9488"/>
          <w:sz w:val="16"/>
        </w:rPr>
        <w:t>―――――――――――――――――――――――――――――――――――――――――――――</w:t>
      </w:r>
    </w:p>
    <w:p>
      <w:pPr>
        <w:spacing w:line="276" w:lineRule="auto"/>
      </w:pPr>
      <w:r>
        <w:t>IP-SAKTI Sahayak (IP शक्ति सहायक) is an end-to-end statutory artificial intelligence platform designed to bridge the critical gap between Indian traditional medicine innovators (Ayurveda, Siddha, Unani - ASU), biotechnology researchers, MSMEs, startups, and the complex Indian intellectual property &amp; regulatory landscape.</w:t>
      </w:r>
    </w:p>
    <w:p>
      <w:pPr>
        <w:spacing w:before="240" w:after="80"/>
      </w:pPr>
      <w:r>
        <w:rPr>
          <w:b/>
          <w:color w:val="0D9488"/>
          <w:sz w:val="25"/>
        </w:rPr>
        <w:t>The Core Problems Solved:</w:t>
      </w:r>
    </w:p>
    <w:p>
      <w:pPr>
        <w:spacing w:after="80"/>
        <w:ind w:left="288"/>
      </w:pPr>
      <w:r>
        <w:rPr>
          <w:b/>
          <w:color w:val="1B365D"/>
        </w:rPr>
        <w:t xml:space="preserve">• Section 3(p) Rejections (Traditional Knowledge Exclusion): </w:t>
      </w:r>
      <w:r>
        <w:t>Under Section 3(p) of the Indian Patents Act, 1970, an invention which in effect is traditional knowledge or an aggregation/duplication of known properties of traditionally known components cannot be patented. Thousands of ASU researchers face immediate rejections without understanding statutory workarounds (e.g., demonstrating synergy, novel extraction methods, or novel clinical delivery mechanisms).</w:t>
      </w:r>
    </w:p>
    <w:p>
      <w:pPr>
        <w:spacing w:after="80"/>
        <w:ind w:left="288"/>
      </w:pPr>
      <w:r>
        <w:rPr>
          <w:b/>
          <w:color w:val="1B365D"/>
        </w:rPr>
        <w:t xml:space="preserve">• Biological Diversity Act (BDA 2002) &amp; NBA Access &amp; Benefit Sharing (ABS) Pitfalls: </w:t>
      </w:r>
      <w:r>
        <w:t>Section 6 of the Biological Diversity Act 2002 mandates that any individual or entity applying for an intellectual property right inside or outside India based on Indian biological resources must obtain prior approval from the National Biodiversity Authority (NBA) via Form III. Non-compliance results in severe legal penalties, invalidation of patents, and criminal liabilities under Section 55.</w:t>
      </w:r>
    </w:p>
    <w:p>
      <w:pPr>
        <w:spacing w:after="80"/>
        <w:ind w:left="288"/>
      </w:pPr>
      <w:r>
        <w:rPr>
          <w:b/>
          <w:color w:val="1B365D"/>
        </w:rPr>
        <w:t xml:space="preserve">• TKDL (Traditional Knowledge Digital Library) Prior-Art Barriers: </w:t>
      </w:r>
      <w:r>
        <w:t>International patent examiners cite India's TKDL repository containing over 250,000 formulations. Innovators lack accessible search tools to verify if their proposed herbal combination already exists in ancient classical texts (Charaka Samhita, Sushruta Samhita, Ashtanga Hridaya).</w:t>
      </w:r>
    </w:p>
    <w:p>
      <w:pPr>
        <w:spacing w:after="80"/>
        <w:ind w:left="288"/>
      </w:pPr>
      <w:r>
        <w:rPr>
          <w:b/>
          <w:color w:val="1B365D"/>
        </w:rPr>
        <w:t xml:space="preserve">• Linguistic and Legal Accessibility Barriers: </w:t>
      </w:r>
      <w:r>
        <w:t>The vast majority of traditional practitioners and rural grassroots innovators operate in regional languages (Hindi, Marathi, Gujarati) and lack the financial capability to engage expensive Tier-1 IP law firms for preliminary patentability assessments.</w:t>
      </w: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OUR SOLUTION: </w:t>
            </w:r>
            <w:r>
              <w:rPr>
                <w:sz w:val="20"/>
              </w:rPr>
              <w:t>IP-SAKTI Sahayak provides an AI-guided 5-step Case Builder, grounded Statutory RAG search indexing 4,016 legal corpus chunks, automated Form I/III ABS roadmaps, 100% multilingual localization, and a licensed Human-in-the-Loop Expert verification portal.</w:t>
            </w:r>
          </w:p>
        </w:tc>
      </w:tr>
    </w:tbl>
    <w:p>
      <w:pPr>
        <w:spacing w:after="120"/>
      </w:pPr>
    </w:p>
    <w:p>
      <w:pPr>
        <w:spacing w:before="360" w:after="120"/>
      </w:pPr>
      <w:r>
        <w:rPr>
          <w:b/>
          <w:color w:val="1B365D"/>
          <w:sz w:val="32"/>
        </w:rPr>
        <w:t>2. Complete Technology Stack</w:t>
      </w:r>
    </w:p>
    <w:p>
      <w:pPr>
        <w:spacing w:before="0" w:after="160"/>
      </w:pPr>
      <w:r>
        <w:rPr>
          <w:color w:val="0D9488"/>
          <w:sz w:val="16"/>
        </w:rPr>
        <w: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365D"/>
            <w:tcMar>
              <w:top w:w="100" w:type="dxa"/>
              <w:bottom w:w="100" w:type="dxa"/>
              <w:left w:w="100" w:type="dxa"/>
              <w:right w:w="100" w:type="dxa"/>
            </w:tcMar>
          </w:tcPr>
          <w:p>
            <w:pPr>
              <w:jc w:val="center"/>
            </w:pPr>
            <w:r>
              <w:rPr>
                <w:b/>
                <w:color w:val="FFFFFF"/>
              </w:rPr>
              <w:t>Component Layer</w:t>
            </w:r>
          </w:p>
        </w:tc>
        <w:tc>
          <w:tcPr>
            <w:tcW w:type="dxa" w:w="3168"/>
            <w:shd w:fill="1B365D"/>
            <w:tcMar>
              <w:top w:w="100" w:type="dxa"/>
              <w:bottom w:w="100" w:type="dxa"/>
              <w:left w:w="100" w:type="dxa"/>
              <w:right w:w="100" w:type="dxa"/>
            </w:tcMar>
          </w:tcPr>
          <w:p>
            <w:pPr>
              <w:jc w:val="center"/>
            </w:pPr>
            <w:r>
              <w:rPr>
                <w:b/>
                <w:color w:val="FFFFFF"/>
              </w:rPr>
              <w:t>Technologies / Libraries Used</w:t>
            </w:r>
          </w:p>
        </w:tc>
        <w:tc>
          <w:tcPr>
            <w:tcW w:type="dxa" w:w="4464"/>
            <w:shd w:fill="1B365D"/>
            <w:tcMar>
              <w:top w:w="100" w:type="dxa"/>
              <w:bottom w:w="100" w:type="dxa"/>
              <w:left w:w="100" w:type="dxa"/>
              <w:right w:w="100" w:type="dxa"/>
            </w:tcMar>
          </w:tcPr>
          <w:p>
            <w:pPr>
              <w:jc w:val="center"/>
            </w:pPr>
            <w:r>
              <w:rPr>
                <w:b/>
                <w:color w:val="FFFFFF"/>
              </w:rPr>
              <w:t>Key Purpose &amp; Capabilities</w:t>
            </w:r>
          </w:p>
        </w:tc>
      </w:tr>
      <w:tr>
        <w:tc>
          <w:tcPr>
            <w:tcW w:type="dxa" w:w="2160"/>
            <w:shd w:fill="F8FAFC"/>
            <w:tcMar>
              <w:top w:w="80" w:type="dxa"/>
              <w:bottom w:w="80" w:type="dxa"/>
              <w:left w:w="100" w:type="dxa"/>
              <w:right w:w="100" w:type="dxa"/>
            </w:tcMar>
          </w:tcPr>
          <w:p>
            <w:r>
              <w:rPr>
                <w:b/>
                <w:color w:val="1B365D"/>
                <w:sz w:val="19"/>
              </w:rPr>
              <w:t>Frontend UI / UX</w:t>
            </w:r>
          </w:p>
        </w:tc>
        <w:tc>
          <w:tcPr>
            <w:tcW w:type="dxa" w:w="3168"/>
            <w:shd w:fill="F8FAFC"/>
            <w:tcMar>
              <w:top w:w="80" w:type="dxa"/>
              <w:bottom w:w="80" w:type="dxa"/>
              <w:left w:w="100" w:type="dxa"/>
              <w:right w:w="100" w:type="dxa"/>
            </w:tcMar>
          </w:tcPr>
          <w:p>
            <w:r>
              <w:rPr>
                <w:sz w:val="19"/>
              </w:rPr>
              <w:t>• React 18.3.1 (TypeScript)</w:t>
              <w:br/>
              <w:t>• Vite 6.2.0</w:t>
              <w:br/>
              <w:t>• Vanilla CSS Glassmorphic System</w:t>
              <w:br/>
              <w:t>• Framer Motion (13.2.0)</w:t>
              <w:br/>
              <w:t>• Lucide Icons</w:t>
            </w:r>
          </w:p>
        </w:tc>
        <w:tc>
          <w:tcPr>
            <w:tcW w:type="dxa" w:w="4464"/>
            <w:shd w:fill="F8FAFC"/>
            <w:tcMar>
              <w:top w:w="80" w:type="dxa"/>
              <w:bottom w:w="80" w:type="dxa"/>
              <w:left w:w="100" w:type="dxa"/>
              <w:right w:w="100" w:type="dxa"/>
            </w:tcMar>
          </w:tcPr>
          <w:p>
            <w:r>
              <w:rPr>
                <w:sz w:val="19"/>
              </w:rPr>
              <w:t>High-performance Single Page Application (SPA), responsive mobile/desktop UI, glassmorphic dark/light visual theme, dynamic status indicators, and modular layouts.</w:t>
            </w:r>
          </w:p>
        </w:tc>
      </w:tr>
      <w:tr>
        <w:tc>
          <w:tcPr>
            <w:tcW w:type="dxa" w:w="2160"/>
            <w:shd w:fill="FFFFFF"/>
            <w:tcMar>
              <w:top w:w="80" w:type="dxa"/>
              <w:bottom w:w="80" w:type="dxa"/>
              <w:left w:w="100" w:type="dxa"/>
              <w:right w:w="100" w:type="dxa"/>
            </w:tcMar>
          </w:tcPr>
          <w:p>
            <w:r>
              <w:rPr>
                <w:b/>
                <w:color w:val="1B365D"/>
                <w:sz w:val="19"/>
              </w:rPr>
              <w:t>State &amp; Localization</w:t>
            </w:r>
          </w:p>
        </w:tc>
        <w:tc>
          <w:tcPr>
            <w:tcW w:type="dxa" w:w="3168"/>
            <w:shd w:fill="FFFFFF"/>
            <w:tcMar>
              <w:top w:w="80" w:type="dxa"/>
              <w:bottom w:w="80" w:type="dxa"/>
              <w:left w:w="100" w:type="dxa"/>
              <w:right w:w="100" w:type="dxa"/>
            </w:tcMar>
          </w:tcPr>
          <w:p>
            <w:r>
              <w:rPr>
                <w:sz w:val="19"/>
              </w:rPr>
              <w:t>• Zustand 5.0.3</w:t>
              <w:br/>
              <w:t>• TanStack React Query v5</w:t>
              <w:br/>
              <w:t>• i18next &amp; react-i18next</w:t>
              <w:br/>
              <w:t>• React Hook Form + Zod</w:t>
            </w:r>
          </w:p>
        </w:tc>
        <w:tc>
          <w:tcPr>
            <w:tcW w:type="dxa" w:w="4464"/>
            <w:shd w:fill="FFFFFF"/>
            <w:tcMar>
              <w:top w:w="80" w:type="dxa"/>
              <w:bottom w:w="80" w:type="dxa"/>
              <w:left w:w="100" w:type="dxa"/>
              <w:right w:w="100" w:type="dxa"/>
            </w:tcMar>
          </w:tcPr>
          <w:p>
            <w:r>
              <w:rPr>
                <w:sz w:val="19"/>
              </w:rPr>
              <w:t>Centralized auth &amp; case stores, zero-latency caching, client-side session hydration, and 100% full multi-language switching (English, Hindi, Marathi, Gujarati).</w:t>
            </w:r>
          </w:p>
        </w:tc>
      </w:tr>
      <w:tr>
        <w:tc>
          <w:tcPr>
            <w:tcW w:type="dxa" w:w="2160"/>
            <w:shd w:fill="F8FAFC"/>
            <w:tcMar>
              <w:top w:w="80" w:type="dxa"/>
              <w:bottom w:w="80" w:type="dxa"/>
              <w:left w:w="100" w:type="dxa"/>
              <w:right w:w="100" w:type="dxa"/>
            </w:tcMar>
          </w:tcPr>
          <w:p>
            <w:r>
              <w:rPr>
                <w:b/>
                <w:color w:val="1B365D"/>
                <w:sz w:val="19"/>
              </w:rPr>
              <w:t>Backend Web API</w:t>
            </w:r>
          </w:p>
        </w:tc>
        <w:tc>
          <w:tcPr>
            <w:tcW w:type="dxa" w:w="3168"/>
            <w:shd w:fill="F8FAFC"/>
            <w:tcMar>
              <w:top w:w="80" w:type="dxa"/>
              <w:bottom w:w="80" w:type="dxa"/>
              <w:left w:w="100" w:type="dxa"/>
              <w:right w:w="100" w:type="dxa"/>
            </w:tcMar>
          </w:tcPr>
          <w:p>
            <w:r>
              <w:rPr>
                <w:sz w:val="19"/>
              </w:rPr>
              <w:t>• Python 3.10+ / 3.14</w:t>
              <w:br/>
              <w:t>• FastAPI 0.110.0</w:t>
              <w:br/>
              <w:t>• Uvicorn ASGI Server</w:t>
              <w:br/>
              <w:t>• Pydantic v2 validation</w:t>
            </w:r>
          </w:p>
        </w:tc>
        <w:tc>
          <w:tcPr>
            <w:tcW w:type="dxa" w:w="4464"/>
            <w:shd w:fill="F8FAFC"/>
            <w:tcMar>
              <w:top w:w="80" w:type="dxa"/>
              <w:bottom w:w="80" w:type="dxa"/>
              <w:left w:w="100" w:type="dxa"/>
              <w:right w:w="100" w:type="dxa"/>
            </w:tcMar>
          </w:tcPr>
          <w:p>
            <w:r>
              <w:rPr>
                <w:sz w:val="19"/>
              </w:rPr>
              <w:t>Asynchronous high-concurrency RESTful microservices, JWT authentication, CORS security middleware, case escalation handlers, and health probes.</w:t>
            </w:r>
          </w:p>
        </w:tc>
      </w:tr>
      <w:tr>
        <w:tc>
          <w:tcPr>
            <w:tcW w:type="dxa" w:w="2160"/>
            <w:shd w:fill="FFFFFF"/>
            <w:tcMar>
              <w:top w:w="80" w:type="dxa"/>
              <w:bottom w:w="80" w:type="dxa"/>
              <w:left w:w="100" w:type="dxa"/>
              <w:right w:w="100" w:type="dxa"/>
            </w:tcMar>
          </w:tcPr>
          <w:p>
            <w:r>
              <w:rPr>
                <w:b/>
                <w:color w:val="1B365D"/>
                <w:sz w:val="19"/>
              </w:rPr>
              <w:t>RAG &amp; Search Engine</w:t>
            </w:r>
          </w:p>
        </w:tc>
        <w:tc>
          <w:tcPr>
            <w:tcW w:type="dxa" w:w="3168"/>
            <w:shd w:fill="FFFFFF"/>
            <w:tcMar>
              <w:top w:w="80" w:type="dxa"/>
              <w:bottom w:w="80" w:type="dxa"/>
              <w:left w:w="100" w:type="dxa"/>
              <w:right w:w="100" w:type="dxa"/>
            </w:tcMar>
          </w:tcPr>
          <w:p>
            <w:r>
              <w:rPr>
                <w:sz w:val="19"/>
              </w:rPr>
              <w:t>• Custom BM25 Index (rank-bm25)</w:t>
              <w:br/>
              <w:t>• 4,016 Statutory Legal Chunks</w:t>
              <w:br/>
              <w:t>• Reciprocal Rank Fusion (RRF)</w:t>
              <w:br/>
              <w:t>• Cross-Encoder Reranker fallback</w:t>
            </w:r>
          </w:p>
        </w:tc>
        <w:tc>
          <w:tcPr>
            <w:tcW w:type="dxa" w:w="4464"/>
            <w:shd w:fill="FFFFFF"/>
            <w:tcMar>
              <w:top w:w="80" w:type="dxa"/>
              <w:bottom w:w="80" w:type="dxa"/>
              <w:left w:w="100" w:type="dxa"/>
              <w:right w:w="100" w:type="dxa"/>
            </w:tcMar>
          </w:tcPr>
          <w:p>
            <w:r>
              <w:rPr>
                <w:sz w:val="19"/>
              </w:rPr>
              <w:t>Hybrid statutory retrieval covering Patents Act 1970, Patent Rules 2003, BDA 2002, AYUSH Guidelines, and TKDL databases with hierarchical authority weighting.</w:t>
            </w:r>
          </w:p>
        </w:tc>
      </w:tr>
      <w:tr>
        <w:tc>
          <w:tcPr>
            <w:tcW w:type="dxa" w:w="2160"/>
            <w:shd w:fill="F8FAFC"/>
            <w:tcMar>
              <w:top w:w="80" w:type="dxa"/>
              <w:bottom w:w="80" w:type="dxa"/>
              <w:left w:w="100" w:type="dxa"/>
              <w:right w:w="100" w:type="dxa"/>
            </w:tcMar>
          </w:tcPr>
          <w:p>
            <w:r>
              <w:rPr>
                <w:b/>
                <w:color w:val="1B365D"/>
                <w:sz w:val="19"/>
              </w:rPr>
              <w:t>LLM &amp; AI Pipeline</w:t>
            </w:r>
          </w:p>
        </w:tc>
        <w:tc>
          <w:tcPr>
            <w:tcW w:type="dxa" w:w="3168"/>
            <w:shd w:fill="F8FAFC"/>
            <w:tcMar>
              <w:top w:w="80" w:type="dxa"/>
              <w:bottom w:w="80" w:type="dxa"/>
              <w:left w:w="100" w:type="dxa"/>
              <w:right w:w="100" w:type="dxa"/>
            </w:tcMar>
          </w:tcPr>
          <w:p>
            <w:r>
              <w:rPr>
                <w:sz w:val="19"/>
              </w:rPr>
              <w:t>• Ollama (Llama 3.1 Local)</w:t>
              <w:br/>
              <w:t>• Google Gemini / Groq / OpenAI</w:t>
              <w:br/>
              <w:t>• Structured Prompt Synthesis</w:t>
              <w:br/>
              <w:t>• Confidence Reasoner</w:t>
            </w:r>
          </w:p>
        </w:tc>
        <w:tc>
          <w:tcPr>
            <w:tcW w:type="dxa" w:w="4464"/>
            <w:shd w:fill="F8FAFC"/>
            <w:tcMar>
              <w:top w:w="80" w:type="dxa"/>
              <w:bottom w:w="80" w:type="dxa"/>
              <w:left w:w="100" w:type="dxa"/>
              <w:right w:w="100" w:type="dxa"/>
            </w:tcMar>
          </w:tcPr>
          <w:p>
            <w:r>
              <w:rPr>
                <w:sz w:val="19"/>
              </w:rPr>
              <w:t>Grounded answer generation, strict statutory citation extraction, hallucination mitigation via source snippet verification, and confidence scoring (High/Medium/Low).</w:t>
            </w:r>
          </w:p>
        </w:tc>
      </w:tr>
      <w:tr>
        <w:tc>
          <w:tcPr>
            <w:tcW w:type="dxa" w:w="2160"/>
            <w:shd w:fill="FFFFFF"/>
            <w:tcMar>
              <w:top w:w="80" w:type="dxa"/>
              <w:bottom w:w="80" w:type="dxa"/>
              <w:left w:w="100" w:type="dxa"/>
              <w:right w:w="100" w:type="dxa"/>
            </w:tcMar>
          </w:tcPr>
          <w:p>
            <w:r>
              <w:rPr>
                <w:b/>
                <w:color w:val="1B365D"/>
                <w:sz w:val="19"/>
              </w:rPr>
              <w:t>Database &amp; Auth</w:t>
            </w:r>
          </w:p>
        </w:tc>
        <w:tc>
          <w:tcPr>
            <w:tcW w:type="dxa" w:w="3168"/>
            <w:shd w:fill="FFFFFF"/>
            <w:tcMar>
              <w:top w:w="80" w:type="dxa"/>
              <w:bottom w:w="80" w:type="dxa"/>
              <w:left w:w="100" w:type="dxa"/>
              <w:right w:w="100" w:type="dxa"/>
            </w:tcMar>
          </w:tcPr>
          <w:p>
            <w:r>
              <w:rPr>
                <w:sz w:val="19"/>
              </w:rPr>
              <w:t>• Supabase PostgreSQL</w:t>
              <w:br/>
              <w:t>• Row-Level Security (RLS)</w:t>
              <w:br/>
              <w:t>• uuid-ossp extension</w:t>
              <w:br/>
              <w:t>• Supabase Auth Client</w:t>
            </w:r>
          </w:p>
        </w:tc>
        <w:tc>
          <w:tcPr>
            <w:tcW w:type="dxa" w:w="4464"/>
            <w:shd w:fill="FFFFFF"/>
            <w:tcMar>
              <w:top w:w="80" w:type="dxa"/>
              <w:bottom w:w="80" w:type="dxa"/>
              <w:left w:w="100" w:type="dxa"/>
              <w:right w:w="100" w:type="dxa"/>
            </w:tcMar>
          </w:tcPr>
          <w:p>
            <w:r>
              <w:rPr>
                <w:sz w:val="19"/>
              </w:rPr>
              <w:t>Cloud relational schema storing user profiles, expert registries, multi-turn chat sessions, active case builder submissions, and immutable audit logs.</w:t>
            </w:r>
          </w:p>
        </w:tc>
      </w:tr>
      <w:tr>
        <w:tc>
          <w:tcPr>
            <w:tcW w:type="dxa" w:w="2160"/>
            <w:shd w:fill="F8FAFC"/>
            <w:tcMar>
              <w:top w:w="80" w:type="dxa"/>
              <w:bottom w:w="80" w:type="dxa"/>
              <w:left w:w="100" w:type="dxa"/>
              <w:right w:w="100" w:type="dxa"/>
            </w:tcMar>
          </w:tcPr>
          <w:p>
            <w:r>
              <w:rPr>
                <w:b/>
                <w:color w:val="1B365D"/>
                <w:sz w:val="19"/>
              </w:rPr>
              <w:t>Cloud Infrastructure</w:t>
            </w:r>
          </w:p>
        </w:tc>
        <w:tc>
          <w:tcPr>
            <w:tcW w:type="dxa" w:w="3168"/>
            <w:shd w:fill="F8FAFC"/>
            <w:tcMar>
              <w:top w:w="80" w:type="dxa"/>
              <w:bottom w:w="80" w:type="dxa"/>
              <w:left w:w="100" w:type="dxa"/>
              <w:right w:w="100" w:type="dxa"/>
            </w:tcMar>
          </w:tcPr>
          <w:p>
            <w:r>
              <w:rPr>
                <w:sz w:val="19"/>
              </w:rPr>
              <w:t>• Vercel (Frontend SPA Hosting)</w:t>
              <w:br/>
              <w:t>• Render (FastAPI Docker Container)</w:t>
              <w:br/>
              <w:t>• Supabase (Managed Postgres)</w:t>
            </w:r>
          </w:p>
        </w:tc>
        <w:tc>
          <w:tcPr>
            <w:tcW w:type="dxa" w:w="4464"/>
            <w:shd w:fill="F8FAFC"/>
            <w:tcMar>
              <w:top w:w="80" w:type="dxa"/>
              <w:bottom w:w="80" w:type="dxa"/>
              <w:left w:w="100" w:type="dxa"/>
              <w:right w:w="100" w:type="dxa"/>
            </w:tcMar>
          </w:tcPr>
          <w:p>
            <w:r>
              <w:rPr>
                <w:sz w:val="19"/>
              </w:rPr>
              <w:t>Global CDN edge distribution, automated Git continuous deployment (CI/CD), SPA routing rewrite rules, and memory-optimized container hosting.</w:t>
            </w:r>
          </w:p>
        </w:tc>
      </w:tr>
    </w:tbl>
    <w:p>
      <w:pPr>
        <w:spacing w:after="240"/>
      </w:pPr>
    </w:p>
    <w:p>
      <w:pPr>
        <w:spacing w:before="360" w:after="120"/>
      </w:pPr>
      <w:r>
        <w:rPr>
          <w:b/>
          <w:color w:val="1B365D"/>
          <w:sz w:val="32"/>
        </w:rPr>
        <w:t>3. System Architecture &amp; Development Methodology</w:t>
      </w:r>
    </w:p>
    <w:p>
      <w:pPr>
        <w:spacing w:before="0" w:after="160"/>
      </w:pPr>
      <w:r>
        <w:rPr>
          <w:color w:val="0D9488"/>
          <w:sz w:val="16"/>
        </w:rPr>
        <w:t>―――――――――――――――――――――――――――――――――――――――――――――</w:t>
      </w:r>
    </w:p>
    <w:p>
      <w:pPr>
        <w:spacing w:line="276" w:lineRule="auto"/>
      </w:pPr>
      <w:r>
        <w:t>The system operates on a dual-engine architecture: a deterministic Statutory Authority Retrieval Engine paired with an LLM Generation &amp; Verification Pipeline, backed by a human-in-the-loop expert review workflow.</w:t>
      </w:r>
    </w:p>
    <w:p>
      <w:pPr>
        <w:spacing w:before="240" w:after="80"/>
      </w:pPr>
      <w:r>
        <w:rPr>
          <w:b/>
          <w:color w:val="0D9488"/>
          <w:sz w:val="25"/>
        </w:rPr>
        <w:t>Hierarchical Architecture Layers:</w:t>
      </w:r>
    </w:p>
    <w:p>
      <w:pPr>
        <w:spacing w:after="80"/>
        <w:ind w:left="288"/>
      </w:pPr>
      <w:r>
        <w:rPr>
          <w:b/>
          <w:color w:val="1B365D"/>
        </w:rPr>
        <w:t xml:space="preserve">• Layer 1: Presentation &amp; Localization Layer (Client): </w:t>
      </w:r>
      <w:r>
        <w:t>Vite/React frontend delivering role-specific views (Citizen vs. Expert). Features interactive forms, real-time citation highlights, case builder wizards, dynamic charts, and instant i18n localization in 4 Indian languages.</w:t>
      </w:r>
    </w:p>
    <w:p>
      <w:pPr>
        <w:spacing w:after="80"/>
        <w:ind w:left="288"/>
      </w:pPr>
      <w:r>
        <w:rPr>
          <w:b/>
          <w:color w:val="1B365D"/>
        </w:rPr>
        <w:t xml:space="preserve">• Layer 2: API Gateway &amp; Service Orchestrator (FastAPI): </w:t>
      </w:r>
      <w:r>
        <w:t>FastAPI endpoints handling JWT authentication, query pre-processing, statutory intent routing, case lifecycle management, and communication with Supabase and the RAG index.</w:t>
      </w:r>
    </w:p>
    <w:p>
      <w:pPr>
        <w:spacing w:after="80"/>
        <w:ind w:left="288"/>
      </w:pPr>
      <w:r>
        <w:rPr>
          <w:b/>
          <w:color w:val="1B365D"/>
        </w:rPr>
        <w:t xml:space="preserve">• Layer 3: Statutory Knowledge Retrieval Engine (BM25 + Authority Ranking): </w:t>
      </w:r>
      <w:r>
        <w:t>Indexes 4,016 statutory corpus chunks across Indian patent law and biodiversity rules. Uses hierarchical authority weighting (Level 1: Parliamentary Acts &gt; Level 2: Statutory Rules &gt; Level 3: Guidelines &gt; Level 4: Gazette Notifications) to prioritize core legislative provisions over administrative notes.</w:t>
      </w:r>
    </w:p>
    <w:p>
      <w:pPr>
        <w:spacing w:after="80"/>
        <w:ind w:left="288"/>
      </w:pPr>
      <w:r>
        <w:rPr>
          <w:b/>
          <w:color w:val="1B365D"/>
        </w:rPr>
        <w:t xml:space="preserve">• Layer 4: LLM Generation &amp; Confidence Scoring Engine: </w:t>
      </w:r>
      <w:r>
        <w:t>Synthesizes grounded legal guidance exclusively based on retrieved statutory snippets. Computes confidence scores, triggers abstention when insufficient statutory precedent exists, and flags cases for expert escalation.</w:t>
      </w:r>
    </w:p>
    <w:p>
      <w:pPr>
        <w:spacing w:after="80"/>
        <w:ind w:left="288"/>
      </w:pPr>
      <w:r>
        <w:rPr>
          <w:b/>
          <w:color w:val="1B365D"/>
        </w:rPr>
        <w:t xml:space="preserve">• Layer 5: Persistence &amp; Audit Layer (Supabase PostgreSQL): </w:t>
      </w:r>
      <w:r>
        <w:t>Enforces Row Level Security (RLS) policies to isolate citizen dossiers while allowing assigned AYUSH IP attorneys to access submitted evidence, draft opinions, and endorse filings.</w:t>
      </w:r>
    </w:p>
    <w:p>
      <w:pPr>
        <w:spacing w:before="240" w:after="80"/>
      </w:pPr>
      <w:r>
        <w:rPr>
          <w:b/>
          <w:color w:val="0D9488"/>
          <w:sz w:val="25"/>
        </w:rPr>
        <w:t>Step-by-Step Development &amp; Engineering Methodology:</w:t>
      </w:r>
    </w:p>
    <w:p>
      <w:pPr>
        <w:spacing w:after="60"/>
        <w:ind w:left="288"/>
      </w:pPr>
      <w:r>
        <w:rPr>
          <w:b/>
          <w:color w:val="0D9488"/>
        </w:rPr>
        <w:t xml:space="preserve">✦ Step 1: Statutory Corpus Curation &amp; Pre-processing: </w:t>
      </w:r>
      <w:r>
        <w:t>Compiled and structured 4,016 legal provisions from Patents Act 1970, Patent Rules 2003, BDA 2002, AYUSH guidelines, and TKDL classifications into clean chunked schemas.</w:t>
      </w:r>
    </w:p>
    <w:p>
      <w:pPr>
        <w:spacing w:after="60"/>
        <w:ind w:left="288"/>
      </w:pPr>
      <w:r>
        <w:rPr>
          <w:b/>
          <w:color w:val="0D9488"/>
        </w:rPr>
        <w:t xml:space="preserve">✦ Step 2: Retrieval &amp; RRF Ranking Algorithm Implementation: </w:t>
      </w:r>
      <w:r>
        <w:t>Built BM25 inverted index with tokenizers and custom hierarchical scoring formulas that combine keyword relevance with legal authority ranks.</w:t>
      </w:r>
    </w:p>
    <w:p>
      <w:pPr>
        <w:spacing w:after="60"/>
        <w:ind w:left="288"/>
      </w:pPr>
      <w:r>
        <w:rPr>
          <w:b/>
          <w:color w:val="0D9488"/>
        </w:rPr>
        <w:t xml:space="preserve">✦ Step 3: Database Design &amp; RLS Security Configuration: </w:t>
      </w:r>
      <w:r>
        <w:t>Architected Supabase PostgreSQL schema with 10 tables, relational foreign keys, cascade deletes, and security policies.</w:t>
      </w:r>
    </w:p>
    <w:p>
      <w:pPr>
        <w:spacing w:after="60"/>
        <w:ind w:left="288"/>
      </w:pPr>
      <w:r>
        <w:rPr>
          <w:b/>
          <w:color w:val="0D9488"/>
        </w:rPr>
        <w:t xml:space="preserve">✦ Step 4: FastAPI REST API &amp; Integration Testing: </w:t>
      </w:r>
      <w:r>
        <w:t>Constructed asynchronous route handlers for `/query`, `/cases`, `/escalate`, and `/expert` with comprehensive test coverage.</w:t>
      </w:r>
    </w:p>
    <w:p>
      <w:pPr>
        <w:spacing w:after="60"/>
        <w:ind w:left="288"/>
      </w:pPr>
      <w:r>
        <w:rPr>
          <w:b/>
          <w:color w:val="0D9488"/>
        </w:rPr>
        <w:t xml:space="preserve">✦ Step 5: React/Vite Frontend &amp; Glassmorphism Design System: </w:t>
      </w:r>
      <w:r>
        <w:t>Developed modern, responsive UI with Lucide icons, avatar dropdowns, 5-step Case Builder wizards, and Recharts metrics.</w:t>
      </w:r>
    </w:p>
    <w:p>
      <w:pPr>
        <w:spacing w:after="60"/>
        <w:ind w:left="288"/>
      </w:pPr>
      <w:r>
        <w:rPr>
          <w:b/>
          <w:color w:val="0D9488"/>
        </w:rPr>
        <w:t xml:space="preserve">✦ Step 6: Multilingual (i18n) Engine &amp; Supabase Auth Decoupling: </w:t>
      </w:r>
      <w:r>
        <w:t>Configured i18next dictionaries for English, Hindi, Marathi, and Gujarati; ensured zero-blocking login/signup for immediate dashboard access.</w:t>
      </w:r>
    </w:p>
    <w:p>
      <w:pPr>
        <w:spacing w:after="60"/>
        <w:ind w:left="288"/>
      </w:pPr>
      <w:r>
        <w:rPr>
          <w:b/>
          <w:color w:val="0D9488"/>
        </w:rPr>
        <w:t xml:space="preserve">✦ Step 7: Cloud CI/CD Deployment &amp; Production Verification: </w:t>
      </w:r>
      <w:r>
        <w:t>Deployed frontend to Vercel (with SPA rewrite routing) and backend to Render container; verified end-to-end user journeys live.</w:t>
      </w:r>
    </w:p>
    <w:p>
      <w:pPr>
        <w:spacing w:after="240"/>
      </w:pPr>
    </w:p>
    <w:p>
      <w:pPr>
        <w:spacing w:before="360" w:after="120"/>
      </w:pPr>
      <w:r>
        <w:rPr>
          <w:b/>
          <w:color w:val="1B365D"/>
          <w:sz w:val="32"/>
        </w:rPr>
        <w:t>4. Core Functional Modules &amp; Features</w:t>
      </w:r>
    </w:p>
    <w:p>
      <w:pPr>
        <w:spacing w:before="0" w:after="160"/>
      </w:pPr>
      <w:r>
        <w:rPr>
          <w:color w:val="0D9488"/>
          <w:sz w:val="16"/>
        </w:rPr>
        <w:t>―――――――――――――――――――――――――――――――――――――――――――――</w:t>
      </w:r>
    </w:p>
    <w:p>
      <w:pPr>
        <w:spacing w:before="240" w:after="80"/>
      </w:pPr>
      <w:r>
        <w:rPr>
          <w:b/>
          <w:color w:val="0D9488"/>
          <w:sz w:val="25"/>
        </w:rPr>
        <w:t>1. Intelligent Statutory Ask &amp; Answer Portal (/ask, /answer)</w:t>
      </w:r>
    </w:p>
    <w:p>
      <w:pPr>
        <w:spacing w:after="120"/>
        <w:ind w:left="288"/>
      </w:pPr>
      <w:r>
        <w:t>Allows innovators to ask free-form IP and regulatory questions (e.g., 'Can I patent an herbal extract for diabetes using Curcuma longa?'). The AI responds with grounded legal interpretations, actionable next steps, confidence scores, and clickable statutory citations showing exact act sections and legal text snippets.</w:t>
      </w:r>
    </w:p>
    <w:p>
      <w:pPr>
        <w:spacing w:before="240" w:after="80"/>
      </w:pPr>
      <w:r>
        <w:rPr>
          <w:b/>
          <w:color w:val="0D9488"/>
          <w:sz w:val="25"/>
        </w:rPr>
        <w:t>2. 5-Step Guided Case Builder Engine (/case-builder)</w:t>
      </w:r>
    </w:p>
    <w:p>
      <w:pPr>
        <w:spacing w:after="120"/>
        <w:ind w:left="288"/>
      </w:pPr>
      <w:r>
        <w:t>An interactive wizard that guides inventors through formulating an IP protection strategy:</w:t>
        <w:br/>
        <w:t xml:space="preserve">  • Step 1: Product &amp; Invention Basics (Title, summary, applicant type: startup, MSME, individual)</w:t>
        <w:br/>
        <w:t xml:space="preserve">  • Step 2: Biological &amp; Traditional Knowledge Classification (Identifies Indian biological sources, Section 3(p) risks, and TK involvement)</w:t>
        <w:br/>
        <w:t xml:space="preserve">  • Step 3: Formulation &amp; Process Technicality (Single herb vs. polyherbal, novel extraction methods, synergistic claims)</w:t>
        <w:br/>
        <w:t xml:space="preserve">  • Step 4: Commercialization &amp; Export Intent (Identifies foreign filing licenses, Form I / Form III NBA requirements)</w:t>
        <w:br/>
        <w:t xml:space="preserve">  • Step 5: Statutory Assessment Report &amp; Dossier Generation (Outputs complete patentability roadmap, ABS checklist, and exportable PDF case dossier).</w:t>
      </w:r>
    </w:p>
    <w:p>
      <w:pPr>
        <w:spacing w:before="240" w:after="80"/>
      </w:pPr>
      <w:r>
        <w:rPr>
          <w:b/>
          <w:color w:val="0D9488"/>
          <w:sz w:val="25"/>
        </w:rPr>
        <w:t>3. Section 3(p) Traditional Knowledge Classifier (/classifier)</w:t>
      </w:r>
    </w:p>
    <w:p>
      <w:pPr>
        <w:spacing w:after="120"/>
        <w:ind w:left="288"/>
      </w:pPr>
      <w:r>
        <w:t>A dedicated diagnostic tool that tests herbal formulations against Section 3(p) disqualification criteria. It provides tactical recommendations (e.g., proving quantitative synergy under Section 3(e) or claiming novel drug delivery systems) to bypass 3(p) objections.</w:t>
      </w:r>
    </w:p>
    <w:p>
      <w:pPr>
        <w:spacing w:before="240" w:after="80"/>
      </w:pPr>
      <w:r>
        <w:rPr>
          <w:b/>
          <w:color w:val="0D9488"/>
          <w:sz w:val="25"/>
        </w:rPr>
        <w:t>4. Prior Art &amp; TKDL Diagnostic Assistant (/prior-art)</w:t>
      </w:r>
    </w:p>
    <w:p>
      <w:pPr>
        <w:spacing w:after="120"/>
        <w:ind w:left="288"/>
      </w:pPr>
      <w:r>
        <w:t>Assists inventors in identifying potential prior art across classical AYUSH compendiums and published patent databases before investing significant capital in patent filings.</w:t>
      </w:r>
    </w:p>
    <w:p>
      <w:pPr>
        <w:spacing w:before="240" w:after="80"/>
      </w:pPr>
      <w:r>
        <w:rPr>
          <w:b/>
          <w:color w:val="0D9488"/>
          <w:sz w:val="25"/>
        </w:rPr>
        <w:t>5. National Biodiversity Authority (NBA) ABS Navigator (/abs)</w:t>
      </w:r>
    </w:p>
    <w:p>
      <w:pPr>
        <w:spacing w:after="120"/>
        <w:ind w:left="288"/>
      </w:pPr>
      <w:r>
        <w:t>Determines exact compliance obligations under the Biological Diversity Act 2002. Outlines whether Form I (Access by foreign entities), Form II (Transfer of research results), Form III (Applying for IP rights on biological resources), or Form IV (Third-party commercial transfer) is legally mandatory.</w:t>
      </w:r>
    </w:p>
    <w:p>
      <w:pPr>
        <w:spacing w:before="240" w:after="80"/>
      </w:pPr>
      <w:r>
        <w:rPr>
          <w:b/>
          <w:color w:val="0D9488"/>
          <w:sz w:val="25"/>
        </w:rPr>
        <w:t>6. Human-in-the-Loop Expert Portal (/expert/dashboard, /expert/cases/:id)</w:t>
      </w:r>
    </w:p>
    <w:p>
      <w:pPr>
        <w:spacing w:after="120"/>
        <w:ind w:left="288"/>
      </w:pPr>
      <w:r>
        <w:t>A secure workspace for certified AYUSH IP attorneys and patent agents to inspect AI-generated case dossiers, modify legal opinions, endorse filing strategies, and provide direct advisory feedback to citizens.</w:t>
      </w:r>
    </w:p>
    <w:p>
      <w:pPr>
        <w:spacing w:before="240" w:after="80"/>
      </w:pPr>
      <w:r>
        <w:rPr>
          <w:b/>
          <w:color w:val="0D9488"/>
          <w:sz w:val="25"/>
        </w:rPr>
        <w:t>7. Citizen Dashboard &amp; Real-Time Analytics (/dashboard)</w:t>
      </w:r>
    </w:p>
    <w:p>
      <w:pPr>
        <w:spacing w:after="120"/>
        <w:ind w:left="288"/>
      </w:pPr>
      <w:r>
        <w:t>A centralized control center featuring key performance metrics (Active Cases, Pending Approvals, Ready Filings, ABS Clearances), case status timelines, unread notifications, and quick-action shortcuts.</w:t>
      </w:r>
    </w:p>
    <w:p>
      <w:pPr>
        <w:spacing w:before="240" w:after="80"/>
      </w:pPr>
      <w:r>
        <w:rPr>
          <w:b/>
          <w:color w:val="0D9488"/>
          <w:sz w:val="25"/>
        </w:rPr>
        <w:t>8. 100% Multilingual Localization Engine</w:t>
      </w:r>
    </w:p>
    <w:p>
      <w:pPr>
        <w:spacing w:after="120"/>
        <w:ind w:left="288"/>
      </w:pPr>
      <w:r>
        <w:t>Seamless one-click language toggle across the entire dashboard and navigation in English, Hindi (हिंदी), Marathi (मराठी), and Gujarati (ગુજરાતી), ensuring regional innovators can easily protect their traditional innovations.</w:t>
      </w:r>
    </w:p>
    <w:p>
      <w:pPr>
        <w:spacing w:after="240"/>
      </w:pPr>
    </w:p>
    <w:p>
      <w:pPr>
        <w:spacing w:before="360" w:after="120"/>
      </w:pPr>
      <w:r>
        <w:rPr>
          <w:b/>
          <w:color w:val="1B365D"/>
          <w:sz w:val="32"/>
        </w:rPr>
        <w:t>5. Database Schema &amp; Supabase Architecture</w:t>
      </w:r>
    </w:p>
    <w:p>
      <w:pPr>
        <w:spacing w:before="0" w:after="160"/>
      </w:pPr>
      <w:r>
        <w:rPr>
          <w:color w:val="0D9488"/>
          <w:sz w:val="16"/>
        </w:rPr>
        <w:t>―――――――――――――――――――――――――――――――――――――――――――――</w:t>
      </w:r>
    </w:p>
    <w:p>
      <w:pPr>
        <w:spacing w:line="276" w:lineRule="auto"/>
      </w:pPr>
      <w:r>
        <w:t>The persistence layer is implemented in Supabase Cloud PostgreSQL with 10 structured tables and strict Row Level Security (RLS) policies: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365D"/>
            <w:tcMar>
              <w:top w:w="100" w:type="dxa"/>
              <w:bottom w:w="100" w:type="dxa"/>
              <w:left w:w="100" w:type="dxa"/>
              <w:right w:w="100" w:type="dxa"/>
            </w:tcMar>
          </w:tcPr>
          <w:p>
            <w:pPr>
              <w:jc w:val="center"/>
            </w:pPr>
            <w:r>
              <w:rPr>
                <w:b/>
                <w:color w:val="FFFFFF"/>
              </w:rPr>
              <w:t>Table Name</w:t>
            </w:r>
          </w:p>
        </w:tc>
        <w:tc>
          <w:tcPr>
            <w:tcW w:type="dxa" w:w="3312"/>
            <w:shd w:fill="1B365D"/>
            <w:tcMar>
              <w:top w:w="100" w:type="dxa"/>
              <w:bottom w:w="100" w:type="dxa"/>
              <w:left w:w="100" w:type="dxa"/>
              <w:right w:w="100" w:type="dxa"/>
            </w:tcMar>
          </w:tcPr>
          <w:p>
            <w:pPr>
              <w:jc w:val="center"/>
            </w:pPr>
            <w:r>
              <w:rPr>
                <w:b/>
                <w:color w:val="FFFFFF"/>
              </w:rPr>
              <w:t>Primary Fields &amp; Types</w:t>
            </w:r>
          </w:p>
        </w:tc>
        <w:tc>
          <w:tcPr>
            <w:tcW w:type="dxa" w:w="4320"/>
            <w:shd w:fill="1B365D"/>
            <w:tcMar>
              <w:top w:w="100" w:type="dxa"/>
              <w:bottom w:w="100" w:type="dxa"/>
              <w:left w:w="100" w:type="dxa"/>
              <w:right w:w="100" w:type="dxa"/>
            </w:tcMar>
          </w:tcPr>
          <w:p>
            <w:pPr>
              <w:jc w:val="center"/>
            </w:pPr>
            <w:r>
              <w:rPr>
                <w:b/>
                <w:color w:val="FFFFFF"/>
              </w:rPr>
              <w:t>Description &amp; Purpose</w:t>
            </w:r>
          </w:p>
        </w:tc>
      </w:tr>
      <w:tr>
        <w:tc>
          <w:tcPr>
            <w:tcW w:type="dxa" w:w="2160"/>
            <w:shd w:fill="F8FAFC"/>
            <w:tcMar>
              <w:top w:w="80" w:type="dxa"/>
              <w:bottom w:w="80" w:type="dxa"/>
              <w:left w:w="100" w:type="dxa"/>
              <w:right w:w="100" w:type="dxa"/>
            </w:tcMar>
          </w:tcPr>
          <w:p>
            <w:r>
              <w:rPr>
                <w:b/>
                <w:color w:val="1B365D"/>
                <w:sz w:val="19"/>
              </w:rPr>
              <w:t>profiles</w:t>
            </w:r>
          </w:p>
        </w:tc>
        <w:tc>
          <w:tcPr>
            <w:tcW w:type="dxa" w:w="3312"/>
            <w:shd w:fill="F8FAFC"/>
            <w:tcMar>
              <w:top w:w="80" w:type="dxa"/>
              <w:bottom w:w="80" w:type="dxa"/>
              <w:left w:w="100" w:type="dxa"/>
              <w:right w:w="100" w:type="dxa"/>
            </w:tcMar>
          </w:tcPr>
          <w:p>
            <w:r>
              <w:rPr>
                <w:sz w:val="19"/>
              </w:rPr>
              <w:t>id (UUID PK), email (TEXT), full_name (TEXT), role (USER / EXPERT / ADMIN)</w:t>
            </w:r>
          </w:p>
        </w:tc>
        <w:tc>
          <w:tcPr>
            <w:tcW w:type="dxa" w:w="4320"/>
            <w:shd w:fill="F8FAFC"/>
            <w:tcMar>
              <w:top w:w="80" w:type="dxa"/>
              <w:bottom w:w="80" w:type="dxa"/>
              <w:left w:w="100" w:type="dxa"/>
              <w:right w:w="100" w:type="dxa"/>
            </w:tcMar>
          </w:tcPr>
          <w:p>
            <w:r>
              <w:rPr>
                <w:sz w:val="19"/>
              </w:rPr>
              <w:t>Master user table tracking account credentials, personal details, and RBAC roles.</w:t>
            </w:r>
          </w:p>
        </w:tc>
      </w:tr>
      <w:tr>
        <w:tc>
          <w:tcPr>
            <w:tcW w:type="dxa" w:w="2160"/>
            <w:shd w:fill="FFFFFF"/>
            <w:tcMar>
              <w:top w:w="80" w:type="dxa"/>
              <w:bottom w:w="80" w:type="dxa"/>
              <w:left w:w="100" w:type="dxa"/>
              <w:right w:w="100" w:type="dxa"/>
            </w:tcMar>
          </w:tcPr>
          <w:p>
            <w:r>
              <w:rPr>
                <w:b/>
                <w:color w:val="1B365D"/>
                <w:sz w:val="19"/>
              </w:rPr>
              <w:t>expert_profiles</w:t>
            </w:r>
          </w:p>
        </w:tc>
        <w:tc>
          <w:tcPr>
            <w:tcW w:type="dxa" w:w="3312"/>
            <w:shd w:fill="FFFFFF"/>
            <w:tcMar>
              <w:top w:w="80" w:type="dxa"/>
              <w:bottom w:w="80" w:type="dxa"/>
              <w:left w:w="100" w:type="dxa"/>
              <w:right w:w="100" w:type="dxa"/>
            </w:tcMar>
          </w:tcPr>
          <w:p>
            <w:r>
              <w:rPr>
                <w:sz w:val="19"/>
              </w:rPr>
              <w:t>id (UUID FK), domain_specializations (TEXT[]), active_cases_count, is_available</w:t>
            </w:r>
          </w:p>
        </w:tc>
        <w:tc>
          <w:tcPr>
            <w:tcW w:type="dxa" w:w="4320"/>
            <w:shd w:fill="FFFFFF"/>
            <w:tcMar>
              <w:top w:w="80" w:type="dxa"/>
              <w:bottom w:w="80" w:type="dxa"/>
              <w:left w:w="100" w:type="dxa"/>
              <w:right w:w="100" w:type="dxa"/>
            </w:tcMar>
          </w:tcPr>
          <w:p>
            <w:r>
              <w:rPr>
                <w:sz w:val="19"/>
              </w:rPr>
              <w:t>Stores expert credentials, case capacity, and AYUSH domain specializations.</w:t>
            </w:r>
          </w:p>
        </w:tc>
      </w:tr>
      <w:tr>
        <w:tc>
          <w:tcPr>
            <w:tcW w:type="dxa" w:w="2160"/>
            <w:shd w:fill="F8FAFC"/>
            <w:tcMar>
              <w:top w:w="80" w:type="dxa"/>
              <w:bottom w:w="80" w:type="dxa"/>
              <w:left w:w="100" w:type="dxa"/>
              <w:right w:w="100" w:type="dxa"/>
            </w:tcMar>
          </w:tcPr>
          <w:p>
            <w:r>
              <w:rPr>
                <w:b/>
                <w:color w:val="1B365D"/>
                <w:sz w:val="19"/>
              </w:rPr>
              <w:t>cases</w:t>
            </w:r>
          </w:p>
        </w:tc>
        <w:tc>
          <w:tcPr>
            <w:tcW w:type="dxa" w:w="3312"/>
            <w:shd w:fill="F8FAFC"/>
            <w:tcMar>
              <w:top w:w="80" w:type="dxa"/>
              <w:bottom w:w="80" w:type="dxa"/>
              <w:left w:w="100" w:type="dxa"/>
              <w:right w:w="100" w:type="dxa"/>
            </w:tcMar>
          </w:tcPr>
          <w:p>
            <w:r>
              <w:rPr>
                <w:sz w:val="19"/>
              </w:rPr>
              <w:t>id (TEXT PK), user_id (UUID FK), title, status (SUBMITTED, IN_REVIEW, CLOSED), expert_id</w:t>
            </w:r>
          </w:p>
        </w:tc>
        <w:tc>
          <w:tcPr>
            <w:tcW w:type="dxa" w:w="4320"/>
            <w:shd w:fill="F8FAFC"/>
            <w:tcMar>
              <w:top w:w="80" w:type="dxa"/>
              <w:bottom w:w="80" w:type="dxa"/>
              <w:left w:w="100" w:type="dxa"/>
              <w:right w:w="100" w:type="dxa"/>
            </w:tcMar>
          </w:tcPr>
          <w:p>
            <w:r>
              <w:rPr>
                <w:sz w:val="19"/>
              </w:rPr>
              <w:t>Primary case tracker maintaining status lifecycle and expert assignments.</w:t>
            </w:r>
          </w:p>
        </w:tc>
      </w:tr>
      <w:tr>
        <w:tc>
          <w:tcPr>
            <w:tcW w:type="dxa" w:w="2160"/>
            <w:shd w:fill="FFFFFF"/>
            <w:tcMar>
              <w:top w:w="80" w:type="dxa"/>
              <w:bottom w:w="80" w:type="dxa"/>
              <w:left w:w="100" w:type="dxa"/>
              <w:right w:w="100" w:type="dxa"/>
            </w:tcMar>
          </w:tcPr>
          <w:p>
            <w:r>
              <w:rPr>
                <w:b/>
                <w:color w:val="1B365D"/>
                <w:sz w:val="19"/>
              </w:rPr>
              <w:t>case_builder_data</w:t>
            </w:r>
          </w:p>
        </w:tc>
        <w:tc>
          <w:tcPr>
            <w:tcW w:type="dxa" w:w="3312"/>
            <w:shd w:fill="FFFFFF"/>
            <w:tcMar>
              <w:top w:w="80" w:type="dxa"/>
              <w:bottom w:w="80" w:type="dxa"/>
              <w:left w:w="100" w:type="dxa"/>
              <w:right w:w="100" w:type="dxa"/>
            </w:tcMar>
          </w:tcPr>
          <w:p>
            <w:r>
              <w:rPr>
                <w:sz w:val="19"/>
              </w:rPr>
              <w:t>case_id (FK), product_name, biological_material (BOOL), tk_involved (BOOL), ingredients (JSONB)</w:t>
            </w:r>
          </w:p>
        </w:tc>
        <w:tc>
          <w:tcPr>
            <w:tcW w:type="dxa" w:w="4320"/>
            <w:shd w:fill="FFFFFF"/>
            <w:tcMar>
              <w:top w:w="80" w:type="dxa"/>
              <w:bottom w:w="80" w:type="dxa"/>
              <w:left w:w="100" w:type="dxa"/>
              <w:right w:w="100" w:type="dxa"/>
            </w:tcMar>
          </w:tcPr>
          <w:p>
            <w:r>
              <w:rPr>
                <w:sz w:val="19"/>
              </w:rPr>
              <w:t>Full technical dossier of the invention submitted via the 5-step wizard.</w:t>
            </w:r>
          </w:p>
        </w:tc>
      </w:tr>
      <w:tr>
        <w:tc>
          <w:tcPr>
            <w:tcW w:type="dxa" w:w="2160"/>
            <w:shd w:fill="F8FAFC"/>
            <w:tcMar>
              <w:top w:w="80" w:type="dxa"/>
              <w:bottom w:w="80" w:type="dxa"/>
              <w:left w:w="100" w:type="dxa"/>
              <w:right w:w="100" w:type="dxa"/>
            </w:tcMar>
          </w:tcPr>
          <w:p>
            <w:r>
              <w:rPr>
                <w:b/>
                <w:color w:val="1B365D"/>
                <w:sz w:val="19"/>
              </w:rPr>
              <w:t>ai_answers</w:t>
            </w:r>
          </w:p>
        </w:tc>
        <w:tc>
          <w:tcPr>
            <w:tcW w:type="dxa" w:w="3312"/>
            <w:shd w:fill="F8FAFC"/>
            <w:tcMar>
              <w:top w:w="80" w:type="dxa"/>
              <w:bottom w:w="80" w:type="dxa"/>
              <w:left w:w="100" w:type="dxa"/>
              <w:right w:w="100" w:type="dxa"/>
            </w:tcMar>
          </w:tcPr>
          <w:p>
            <w:r>
              <w:rPr>
                <w:sz w:val="19"/>
              </w:rPr>
              <w:t>id (UUID PK), case_id (FK), question, answer_text, confidence_score, confidence_level</w:t>
            </w:r>
          </w:p>
        </w:tc>
        <w:tc>
          <w:tcPr>
            <w:tcW w:type="dxa" w:w="4320"/>
            <w:shd w:fill="F8FAFC"/>
            <w:tcMar>
              <w:top w:w="80" w:type="dxa"/>
              <w:bottom w:w="80" w:type="dxa"/>
              <w:left w:w="100" w:type="dxa"/>
              <w:right w:w="100" w:type="dxa"/>
            </w:tcMar>
          </w:tcPr>
          <w:p>
            <w:r>
              <w:rPr>
                <w:sz w:val="19"/>
              </w:rPr>
              <w:t>Stores AI RAG generated legal opinions, confidence ratings, and reasoning.</w:t>
            </w:r>
          </w:p>
        </w:tc>
      </w:tr>
      <w:tr>
        <w:tc>
          <w:tcPr>
            <w:tcW w:type="dxa" w:w="2160"/>
            <w:shd w:fill="FFFFFF"/>
            <w:tcMar>
              <w:top w:w="80" w:type="dxa"/>
              <w:bottom w:w="80" w:type="dxa"/>
              <w:left w:w="100" w:type="dxa"/>
              <w:right w:w="100" w:type="dxa"/>
            </w:tcMar>
          </w:tcPr>
          <w:p>
            <w:r>
              <w:rPr>
                <w:b/>
                <w:color w:val="1B365D"/>
                <w:sz w:val="19"/>
              </w:rPr>
              <w:t>answer_citations</w:t>
            </w:r>
          </w:p>
        </w:tc>
        <w:tc>
          <w:tcPr>
            <w:tcW w:type="dxa" w:w="3312"/>
            <w:shd w:fill="FFFFFF"/>
            <w:tcMar>
              <w:top w:w="80" w:type="dxa"/>
              <w:bottom w:w="80" w:type="dxa"/>
              <w:left w:w="100" w:type="dxa"/>
              <w:right w:w="100" w:type="dxa"/>
            </w:tcMar>
          </w:tcPr>
          <w:p>
            <w:r>
              <w:rPr>
                <w:sz w:val="19"/>
              </w:rPr>
              <w:t>id (UUID PK), ai_answer_id (FK), citation_id, title, section, act, snippet, authority_level</w:t>
            </w:r>
          </w:p>
        </w:tc>
        <w:tc>
          <w:tcPr>
            <w:tcW w:type="dxa" w:w="4320"/>
            <w:shd w:fill="FFFFFF"/>
            <w:tcMar>
              <w:top w:w="80" w:type="dxa"/>
              <w:bottom w:w="80" w:type="dxa"/>
              <w:left w:w="100" w:type="dxa"/>
              <w:right w:w="100" w:type="dxa"/>
            </w:tcMar>
          </w:tcPr>
          <w:p>
            <w:r>
              <w:rPr>
                <w:sz w:val="19"/>
              </w:rPr>
              <w:t>Verifiable statutory source citations linked directly to each legal statement.</w:t>
            </w:r>
          </w:p>
        </w:tc>
      </w:tr>
      <w:tr>
        <w:tc>
          <w:tcPr>
            <w:tcW w:type="dxa" w:w="2160"/>
            <w:shd w:fill="F8FAFC"/>
            <w:tcMar>
              <w:top w:w="80" w:type="dxa"/>
              <w:bottom w:w="80" w:type="dxa"/>
              <w:left w:w="100" w:type="dxa"/>
              <w:right w:w="100" w:type="dxa"/>
            </w:tcMar>
          </w:tcPr>
          <w:p>
            <w:r>
              <w:rPr>
                <w:b/>
                <w:color w:val="1B365D"/>
                <w:sz w:val="19"/>
              </w:rPr>
              <w:t>case_events</w:t>
            </w:r>
          </w:p>
        </w:tc>
        <w:tc>
          <w:tcPr>
            <w:tcW w:type="dxa" w:w="3312"/>
            <w:shd w:fill="F8FAFC"/>
            <w:tcMar>
              <w:top w:w="80" w:type="dxa"/>
              <w:bottom w:w="80" w:type="dxa"/>
              <w:left w:w="100" w:type="dxa"/>
              <w:right w:w="100" w:type="dxa"/>
            </w:tcMar>
          </w:tcPr>
          <w:p>
            <w:r>
              <w:rPr>
                <w:sz w:val="19"/>
              </w:rPr>
              <w:t>id (UUID PK), case_id (FK), event_type, title, description, actor_role, created_at</w:t>
            </w:r>
          </w:p>
        </w:tc>
        <w:tc>
          <w:tcPr>
            <w:tcW w:type="dxa" w:w="4320"/>
            <w:shd w:fill="F8FAFC"/>
            <w:tcMar>
              <w:top w:w="80" w:type="dxa"/>
              <w:bottom w:w="80" w:type="dxa"/>
              <w:left w:w="100" w:type="dxa"/>
              <w:right w:w="100" w:type="dxa"/>
            </w:tcMar>
          </w:tcPr>
          <w:p>
            <w:r>
              <w:rPr>
                <w:sz w:val="19"/>
              </w:rPr>
              <w:t>Immutable chronological audit timeline tracking every user and expert action.</w:t>
            </w:r>
          </w:p>
        </w:tc>
      </w:tr>
      <w:tr>
        <w:tc>
          <w:tcPr>
            <w:tcW w:type="dxa" w:w="2160"/>
            <w:shd w:fill="FFFFFF"/>
            <w:tcMar>
              <w:top w:w="80" w:type="dxa"/>
              <w:bottom w:w="80" w:type="dxa"/>
              <w:left w:w="100" w:type="dxa"/>
              <w:right w:w="100" w:type="dxa"/>
            </w:tcMar>
          </w:tcPr>
          <w:p>
            <w:r>
              <w:rPr>
                <w:b/>
                <w:color w:val="1B365D"/>
                <w:sz w:val="19"/>
              </w:rPr>
              <w:t>review_requests &amp; expert_reviews</w:t>
            </w:r>
          </w:p>
        </w:tc>
        <w:tc>
          <w:tcPr>
            <w:tcW w:type="dxa" w:w="3312"/>
            <w:shd w:fill="FFFFFF"/>
            <w:tcMar>
              <w:top w:w="80" w:type="dxa"/>
              <w:bottom w:w="80" w:type="dxa"/>
              <w:left w:w="100" w:type="dxa"/>
              <w:right w:w="100" w:type="dxa"/>
            </w:tcMar>
          </w:tcPr>
          <w:p>
            <w:r>
              <w:rPr>
                <w:sz w:val="19"/>
              </w:rPr>
              <w:t>case_id (FK), expert_id (FK), action (ENDORSE / MODIFY), expert_opinion, legal_basis</w:t>
            </w:r>
          </w:p>
        </w:tc>
        <w:tc>
          <w:tcPr>
            <w:tcW w:type="dxa" w:w="4320"/>
            <w:shd w:fill="FFFFFF"/>
            <w:tcMar>
              <w:top w:w="80" w:type="dxa"/>
              <w:bottom w:w="80" w:type="dxa"/>
              <w:left w:w="100" w:type="dxa"/>
              <w:right w:w="100" w:type="dxa"/>
            </w:tcMar>
          </w:tcPr>
          <w:p>
            <w:r>
              <w:rPr>
                <w:sz w:val="19"/>
              </w:rPr>
              <w:t>Human-in-the-loop expert reviews, modifications, endorsements, and legal commentary.</w:t>
            </w:r>
          </w:p>
        </w:tc>
      </w:tr>
      <w:tr>
        <w:tc>
          <w:tcPr>
            <w:tcW w:type="dxa" w:w="2160"/>
            <w:shd w:fill="F8FAFC"/>
            <w:tcMar>
              <w:top w:w="80" w:type="dxa"/>
              <w:bottom w:w="80" w:type="dxa"/>
              <w:left w:w="100" w:type="dxa"/>
              <w:right w:w="100" w:type="dxa"/>
            </w:tcMar>
          </w:tcPr>
          <w:p>
            <w:r>
              <w:rPr>
                <w:b/>
                <w:color w:val="1B365D"/>
                <w:sz w:val="19"/>
              </w:rPr>
              <w:t>notifications</w:t>
            </w:r>
          </w:p>
        </w:tc>
        <w:tc>
          <w:tcPr>
            <w:tcW w:type="dxa" w:w="3312"/>
            <w:shd w:fill="F8FAFC"/>
            <w:tcMar>
              <w:top w:w="80" w:type="dxa"/>
              <w:bottom w:w="80" w:type="dxa"/>
              <w:left w:w="100" w:type="dxa"/>
              <w:right w:w="100" w:type="dxa"/>
            </w:tcMar>
          </w:tcPr>
          <w:p>
            <w:r>
              <w:rPr>
                <w:sz w:val="19"/>
              </w:rPr>
              <w:t>id (UUID PK), user_id (FK), case_id (FK), title, message, type, read (BOOL)</w:t>
            </w:r>
          </w:p>
        </w:tc>
        <w:tc>
          <w:tcPr>
            <w:tcW w:type="dxa" w:w="4320"/>
            <w:shd w:fill="F8FAFC"/>
            <w:tcMar>
              <w:top w:w="80" w:type="dxa"/>
              <w:bottom w:w="80" w:type="dxa"/>
              <w:left w:w="100" w:type="dxa"/>
              <w:right w:w="100" w:type="dxa"/>
            </w:tcMar>
          </w:tcPr>
          <w:p>
            <w:r>
              <w:rPr>
                <w:sz w:val="19"/>
              </w:rPr>
              <w:t>Real-time in-app notification queue alerting citizens and experts of case updates.</w:t>
            </w:r>
          </w:p>
        </w:tc>
      </w:tr>
      <w:tr>
        <w:tc>
          <w:tcPr>
            <w:tcW w:type="dxa" w:w="2160"/>
            <w:shd w:fill="FFFFFF"/>
            <w:tcMar>
              <w:top w:w="80" w:type="dxa"/>
              <w:bottom w:w="80" w:type="dxa"/>
              <w:left w:w="100" w:type="dxa"/>
              <w:right w:w="100" w:type="dxa"/>
            </w:tcMar>
          </w:tcPr>
          <w:p>
            <w:r>
              <w:rPr>
                <w:b/>
                <w:color w:val="1B365D"/>
                <w:sz w:val="19"/>
              </w:rPr>
              <w:t>audit_logs</w:t>
            </w:r>
          </w:p>
        </w:tc>
        <w:tc>
          <w:tcPr>
            <w:tcW w:type="dxa" w:w="3312"/>
            <w:shd w:fill="FFFFFF"/>
            <w:tcMar>
              <w:top w:w="80" w:type="dxa"/>
              <w:bottom w:w="80" w:type="dxa"/>
              <w:left w:w="100" w:type="dxa"/>
              <w:right w:w="100" w:type="dxa"/>
            </w:tcMar>
          </w:tcPr>
          <w:p>
            <w:r>
              <w:rPr>
                <w:sz w:val="19"/>
              </w:rPr>
              <w:t>id (UUID PK), action, actor_id, resource_type, details (JSONB), ip_address</w:t>
            </w:r>
          </w:p>
        </w:tc>
        <w:tc>
          <w:tcPr>
            <w:tcW w:type="dxa" w:w="4320"/>
            <w:shd w:fill="FFFFFF"/>
            <w:tcMar>
              <w:top w:w="80" w:type="dxa"/>
              <w:bottom w:w="80" w:type="dxa"/>
              <w:left w:w="100" w:type="dxa"/>
              <w:right w:w="100" w:type="dxa"/>
            </w:tcMar>
          </w:tcPr>
          <w:p>
            <w:r>
              <w:rPr>
                <w:sz w:val="19"/>
              </w:rPr>
              <w:t>Security and compliance audit trail logging system access and data mutations.</w:t>
            </w:r>
          </w:p>
        </w:tc>
      </w:tr>
    </w:tbl>
    <w:p>
      <w:pPr>
        <w:spacing w:after="240"/>
      </w:pPr>
    </w:p>
    <w:p>
      <w:pPr>
        <w:spacing w:before="360" w:after="120"/>
      </w:pPr>
      <w:r>
        <w:rPr>
          <w:b/>
          <w:color w:val="1B365D"/>
          <w:sz w:val="32"/>
        </w:rPr>
        <w:t>6. REST API Endpoints Specification</w:t>
      </w:r>
    </w:p>
    <w:p>
      <w:pPr>
        <w:spacing w:before="0" w:after="160"/>
      </w:pPr>
      <w:r>
        <w:rPr>
          <w:color w:val="0D9488"/>
          <w:sz w:val="16"/>
        </w:rPr>
        <w: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B365D"/>
            <w:tcMar>
              <w:top w:w="100" w:type="dxa"/>
              <w:bottom w:w="100" w:type="dxa"/>
              <w:left w:w="100" w:type="dxa"/>
              <w:right w:w="100" w:type="dxa"/>
            </w:tcMar>
          </w:tcPr>
          <w:p>
            <w:pPr>
              <w:jc w:val="center"/>
            </w:pPr>
            <w:r>
              <w:rPr>
                <w:b/>
                <w:color w:val="FFFFFF"/>
              </w:rPr>
              <w:t>Method</w:t>
            </w:r>
          </w:p>
        </w:tc>
        <w:tc>
          <w:tcPr>
            <w:tcW w:type="dxa" w:w="2880"/>
            <w:shd w:fill="1B365D"/>
            <w:tcMar>
              <w:top w:w="100" w:type="dxa"/>
              <w:bottom w:w="100" w:type="dxa"/>
              <w:left w:w="100" w:type="dxa"/>
              <w:right w:w="100" w:type="dxa"/>
            </w:tcMar>
          </w:tcPr>
          <w:p>
            <w:pPr>
              <w:jc w:val="center"/>
            </w:pPr>
            <w:r>
              <w:rPr>
                <w:b/>
                <w:color w:val="FFFFFF"/>
              </w:rPr>
              <w:t>Endpoint Route</w:t>
            </w:r>
          </w:p>
        </w:tc>
        <w:tc>
          <w:tcPr>
            <w:tcW w:type="dxa" w:w="2592"/>
            <w:shd w:fill="1B365D"/>
            <w:tcMar>
              <w:top w:w="100" w:type="dxa"/>
              <w:bottom w:w="100" w:type="dxa"/>
              <w:left w:w="100" w:type="dxa"/>
              <w:right w:w="100" w:type="dxa"/>
            </w:tcMar>
          </w:tcPr>
          <w:p>
            <w:pPr>
              <w:jc w:val="center"/>
            </w:pPr>
            <w:r>
              <w:rPr>
                <w:b/>
                <w:color w:val="FFFFFF"/>
              </w:rPr>
              <w:t>Parameters / Payload</w:t>
            </w:r>
          </w:p>
        </w:tc>
        <w:tc>
          <w:tcPr>
            <w:tcW w:type="dxa" w:w="2880"/>
            <w:shd w:fill="1B365D"/>
            <w:tcMar>
              <w:top w:w="100" w:type="dxa"/>
              <w:bottom w:w="100" w:type="dxa"/>
              <w:left w:w="100" w:type="dxa"/>
              <w:right w:w="100" w:type="dxa"/>
            </w:tcMar>
          </w:tcPr>
          <w:p>
            <w:pPr>
              <w:jc w:val="center"/>
            </w:pPr>
            <w:r>
              <w:rPr>
                <w:b/>
                <w:color w:val="FFFFFF"/>
              </w:rPr>
              <w:t>Function &amp; Response Description</w:t>
            </w:r>
          </w:p>
        </w:tc>
      </w:tr>
      <w:tr>
        <w:tc>
          <w:tcPr>
            <w:tcW w:type="dxa" w:w="1440"/>
            <w:shd w:fill="F8FAFC"/>
            <w:tcMar>
              <w:top w:w="80" w:type="dxa"/>
              <w:bottom w:w="80" w:type="dxa"/>
              <w:left w:w="100" w:type="dxa"/>
              <w:right w:w="100" w:type="dxa"/>
            </w:tcMar>
          </w:tcPr>
          <w:p>
            <w:r>
              <w:rPr>
                <w:b/>
                <w:color w:val="0D9488"/>
                <w:sz w:val="18"/>
              </w:rPr>
              <w:t>GET</w:t>
            </w:r>
          </w:p>
        </w:tc>
        <w:tc>
          <w:tcPr>
            <w:tcW w:type="dxa" w:w="2880"/>
            <w:shd w:fill="F8FAFC"/>
            <w:tcMar>
              <w:top w:w="80" w:type="dxa"/>
              <w:bottom w:w="80" w:type="dxa"/>
              <w:left w:w="100" w:type="dxa"/>
              <w:right w:w="100" w:type="dxa"/>
            </w:tcMar>
          </w:tcPr>
          <w:p>
            <w:r>
              <w:rPr>
                <w:sz w:val="18"/>
              </w:rPr>
              <w:t>/health &amp; /api/v1/health</w:t>
            </w:r>
          </w:p>
        </w:tc>
        <w:tc>
          <w:tcPr>
            <w:tcW w:type="dxa" w:w="2592"/>
            <w:shd w:fill="F8FAFC"/>
            <w:tcMar>
              <w:top w:w="80" w:type="dxa"/>
              <w:bottom w:w="80" w:type="dxa"/>
              <w:left w:w="100" w:type="dxa"/>
              <w:right w:w="100" w:type="dxa"/>
            </w:tcMar>
          </w:tcPr>
          <w:p>
            <w:r>
              <w:rPr>
                <w:sz w:val="18"/>
              </w:rPr>
              <w:t>None</w:t>
            </w:r>
          </w:p>
        </w:tc>
        <w:tc>
          <w:tcPr>
            <w:tcW w:type="dxa" w:w="2880"/>
            <w:shd w:fill="F8FAFC"/>
            <w:tcMar>
              <w:top w:w="80" w:type="dxa"/>
              <w:bottom w:w="80" w:type="dxa"/>
              <w:left w:w="100" w:type="dxa"/>
              <w:right w:w="100" w:type="dxa"/>
            </w:tcMar>
          </w:tcPr>
          <w:p>
            <w:r>
              <w:rPr>
                <w:sz w:val="18"/>
              </w:rPr>
              <w:t>Returns API health status, DB connectivity, and BM25 corpus readiness (4,016 chunks).</w:t>
            </w:r>
          </w:p>
        </w:tc>
      </w:tr>
      <w:tr>
        <w:tc>
          <w:tcPr>
            <w:tcW w:type="dxa" w:w="1440"/>
            <w:shd w:fill="FFFFFF"/>
            <w:tcMar>
              <w:top w:w="80" w:type="dxa"/>
              <w:bottom w:w="80" w:type="dxa"/>
              <w:left w:w="100" w:type="dxa"/>
              <w:right w:w="100" w:type="dxa"/>
            </w:tcMar>
          </w:tcPr>
          <w:p>
            <w:r>
              <w:rPr>
                <w:b/>
                <w:color w:val="1B365D"/>
                <w:sz w:val="18"/>
              </w:rPr>
              <w:t>POST</w:t>
            </w:r>
          </w:p>
        </w:tc>
        <w:tc>
          <w:tcPr>
            <w:tcW w:type="dxa" w:w="2880"/>
            <w:shd w:fill="FFFFFF"/>
            <w:tcMar>
              <w:top w:w="80" w:type="dxa"/>
              <w:bottom w:w="80" w:type="dxa"/>
              <w:left w:w="100" w:type="dxa"/>
              <w:right w:w="100" w:type="dxa"/>
            </w:tcMar>
          </w:tcPr>
          <w:p>
            <w:r>
              <w:rPr>
                <w:sz w:val="18"/>
              </w:rPr>
              <w:t>/api/v1/query</w:t>
            </w:r>
          </w:p>
        </w:tc>
        <w:tc>
          <w:tcPr>
            <w:tcW w:type="dxa" w:w="2592"/>
            <w:shd w:fill="FFFFFF"/>
            <w:tcMar>
              <w:top w:w="80" w:type="dxa"/>
              <w:bottom w:w="80" w:type="dxa"/>
              <w:left w:w="100" w:type="dxa"/>
              <w:right w:w="100" w:type="dxa"/>
            </w:tcMar>
          </w:tcPr>
          <w:p>
            <w:r>
              <w:rPr>
                <w:sz w:val="18"/>
              </w:rPr>
              <w:t>{ question, language, domain_filter }</w:t>
            </w:r>
          </w:p>
        </w:tc>
        <w:tc>
          <w:tcPr>
            <w:tcW w:type="dxa" w:w="2880"/>
            <w:shd w:fill="FFFFFF"/>
            <w:tcMar>
              <w:top w:w="80" w:type="dxa"/>
              <w:bottom w:w="80" w:type="dxa"/>
              <w:left w:w="100" w:type="dxa"/>
              <w:right w:w="100" w:type="dxa"/>
            </w:tcMar>
          </w:tcPr>
          <w:p>
            <w:r>
              <w:rPr>
                <w:sz w:val="18"/>
              </w:rPr>
              <w:t>Executes Statutory RAG retrieval + LLM synthesis; returns grounded answer, citations, and confidence.</w:t>
            </w:r>
          </w:p>
        </w:tc>
      </w:tr>
      <w:tr>
        <w:tc>
          <w:tcPr>
            <w:tcW w:type="dxa" w:w="1440"/>
            <w:shd w:fill="F8FAFC"/>
            <w:tcMar>
              <w:top w:w="80" w:type="dxa"/>
              <w:bottom w:w="80" w:type="dxa"/>
              <w:left w:w="100" w:type="dxa"/>
              <w:right w:w="100" w:type="dxa"/>
            </w:tcMar>
          </w:tcPr>
          <w:p>
            <w:r>
              <w:rPr>
                <w:b/>
                <w:color w:val="0D9488"/>
                <w:sz w:val="18"/>
              </w:rPr>
              <w:t>GET</w:t>
            </w:r>
          </w:p>
        </w:tc>
        <w:tc>
          <w:tcPr>
            <w:tcW w:type="dxa" w:w="2880"/>
            <w:shd w:fill="F8FAFC"/>
            <w:tcMar>
              <w:top w:w="80" w:type="dxa"/>
              <w:bottom w:w="80" w:type="dxa"/>
              <w:left w:w="100" w:type="dxa"/>
              <w:right w:w="100" w:type="dxa"/>
            </w:tcMar>
          </w:tcPr>
          <w:p>
            <w:r>
              <w:rPr>
                <w:sz w:val="18"/>
              </w:rPr>
              <w:t>/api/v1/me</w:t>
            </w:r>
          </w:p>
        </w:tc>
        <w:tc>
          <w:tcPr>
            <w:tcW w:type="dxa" w:w="2592"/>
            <w:shd w:fill="F8FAFC"/>
            <w:tcMar>
              <w:top w:w="80" w:type="dxa"/>
              <w:bottom w:w="80" w:type="dxa"/>
              <w:left w:w="100" w:type="dxa"/>
              <w:right w:w="100" w:type="dxa"/>
            </w:tcMar>
          </w:tcPr>
          <w:p>
            <w:r>
              <w:rPr>
                <w:sz w:val="18"/>
              </w:rPr>
              <w:t>Bearer Auth Token</w:t>
            </w:r>
          </w:p>
        </w:tc>
        <w:tc>
          <w:tcPr>
            <w:tcW w:type="dxa" w:w="2880"/>
            <w:shd w:fill="F8FAFC"/>
            <w:tcMar>
              <w:top w:w="80" w:type="dxa"/>
              <w:bottom w:w="80" w:type="dxa"/>
              <w:left w:w="100" w:type="dxa"/>
              <w:right w:w="100" w:type="dxa"/>
            </w:tcMar>
          </w:tcPr>
          <w:p>
            <w:r>
              <w:rPr>
                <w:sz w:val="18"/>
              </w:rPr>
              <w:t>Returns logged-in user profile, role, and permissions.</w:t>
            </w:r>
          </w:p>
        </w:tc>
      </w:tr>
      <w:tr>
        <w:tc>
          <w:tcPr>
            <w:tcW w:type="dxa" w:w="1440"/>
            <w:shd w:fill="FFFFFF"/>
            <w:tcMar>
              <w:top w:w="80" w:type="dxa"/>
              <w:bottom w:w="80" w:type="dxa"/>
              <w:left w:w="100" w:type="dxa"/>
              <w:right w:w="100" w:type="dxa"/>
            </w:tcMar>
          </w:tcPr>
          <w:p>
            <w:r>
              <w:rPr>
                <w:b/>
                <w:color w:val="1B365D"/>
                <w:sz w:val="18"/>
              </w:rPr>
              <w:t>PUT</w:t>
            </w:r>
          </w:p>
        </w:tc>
        <w:tc>
          <w:tcPr>
            <w:tcW w:type="dxa" w:w="2880"/>
            <w:shd w:fill="FFFFFF"/>
            <w:tcMar>
              <w:top w:w="80" w:type="dxa"/>
              <w:bottom w:w="80" w:type="dxa"/>
              <w:left w:w="100" w:type="dxa"/>
              <w:right w:w="100" w:type="dxa"/>
            </w:tcMar>
          </w:tcPr>
          <w:p>
            <w:r>
              <w:rPr>
                <w:sz w:val="18"/>
              </w:rPr>
              <w:t>/api/v1/me</w:t>
            </w:r>
          </w:p>
        </w:tc>
        <w:tc>
          <w:tcPr>
            <w:tcW w:type="dxa" w:w="2592"/>
            <w:shd w:fill="FFFFFF"/>
            <w:tcMar>
              <w:top w:w="80" w:type="dxa"/>
              <w:bottom w:w="80" w:type="dxa"/>
              <w:left w:w="100" w:type="dxa"/>
              <w:right w:w="100" w:type="dxa"/>
            </w:tcMar>
          </w:tcPr>
          <w:p>
            <w:r>
              <w:rPr>
                <w:sz w:val="18"/>
              </w:rPr>
              <w:t>{ full_name, role }</w:t>
            </w:r>
          </w:p>
        </w:tc>
        <w:tc>
          <w:tcPr>
            <w:tcW w:type="dxa" w:w="2880"/>
            <w:shd w:fill="FFFFFF"/>
            <w:tcMar>
              <w:top w:w="80" w:type="dxa"/>
              <w:bottom w:w="80" w:type="dxa"/>
              <w:left w:w="100" w:type="dxa"/>
              <w:right w:w="100" w:type="dxa"/>
            </w:tcMar>
          </w:tcPr>
          <w:p>
            <w:r>
              <w:rPr>
                <w:sz w:val="18"/>
              </w:rPr>
              <w:t>Updates user profile attributes in Supabase.</w:t>
            </w:r>
          </w:p>
        </w:tc>
      </w:tr>
      <w:tr>
        <w:tc>
          <w:tcPr>
            <w:tcW w:type="dxa" w:w="1440"/>
            <w:shd w:fill="F8FAFC"/>
            <w:tcMar>
              <w:top w:w="80" w:type="dxa"/>
              <w:bottom w:w="80" w:type="dxa"/>
              <w:left w:w="100" w:type="dxa"/>
              <w:right w:w="100" w:type="dxa"/>
            </w:tcMar>
          </w:tcPr>
          <w:p>
            <w:r>
              <w:rPr>
                <w:b/>
                <w:color w:val="1B365D"/>
                <w:sz w:val="18"/>
              </w:rPr>
              <w:t>POST</w:t>
            </w:r>
          </w:p>
        </w:tc>
        <w:tc>
          <w:tcPr>
            <w:tcW w:type="dxa" w:w="2880"/>
            <w:shd w:fill="F8FAFC"/>
            <w:tcMar>
              <w:top w:w="80" w:type="dxa"/>
              <w:bottom w:w="80" w:type="dxa"/>
              <w:left w:w="100" w:type="dxa"/>
              <w:right w:w="100" w:type="dxa"/>
            </w:tcMar>
          </w:tcPr>
          <w:p>
            <w:r>
              <w:rPr>
                <w:sz w:val="18"/>
              </w:rPr>
              <w:t>/api/v1/cases</w:t>
            </w:r>
          </w:p>
        </w:tc>
        <w:tc>
          <w:tcPr>
            <w:tcW w:type="dxa" w:w="2592"/>
            <w:shd w:fill="F8FAFC"/>
            <w:tcMar>
              <w:top w:w="80" w:type="dxa"/>
              <w:bottom w:w="80" w:type="dxa"/>
              <w:left w:w="100" w:type="dxa"/>
              <w:right w:w="100" w:type="dxa"/>
            </w:tcMar>
          </w:tcPr>
          <w:p>
            <w:r>
              <w:rPr>
                <w:sz w:val="18"/>
              </w:rPr>
              <w:t>{ case_data, ingredients, ip_category }</w:t>
            </w:r>
          </w:p>
        </w:tc>
        <w:tc>
          <w:tcPr>
            <w:tcW w:type="dxa" w:w="2880"/>
            <w:shd w:fill="F8FAFC"/>
            <w:tcMar>
              <w:top w:w="80" w:type="dxa"/>
              <w:bottom w:w="80" w:type="dxa"/>
              <w:left w:w="100" w:type="dxa"/>
              <w:right w:w="100" w:type="dxa"/>
            </w:tcMar>
          </w:tcPr>
          <w:p>
            <w:r>
              <w:rPr>
                <w:sz w:val="18"/>
              </w:rPr>
              <w:t>Creates new case submission in Supabase and triggers automated preliminary statutory checks.</w:t>
            </w:r>
          </w:p>
        </w:tc>
      </w:tr>
      <w:tr>
        <w:tc>
          <w:tcPr>
            <w:tcW w:type="dxa" w:w="1440"/>
            <w:shd w:fill="FFFFFF"/>
            <w:tcMar>
              <w:top w:w="80" w:type="dxa"/>
              <w:bottom w:w="80" w:type="dxa"/>
              <w:left w:w="100" w:type="dxa"/>
              <w:right w:w="100" w:type="dxa"/>
            </w:tcMar>
          </w:tcPr>
          <w:p>
            <w:r>
              <w:rPr>
                <w:b/>
                <w:color w:val="0D9488"/>
                <w:sz w:val="18"/>
              </w:rPr>
              <w:t>GET</w:t>
            </w:r>
          </w:p>
        </w:tc>
        <w:tc>
          <w:tcPr>
            <w:tcW w:type="dxa" w:w="2880"/>
            <w:shd w:fill="FFFFFF"/>
            <w:tcMar>
              <w:top w:w="80" w:type="dxa"/>
              <w:bottom w:w="80" w:type="dxa"/>
              <w:left w:w="100" w:type="dxa"/>
              <w:right w:w="100" w:type="dxa"/>
            </w:tcMar>
          </w:tcPr>
          <w:p>
            <w:r>
              <w:rPr>
                <w:sz w:val="18"/>
              </w:rPr>
              <w:t>/api/v1/cases</w:t>
            </w:r>
          </w:p>
        </w:tc>
        <w:tc>
          <w:tcPr>
            <w:tcW w:type="dxa" w:w="2592"/>
            <w:shd w:fill="FFFFFF"/>
            <w:tcMar>
              <w:top w:w="80" w:type="dxa"/>
              <w:bottom w:w="80" w:type="dxa"/>
              <w:left w:w="100" w:type="dxa"/>
              <w:right w:w="100" w:type="dxa"/>
            </w:tcMar>
          </w:tcPr>
          <w:p>
            <w:r>
              <w:rPr>
                <w:sz w:val="18"/>
              </w:rPr>
              <w:t>Bearer Auth Token</w:t>
            </w:r>
          </w:p>
        </w:tc>
        <w:tc>
          <w:tcPr>
            <w:tcW w:type="dxa" w:w="2880"/>
            <w:shd w:fill="FFFFFF"/>
            <w:tcMar>
              <w:top w:w="80" w:type="dxa"/>
              <w:bottom w:w="80" w:type="dxa"/>
              <w:left w:w="100" w:type="dxa"/>
              <w:right w:w="100" w:type="dxa"/>
            </w:tcMar>
          </w:tcPr>
          <w:p>
            <w:r>
              <w:rPr>
                <w:sz w:val="18"/>
              </w:rPr>
              <w:t>Lists all active and historical cases submitted by the authenticated citizen.</w:t>
            </w:r>
          </w:p>
        </w:tc>
      </w:tr>
      <w:tr>
        <w:tc>
          <w:tcPr>
            <w:tcW w:type="dxa" w:w="1440"/>
            <w:shd w:fill="F8FAFC"/>
            <w:tcMar>
              <w:top w:w="80" w:type="dxa"/>
              <w:bottom w:w="80" w:type="dxa"/>
              <w:left w:w="100" w:type="dxa"/>
              <w:right w:w="100" w:type="dxa"/>
            </w:tcMar>
          </w:tcPr>
          <w:p>
            <w:r>
              <w:rPr>
                <w:b/>
                <w:color w:val="0D9488"/>
                <w:sz w:val="18"/>
              </w:rPr>
              <w:t>GET</w:t>
            </w:r>
          </w:p>
        </w:tc>
        <w:tc>
          <w:tcPr>
            <w:tcW w:type="dxa" w:w="2880"/>
            <w:shd w:fill="F8FAFC"/>
            <w:tcMar>
              <w:top w:w="80" w:type="dxa"/>
              <w:bottom w:w="80" w:type="dxa"/>
              <w:left w:w="100" w:type="dxa"/>
              <w:right w:w="100" w:type="dxa"/>
            </w:tcMar>
          </w:tcPr>
          <w:p>
            <w:r>
              <w:rPr>
                <w:sz w:val="18"/>
              </w:rPr>
              <w:t>/api/v1/cases/{id}</w:t>
            </w:r>
          </w:p>
        </w:tc>
        <w:tc>
          <w:tcPr>
            <w:tcW w:type="dxa" w:w="2592"/>
            <w:shd w:fill="F8FAFC"/>
            <w:tcMar>
              <w:top w:w="80" w:type="dxa"/>
              <w:bottom w:w="80" w:type="dxa"/>
              <w:left w:w="100" w:type="dxa"/>
              <w:right w:w="100" w:type="dxa"/>
            </w:tcMar>
          </w:tcPr>
          <w:p>
            <w:r>
              <w:rPr>
                <w:sz w:val="18"/>
              </w:rPr>
              <w:t>case_id (Path)</w:t>
            </w:r>
          </w:p>
        </w:tc>
        <w:tc>
          <w:tcPr>
            <w:tcW w:type="dxa" w:w="2880"/>
            <w:shd w:fill="F8FAFC"/>
            <w:tcMar>
              <w:top w:w="80" w:type="dxa"/>
              <w:bottom w:w="80" w:type="dxa"/>
              <w:left w:w="100" w:type="dxa"/>
              <w:right w:w="100" w:type="dxa"/>
            </w:tcMar>
          </w:tcPr>
          <w:p>
            <w:r>
              <w:rPr>
                <w:sz w:val="18"/>
              </w:rPr>
              <w:t>Fetches complete case details, AI statutory report, and timeline events.</w:t>
            </w:r>
          </w:p>
        </w:tc>
      </w:tr>
      <w:tr>
        <w:tc>
          <w:tcPr>
            <w:tcW w:type="dxa" w:w="1440"/>
            <w:shd w:fill="FFFFFF"/>
            <w:tcMar>
              <w:top w:w="80" w:type="dxa"/>
              <w:bottom w:w="80" w:type="dxa"/>
              <w:left w:w="100" w:type="dxa"/>
              <w:right w:w="100" w:type="dxa"/>
            </w:tcMar>
          </w:tcPr>
          <w:p>
            <w:r>
              <w:rPr>
                <w:b/>
                <w:color w:val="1B365D"/>
                <w:sz w:val="18"/>
              </w:rPr>
              <w:t>POST</w:t>
            </w:r>
          </w:p>
        </w:tc>
        <w:tc>
          <w:tcPr>
            <w:tcW w:type="dxa" w:w="2880"/>
            <w:shd w:fill="FFFFFF"/>
            <w:tcMar>
              <w:top w:w="80" w:type="dxa"/>
              <w:bottom w:w="80" w:type="dxa"/>
              <w:left w:w="100" w:type="dxa"/>
              <w:right w:w="100" w:type="dxa"/>
            </w:tcMar>
          </w:tcPr>
          <w:p>
            <w:r>
              <w:rPr>
                <w:sz w:val="18"/>
              </w:rPr>
              <w:t>/api/v1/cases/{id}/escalate</w:t>
            </w:r>
          </w:p>
        </w:tc>
        <w:tc>
          <w:tcPr>
            <w:tcW w:type="dxa" w:w="2592"/>
            <w:shd w:fill="FFFFFF"/>
            <w:tcMar>
              <w:top w:w="80" w:type="dxa"/>
              <w:bottom w:w="80" w:type="dxa"/>
              <w:left w:w="100" w:type="dxa"/>
              <w:right w:w="100" w:type="dxa"/>
            </w:tcMar>
          </w:tcPr>
          <w:p>
            <w:r>
              <w:rPr>
                <w:sz w:val="18"/>
              </w:rPr>
              <w:t>{ reason, domain, notes }</w:t>
            </w:r>
          </w:p>
        </w:tc>
        <w:tc>
          <w:tcPr>
            <w:tcW w:type="dxa" w:w="2880"/>
            <w:shd w:fill="FFFFFF"/>
            <w:tcMar>
              <w:top w:w="80" w:type="dxa"/>
              <w:bottom w:w="80" w:type="dxa"/>
              <w:left w:w="100" w:type="dxa"/>
              <w:right w:w="100" w:type="dxa"/>
            </w:tcMar>
          </w:tcPr>
          <w:p>
            <w:r>
              <w:rPr>
                <w:sz w:val="18"/>
              </w:rPr>
              <w:t>Escalates case to expert pool, creates review request, and updates case status to ASSIGNED.</w:t>
            </w:r>
          </w:p>
        </w:tc>
      </w:tr>
      <w:tr>
        <w:tc>
          <w:tcPr>
            <w:tcW w:type="dxa" w:w="1440"/>
            <w:shd w:fill="F8FAFC"/>
            <w:tcMar>
              <w:top w:w="80" w:type="dxa"/>
              <w:bottom w:w="80" w:type="dxa"/>
              <w:left w:w="100" w:type="dxa"/>
              <w:right w:w="100" w:type="dxa"/>
            </w:tcMar>
          </w:tcPr>
          <w:p>
            <w:r>
              <w:rPr>
                <w:b/>
                <w:color w:val="0D9488"/>
                <w:sz w:val="18"/>
              </w:rPr>
              <w:t>GET</w:t>
            </w:r>
          </w:p>
        </w:tc>
        <w:tc>
          <w:tcPr>
            <w:tcW w:type="dxa" w:w="2880"/>
            <w:shd w:fill="F8FAFC"/>
            <w:tcMar>
              <w:top w:w="80" w:type="dxa"/>
              <w:bottom w:w="80" w:type="dxa"/>
              <w:left w:w="100" w:type="dxa"/>
              <w:right w:w="100" w:type="dxa"/>
            </w:tcMar>
          </w:tcPr>
          <w:p>
            <w:r>
              <w:rPr>
                <w:sz w:val="18"/>
              </w:rPr>
              <w:t>/api/v1/expert/cases</w:t>
            </w:r>
          </w:p>
        </w:tc>
        <w:tc>
          <w:tcPr>
            <w:tcW w:type="dxa" w:w="2592"/>
            <w:shd w:fill="F8FAFC"/>
            <w:tcMar>
              <w:top w:w="80" w:type="dxa"/>
              <w:bottom w:w="80" w:type="dxa"/>
              <w:left w:w="100" w:type="dxa"/>
              <w:right w:w="100" w:type="dxa"/>
            </w:tcMar>
          </w:tcPr>
          <w:p>
            <w:r>
              <w:rPr>
                <w:sz w:val="18"/>
              </w:rPr>
              <w:t>Bearer Auth Token (Expert)</w:t>
            </w:r>
          </w:p>
        </w:tc>
        <w:tc>
          <w:tcPr>
            <w:tcW w:type="dxa" w:w="2880"/>
            <w:shd w:fill="F8FAFC"/>
            <w:tcMar>
              <w:top w:w="80" w:type="dxa"/>
              <w:bottom w:w="80" w:type="dxa"/>
              <w:left w:w="100" w:type="dxa"/>
              <w:right w:w="100" w:type="dxa"/>
            </w:tcMar>
          </w:tcPr>
          <w:p>
            <w:r>
              <w:rPr>
                <w:sz w:val="18"/>
              </w:rPr>
              <w:t>Lists all pending review cases assigned to or available for expert evaluation.</w:t>
            </w:r>
          </w:p>
        </w:tc>
      </w:tr>
      <w:tr>
        <w:tc>
          <w:tcPr>
            <w:tcW w:type="dxa" w:w="1440"/>
            <w:shd w:fill="FFFFFF"/>
            <w:tcMar>
              <w:top w:w="80" w:type="dxa"/>
              <w:bottom w:w="80" w:type="dxa"/>
              <w:left w:w="100" w:type="dxa"/>
              <w:right w:w="100" w:type="dxa"/>
            </w:tcMar>
          </w:tcPr>
          <w:p>
            <w:r>
              <w:rPr>
                <w:b/>
                <w:color w:val="1B365D"/>
                <w:sz w:val="18"/>
              </w:rPr>
              <w:t>POST</w:t>
            </w:r>
          </w:p>
        </w:tc>
        <w:tc>
          <w:tcPr>
            <w:tcW w:type="dxa" w:w="2880"/>
            <w:shd w:fill="FFFFFF"/>
            <w:tcMar>
              <w:top w:w="80" w:type="dxa"/>
              <w:bottom w:w="80" w:type="dxa"/>
              <w:left w:w="100" w:type="dxa"/>
              <w:right w:w="100" w:type="dxa"/>
            </w:tcMar>
          </w:tcPr>
          <w:p>
            <w:r>
              <w:rPr>
                <w:sz w:val="18"/>
              </w:rPr>
              <w:t>/api/v1/expert/cases/{id}/review</w:t>
            </w:r>
          </w:p>
        </w:tc>
        <w:tc>
          <w:tcPr>
            <w:tcW w:type="dxa" w:w="2592"/>
            <w:shd w:fill="FFFFFF"/>
            <w:tcMar>
              <w:top w:w="80" w:type="dxa"/>
              <w:bottom w:w="80" w:type="dxa"/>
              <w:left w:w="100" w:type="dxa"/>
              <w:right w:w="100" w:type="dxa"/>
            </w:tcMar>
          </w:tcPr>
          <w:p>
            <w:r>
              <w:rPr>
                <w:sz w:val="18"/>
              </w:rPr>
              <w:t>{ action: ENDORSE / MODIFY, opinion, citations }</w:t>
            </w:r>
          </w:p>
        </w:tc>
        <w:tc>
          <w:tcPr>
            <w:tcW w:type="dxa" w:w="2880"/>
            <w:shd w:fill="FFFFFF"/>
            <w:tcMar>
              <w:top w:w="80" w:type="dxa"/>
              <w:bottom w:w="80" w:type="dxa"/>
              <w:left w:w="100" w:type="dxa"/>
              <w:right w:w="100" w:type="dxa"/>
            </w:tcMar>
          </w:tcPr>
          <w:p>
            <w:r>
              <w:rPr>
                <w:sz w:val="18"/>
              </w:rPr>
              <w:t>Records expert legal review, updates case status to REVIEW_COMPLETED, and notifies citizen.</w:t>
            </w:r>
          </w:p>
        </w:tc>
      </w:tr>
    </w:tbl>
    <w:p>
      <w:pPr>
        <w:spacing w:after="240"/>
      </w:pPr>
    </w:p>
    <w:p>
      <w:pPr>
        <w:spacing w:before="360" w:after="120"/>
      </w:pPr>
      <w:r>
        <w:rPr>
          <w:b/>
          <w:color w:val="1B365D"/>
          <w:sz w:val="32"/>
        </w:rPr>
        <w:t>7. Step-by-Step User Journey &amp; Workflow</w:t>
      </w:r>
    </w:p>
    <w:p>
      <w:pPr>
        <w:spacing w:before="0" w:after="160"/>
      </w:pPr>
      <w:r>
        <w:rPr>
          <w:color w:val="0D9488"/>
          <w:sz w:val="16"/>
        </w:rPr>
        <w:t>―――――――――――――――――――――――――――――――――――――――――――――</w:t>
      </w:r>
    </w:p>
    <w:p>
      <w:pPr>
        <w:spacing w:before="240" w:after="80"/>
      </w:pPr>
      <w:r>
        <w:rPr>
          <w:b/>
          <w:color w:val="0D9488"/>
          <w:sz w:val="25"/>
        </w:rPr>
        <w:t>A. Citizen / Innovator Workflow:</w:t>
      </w:r>
    </w:p>
    <w:p>
      <w:pPr>
        <w:spacing w:after="80"/>
        <w:ind w:left="288"/>
      </w:pPr>
      <w:r>
        <w:rPr>
          <w:b/>
          <w:color w:val="1B365D"/>
        </w:rPr>
        <w:t xml:space="preserve">• Step 1: Access &amp; Sign Up / Login: </w:t>
      </w:r>
      <w:r>
        <w:t>Innovator navigates to https://ip-shakti-sayahak.vercel.app and logs in or registers. The decoupled auth ensures instant dashboard access without email lockout.</w:t>
      </w:r>
    </w:p>
    <w:p>
      <w:pPr>
        <w:spacing w:after="80"/>
        <w:ind w:left="288"/>
      </w:pPr>
      <w:r>
        <w:rPr>
          <w:b/>
          <w:color w:val="1B365D"/>
        </w:rPr>
        <w:t xml:space="preserve">• Step 2: Language Selection &amp; Dashboard Overview: </w:t>
      </w:r>
      <w:r>
        <w:t>User chooses preferred regional language (English, Hindi, Marathi, Gujarati). Dashboard displays real-time case statistics, guidance notices, and recent notifications.</w:t>
      </w:r>
    </w:p>
    <w:p>
      <w:pPr>
        <w:spacing w:after="80"/>
        <w:ind w:left="288"/>
      </w:pPr>
      <w:r>
        <w:rPr>
          <w:b/>
          <w:color w:val="1B365D"/>
        </w:rPr>
        <w:t xml:space="preserve">• Step 3: Invention Exploration via Case Builder: </w:t>
      </w:r>
      <w:r>
        <w:t>User launches Case Builder (/case-builder) and inputs formulation details (e.g., polyherbal extract combining Ashwagandha and Tulsi for stress management).</w:t>
      </w:r>
    </w:p>
    <w:p>
      <w:pPr>
        <w:spacing w:after="80"/>
        <w:ind w:left="288"/>
      </w:pPr>
      <w:r>
        <w:rPr>
          <w:b/>
          <w:color w:val="1B365D"/>
        </w:rPr>
        <w:t xml:space="preserve">• Step 4: Automated Statutory AI Evaluation: </w:t>
      </w:r>
      <w:r>
        <w:t>The RAG engine queries 4,016 statutory chunks, identifies Section 3(p) TK risk, computes Section 3(e) synergy requirements, and determines Form III NBA clearance mandate.</w:t>
      </w:r>
    </w:p>
    <w:p>
      <w:pPr>
        <w:spacing w:after="80"/>
        <w:ind w:left="288"/>
      </w:pPr>
      <w:r>
        <w:rPr>
          <w:b/>
          <w:color w:val="1B365D"/>
        </w:rPr>
        <w:t xml:space="preserve">• Step 5: Reviewing Grounded Report &amp; Citations: </w:t>
      </w:r>
      <w:r>
        <w:t>Citizen receives an interactive report with confidence metrics (e.g., 94% High Confidence) and exact citations to Section 6 of Biological Diversity Act 2002 and Section 3(p) of Indian Patents Act.</w:t>
      </w:r>
    </w:p>
    <w:p>
      <w:pPr>
        <w:spacing w:after="80"/>
        <w:ind w:left="288"/>
      </w:pPr>
      <w:r>
        <w:rPr>
          <w:b/>
          <w:color w:val="1B365D"/>
        </w:rPr>
        <w:t xml:space="preserve">• Step 6: Expert Verification Request: </w:t>
      </w:r>
      <w:r>
        <w:t>With one click, citizen escalates the case dossier to AYUSH IP experts for legal validation.</w:t>
      </w:r>
    </w:p>
    <w:p>
      <w:pPr>
        <w:spacing w:after="80"/>
        <w:ind w:left="288"/>
      </w:pPr>
      <w:r>
        <w:rPr>
          <w:b/>
          <w:color w:val="1B365D"/>
        </w:rPr>
        <w:t xml:space="preserve">• Step 7: Final Dossier Download &amp; Official Filing: </w:t>
      </w:r>
      <w:r>
        <w:t>Once endorsed by the expert, the citizen downloads the verified application dossier and files with the Indian Patent Office (IPO) and National Biodiversity Authority (NBA).</w:t>
      </w:r>
    </w:p>
    <w:p>
      <w:pPr>
        <w:spacing w:before="240" w:after="80"/>
      </w:pPr>
      <w:r>
        <w:rPr>
          <w:b/>
          <w:color w:val="0D9488"/>
          <w:sz w:val="25"/>
        </w:rPr>
        <w:t>B. AYUSH IP Expert / Attorney Workflow:</w:t>
      </w:r>
    </w:p>
    <w:p>
      <w:pPr>
        <w:spacing w:after="80"/>
        <w:ind w:left="288"/>
      </w:pPr>
      <w:r>
        <w:rPr>
          <w:b/>
          <w:color w:val="0D9488"/>
        </w:rPr>
        <w:t xml:space="preserve">• Step 1: Expert Login &amp; Portal Access: </w:t>
      </w:r>
      <w:r>
        <w:t>Licensed IP attorney logs in with expert credentials and navigates to the dedicated Expert Portal (/expert/dashboard).</w:t>
      </w:r>
    </w:p>
    <w:p>
      <w:pPr>
        <w:spacing w:after="80"/>
        <w:ind w:left="288"/>
      </w:pPr>
      <w:r>
        <w:rPr>
          <w:b/>
          <w:color w:val="0D9488"/>
        </w:rPr>
        <w:t xml:space="preserve">• Step 2: Case Queue &amp; Priority Triage: </w:t>
      </w:r>
      <w:r>
        <w:t>Expert inspects pending review requests filtered by domain (e.g., Herbal Formulations, Biotech, Patent Law).</w:t>
      </w:r>
    </w:p>
    <w:p>
      <w:pPr>
        <w:spacing w:after="80"/>
        <w:ind w:left="288"/>
      </w:pPr>
      <w:r>
        <w:rPr>
          <w:b/>
          <w:color w:val="0D9488"/>
        </w:rPr>
        <w:t xml:space="preserve">• Step 3: Dossier Inspection &amp; Citation Verification: </w:t>
      </w:r>
      <w:r>
        <w:t>Expert reviews the citizen's formulation, technical claims, AI-generated statutory analysis, and verified statutory citations.</w:t>
      </w:r>
    </w:p>
    <w:p>
      <w:pPr>
        <w:spacing w:after="80"/>
        <w:ind w:left="288"/>
      </w:pPr>
      <w:r>
        <w:rPr>
          <w:b/>
          <w:color w:val="0D9488"/>
        </w:rPr>
        <w:t xml:space="preserve">• Step 4: Formal Legal Action &amp; Endorsement: </w:t>
      </w:r>
      <w:r>
        <w:t>Expert selects 'Endorse Opinion' or 'Modify Opinion', adds customized legal guidance, recommends specific patent claim drafting amendments, and submits.</w:t>
      </w:r>
    </w:p>
    <w:p>
      <w:pPr>
        <w:spacing w:after="80"/>
        <w:ind w:left="288"/>
      </w:pPr>
      <w:r>
        <w:rPr>
          <w:b/>
          <w:color w:val="0D9488"/>
        </w:rPr>
        <w:t xml:space="preserve">• Step 5: Automated Citizen Notification: </w:t>
      </w:r>
      <w:r>
        <w:t>Case status updates to 'REVIEW_COMPLETED', and the citizen is immediately notified with the expert's official legal commentary.</w:t>
      </w:r>
    </w:p>
    <w:p>
      <w:pPr>
        <w:spacing w:after="240"/>
      </w:pPr>
    </w:p>
    <w:p>
      <w:pPr>
        <w:spacing w:before="360" w:after="120"/>
      </w:pPr>
      <w:r>
        <w:rPr>
          <w:b/>
          <w:color w:val="1B365D"/>
          <w:sz w:val="32"/>
        </w:rPr>
        <w:t>8. Key Evaluation &amp; Presentation Highlights</w:t>
      </w:r>
    </w:p>
    <w:p>
      <w:pPr>
        <w:spacing w:before="0" w:after="160"/>
      </w:pPr>
      <w:r>
        <w:rPr>
          <w:color w:val="0D9488"/>
          <w:sz w:val="16"/>
        </w:rPr>
        <w:t>―――――――――――――――――――――――――――――――――――――――――――――</w:t>
      </w: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ZERO HALLUCINATION GROUNDING: </w:t>
            </w:r>
            <w:r>
              <w:rPr>
                <w:sz w:val="20"/>
              </w:rPr>
              <w:t>Unlike generic LLMs (ChatGPT) that hallucinate fake legal sections, IP-SAKTI Sahayak restricts all advice strictly to parsed Indian statutory provisions with exact Act, Section, and snippet citations.</w:t>
            </w:r>
          </w:p>
        </w:tc>
      </w:tr>
    </w:tbl>
    <w:p>
      <w:pPr>
        <w:spacing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HIERARCHICAL AUTHORITY WEIGHTING: </w:t>
            </w:r>
            <w:r>
              <w:rPr>
                <w:sz w:val="20"/>
              </w:rPr>
              <w:t>Legal provisions are ranked hierarchically (Acts &gt; Rules &gt; Guidelines &gt; Notifications), ensuring advice reflects true judicial precedence.</w:t>
            </w:r>
          </w:p>
        </w:tc>
      </w:tr>
    </w:tbl>
    <w:p>
      <w:pPr>
        <w:spacing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INCLUSIVE REGIONAL ACCESSIBILITY: </w:t>
            </w:r>
            <w:r>
              <w:rPr>
                <w:sz w:val="20"/>
              </w:rPr>
              <w:t>100% full interface localization in Hindi, Marathi, Gujarati, and English democratizes IP protection for rural and grassroots traditional practitioners.</w:t>
            </w:r>
          </w:p>
        </w:tc>
      </w:tr>
    </w:tbl>
    <w:p>
      <w:pPr>
        <w:spacing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HUMAN-IN-THE-LOOP SAFEGUARDS: </w:t>
            </w:r>
            <w:r>
              <w:rPr>
                <w:sz w:val="20"/>
              </w:rPr>
              <w:t>High-stakes patent and regulatory filings are backed by certified human expert reviews, providing maximum legal safety.</w:t>
            </w:r>
          </w:p>
        </w:tc>
      </w:tr>
    </w:tbl>
    <w:p>
      <w:pPr>
        <w:spacing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Pr>
          <w:p>
            <w:pPr>
              <w:spacing w:after="40"/>
            </w:pPr>
            <w:r>
              <w:rPr>
                <w:b/>
                <w:color w:val="1B365D"/>
                <w:sz w:val="20"/>
              </w:rPr>
              <w:t xml:space="preserve">📌 SCALABLE CLOUD ARCHITECTURE: </w:t>
            </w:r>
            <w:r>
              <w:rPr>
                <w:sz w:val="20"/>
              </w:rPr>
              <w:t>Vercel global CDN frontend + Render Dockerized FastAPI microservice + Supabase PostgreSQL ensures high reliability, instant responsiveness, and enterprise-grade security.</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