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DELIVERABLE 1 — SOFTWARE REQUIREMENTS SPECIFICATION (SRS)</w:t>
      </w:r>
    </w:p>
    <w:p>
      <w:pPr>
        <w:pStyle w:val="Heading2"/>
      </w:pPr>
      <w:r>
        <w:t>1. Introduction</w:t>
      </w:r>
    </w:p>
    <w:p>
      <w:pPr>
        <w:pStyle w:val="Heading3"/>
      </w:pPr>
      <w:r>
        <w:t>1.1 Purpose</w:t>
      </w:r>
    </w:p>
    <w:p>
      <w:r>
        <w:t>This Software Requirements Specification defines the proposed functional, non-functional, interface, data, and security requirements for a web-based application that allows a user to submit a dataset, configure an evaluation, run evaluation logic against a machine-learning model or model output, and inspect the resulting metrics. It is intended to guide implementation, testing, and acceptance.</w:t>
      </w:r>
    </w:p>
    <w:p>
      <w:pPr>
        <w:pStyle w:val="Heading3"/>
      </w:pPr>
      <w:r>
        <w:t>1.2 Scope</w:t>
      </w:r>
    </w:p>
    <w:p>
      <w:r>
        <w:t>The proposed system provides a browser-based workflow for evaluating machine-learning predictions against reference labels. The baseline assumes supervised classification or regression evaluation using prediction data and ground-truth labels. The system validates uploaded inputs, calculates applicable metrics, stores evaluation metadata, and presents a result summary. The project team must confirm whether the actual application evaluates uploaded prediction files, loads serialized models, calls a training/inference pipeline, or uses another mechanism.</w:t>
      </w:r>
    </w:p>
    <w:p>
      <w:pPr>
        <w:pStyle w:val="ListBullet"/>
        <w:spacing w:after="40"/>
      </w:pPr>
      <w:r>
        <w:t>In scope (proposed): dataset/prediction input upload; input validation; evaluation configuration; metric calculation; result display; error feedback; run metadata.</w:t>
      </w:r>
    </w:p>
    <w:p>
      <w:pPr>
        <w:pStyle w:val="ListBullet"/>
        <w:spacing w:after="40"/>
      </w:pPr>
      <w:r>
        <w:t>Out of scope unless explicitly implemented: model training; hyperparameter tuning; model deployment; online inference APIs; automatic bias/fairness certification; production MLOps orchestration; multi-tenant enterprise administration.</w:t>
      </w:r>
    </w:p>
    <w:p>
      <w:pPr>
        <w:pStyle w:val="Heading3"/>
      </w:pPr>
      <w:r>
        <w:t>1.3 Definitions, acronyms, and abbreviations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spacing w:after="0"/>
            </w:pPr>
            <w:r/>
            <w:r>
              <w:rPr>
                <w:rFonts w:ascii="Calibri" w:hAnsi="Calibri"/>
                <w:b/>
                <w:sz w:val="16"/>
              </w:rPr>
              <w:t>Term</w:t>
            </w:r>
          </w:p>
        </w:tc>
        <w:tc>
          <w:tcPr>
            <w:tcW w:type="dxa" w:w="7632"/>
            <w:vAlign w:val="center"/>
            <w:shd w:fill="D9EAF7"/>
          </w:tcPr>
          <w:p>
            <w:pPr>
              <w:spacing w:after="0"/>
            </w:pPr>
            <w:r/>
            <w:r>
              <w:rPr>
                <w:rFonts w:ascii="Calibri" w:hAnsi="Calibri"/>
                <w:b/>
                <w:sz w:val="16"/>
              </w:rPr>
              <w:t>Definition</w:t>
            </w:r>
          </w:p>
        </w:tc>
      </w:tr>
      <w:tr>
        <w:tc>
          <w:tcPr>
            <w:tcW w:type="dxa" w:w="2160"/>
            <w:vAlign w:val="center"/>
          </w:tcPr>
          <w:p>
            <w:pPr>
              <w:spacing w:after="0"/>
            </w:pPr>
            <w:r/>
            <w:r>
              <w:rPr>
                <w:rFonts w:ascii="Calibri" w:hAnsi="Calibri"/>
                <w:b w:val="0"/>
                <w:sz w:val="16"/>
              </w:rPr>
              <w:t>ML</w:t>
            </w:r>
          </w:p>
        </w:tc>
        <w:tc>
          <w:tcPr>
            <w:tcW w:type="dxa" w:w="7632"/>
            <w:vAlign w:val="center"/>
          </w:tcPr>
          <w:p>
            <w:pPr>
              <w:spacing w:after="0"/>
            </w:pPr>
            <w:r/>
            <w:r>
              <w:rPr>
                <w:rFonts w:ascii="Calibri" w:hAnsi="Calibri"/>
                <w:b w:val="0"/>
                <w:sz w:val="16"/>
              </w:rPr>
              <w:t>Machine Learning.</w:t>
            </w:r>
          </w:p>
        </w:tc>
      </w:tr>
      <w:tr>
        <w:tc>
          <w:tcPr>
            <w:tcW w:type="dxa" w:w="2160"/>
            <w:vAlign w:val="center"/>
          </w:tcPr>
          <w:p>
            <w:pPr>
              <w:spacing w:after="0"/>
            </w:pPr>
            <w:r/>
            <w:r>
              <w:rPr>
                <w:rFonts w:ascii="Calibri" w:hAnsi="Calibri"/>
                <w:b w:val="0"/>
                <w:sz w:val="16"/>
              </w:rPr>
              <w:t>Evaluator</w:t>
            </w:r>
          </w:p>
        </w:tc>
        <w:tc>
          <w:tcPr>
            <w:tcW w:type="dxa" w:w="7632"/>
            <w:vAlign w:val="center"/>
          </w:tcPr>
          <w:p>
            <w:pPr>
              <w:spacing w:after="0"/>
            </w:pPr>
            <w:r/>
            <w:r>
              <w:rPr>
                <w:rFonts w:ascii="Calibri" w:hAnsi="Calibri"/>
                <w:b w:val="0"/>
                <w:sz w:val="16"/>
              </w:rPr>
              <w:t>Application that computes evaluation metrics for a model’s predictions.</w:t>
            </w:r>
          </w:p>
        </w:tc>
      </w:tr>
      <w:tr>
        <w:tc>
          <w:tcPr>
            <w:tcW w:type="dxa" w:w="2160"/>
            <w:vAlign w:val="center"/>
          </w:tcPr>
          <w:p>
            <w:pPr>
              <w:spacing w:after="0"/>
            </w:pPr>
            <w:r/>
            <w:r>
              <w:rPr>
                <w:rFonts w:ascii="Calibri" w:hAnsi="Calibri"/>
                <w:b w:val="0"/>
                <w:sz w:val="16"/>
              </w:rPr>
              <w:t>Ground truth</w:t>
            </w:r>
          </w:p>
        </w:tc>
        <w:tc>
          <w:tcPr>
            <w:tcW w:type="dxa" w:w="7632"/>
            <w:vAlign w:val="center"/>
          </w:tcPr>
          <w:p>
            <w:pPr>
              <w:spacing w:after="0"/>
            </w:pPr>
            <w:r/>
            <w:r>
              <w:rPr>
                <w:rFonts w:ascii="Calibri" w:hAnsi="Calibri"/>
                <w:b w:val="0"/>
                <w:sz w:val="16"/>
              </w:rPr>
              <w:t>Reference labels or target values used to assess predictions.</w:t>
            </w:r>
          </w:p>
        </w:tc>
      </w:tr>
      <w:tr>
        <w:tc>
          <w:tcPr>
            <w:tcW w:type="dxa" w:w="2160"/>
            <w:vAlign w:val="center"/>
          </w:tcPr>
          <w:p>
            <w:pPr>
              <w:spacing w:after="0"/>
            </w:pPr>
            <w:r/>
            <w:r>
              <w:rPr>
                <w:rFonts w:ascii="Calibri" w:hAnsi="Calibri"/>
                <w:b w:val="0"/>
                <w:sz w:val="16"/>
              </w:rPr>
              <w:t>Evaluation run</w:t>
            </w:r>
          </w:p>
        </w:tc>
        <w:tc>
          <w:tcPr>
            <w:tcW w:type="dxa" w:w="7632"/>
            <w:vAlign w:val="center"/>
          </w:tcPr>
          <w:p>
            <w:pPr>
              <w:spacing w:after="0"/>
            </w:pPr>
            <w:r/>
            <w:r>
              <w:rPr>
                <w:rFonts w:ascii="Calibri" w:hAnsi="Calibri"/>
                <w:b w:val="0"/>
                <w:sz w:val="16"/>
              </w:rPr>
              <w:t>One execution of an evaluation configuration against an input dataset.</w:t>
            </w:r>
          </w:p>
        </w:tc>
      </w:tr>
      <w:tr>
        <w:tc>
          <w:tcPr>
            <w:tcW w:type="dxa" w:w="2160"/>
            <w:vAlign w:val="center"/>
          </w:tcPr>
          <w:p>
            <w:pPr>
              <w:spacing w:after="0"/>
            </w:pPr>
            <w:r/>
            <w:r>
              <w:rPr>
                <w:rFonts w:ascii="Calibri" w:hAnsi="Calibri"/>
                <w:b w:val="0"/>
                <w:sz w:val="16"/>
              </w:rPr>
              <w:t>FR</w:t>
            </w:r>
          </w:p>
        </w:tc>
        <w:tc>
          <w:tcPr>
            <w:tcW w:type="dxa" w:w="7632"/>
            <w:vAlign w:val="center"/>
          </w:tcPr>
          <w:p>
            <w:pPr>
              <w:spacing w:after="0"/>
            </w:pPr>
            <w:r/>
            <w:r>
              <w:rPr>
                <w:rFonts w:ascii="Calibri" w:hAnsi="Calibri"/>
                <w:b w:val="0"/>
                <w:sz w:val="16"/>
              </w:rPr>
              <w:t>Functional requirement.</w:t>
            </w:r>
          </w:p>
        </w:tc>
      </w:tr>
      <w:tr>
        <w:tc>
          <w:tcPr>
            <w:tcW w:type="dxa" w:w="2160"/>
            <w:vAlign w:val="center"/>
          </w:tcPr>
          <w:p>
            <w:pPr>
              <w:spacing w:after="0"/>
            </w:pPr>
            <w:r/>
            <w:r>
              <w:rPr>
                <w:rFonts w:ascii="Calibri" w:hAnsi="Calibri"/>
                <w:b w:val="0"/>
                <w:sz w:val="16"/>
              </w:rPr>
              <w:t>NFR</w:t>
            </w:r>
          </w:p>
        </w:tc>
        <w:tc>
          <w:tcPr>
            <w:tcW w:type="dxa" w:w="7632"/>
            <w:vAlign w:val="center"/>
          </w:tcPr>
          <w:p>
            <w:pPr>
              <w:spacing w:after="0"/>
            </w:pPr>
            <w:r/>
            <w:r>
              <w:rPr>
                <w:rFonts w:ascii="Calibri" w:hAnsi="Calibri"/>
                <w:b w:val="0"/>
                <w:sz w:val="16"/>
              </w:rPr>
              <w:t>Non-functional requirement.</w:t>
            </w:r>
          </w:p>
        </w:tc>
      </w:tr>
      <w:tr>
        <w:tc>
          <w:tcPr>
            <w:tcW w:type="dxa" w:w="2160"/>
            <w:vAlign w:val="center"/>
          </w:tcPr>
          <w:p>
            <w:pPr>
              <w:spacing w:after="0"/>
            </w:pPr>
            <w:r/>
            <w:r>
              <w:rPr>
                <w:rFonts w:ascii="Calibri" w:hAnsi="Calibri"/>
                <w:b w:val="0"/>
                <w:sz w:val="16"/>
              </w:rPr>
              <w:t>API</w:t>
            </w:r>
          </w:p>
        </w:tc>
        <w:tc>
          <w:tcPr>
            <w:tcW w:type="dxa" w:w="7632"/>
            <w:vAlign w:val="center"/>
          </w:tcPr>
          <w:p>
            <w:pPr>
              <w:spacing w:after="0"/>
            </w:pPr>
            <w:r/>
            <w:r>
              <w:rPr>
                <w:rFonts w:ascii="Calibri" w:hAnsi="Calibri"/>
                <w:b w:val="0"/>
                <w:sz w:val="16"/>
              </w:rPr>
              <w:t>Application Programming Interface.</w:t>
            </w:r>
          </w:p>
        </w:tc>
      </w:tr>
      <w:tr>
        <w:tc>
          <w:tcPr>
            <w:tcW w:type="dxa" w:w="2160"/>
            <w:vAlign w:val="center"/>
          </w:tcPr>
          <w:p>
            <w:pPr>
              <w:spacing w:after="0"/>
            </w:pPr>
            <w:r/>
            <w:r>
              <w:rPr>
                <w:rFonts w:ascii="Calibri" w:hAnsi="Calibri"/>
                <w:b w:val="0"/>
                <w:sz w:val="16"/>
              </w:rPr>
              <w:t>RBAC</w:t>
            </w:r>
          </w:p>
        </w:tc>
        <w:tc>
          <w:tcPr>
            <w:tcW w:type="dxa" w:w="7632"/>
            <w:vAlign w:val="center"/>
          </w:tcPr>
          <w:p>
            <w:pPr>
              <w:spacing w:after="0"/>
            </w:pPr>
            <w:r/>
            <w:r>
              <w:rPr>
                <w:rFonts w:ascii="Calibri" w:hAnsi="Calibri"/>
                <w:b w:val="0"/>
                <w:sz w:val="16"/>
              </w:rPr>
              <w:t>Role-Based Access Control.</w:t>
            </w:r>
          </w:p>
        </w:tc>
      </w:tr>
      <w:tr>
        <w:tc>
          <w:tcPr>
            <w:tcW w:type="dxa" w:w="2160"/>
            <w:vAlign w:val="center"/>
          </w:tcPr>
          <w:p>
            <w:pPr>
              <w:spacing w:after="0"/>
            </w:pPr>
            <w:r/>
            <w:r>
              <w:rPr>
                <w:rFonts w:ascii="Calibri" w:hAnsi="Calibri"/>
                <w:b w:val="0"/>
                <w:sz w:val="16"/>
              </w:rPr>
              <w:t>TBD</w:t>
            </w:r>
          </w:p>
        </w:tc>
        <w:tc>
          <w:tcPr>
            <w:tcW w:type="dxa" w:w="7632"/>
            <w:vAlign w:val="center"/>
          </w:tcPr>
          <w:p>
            <w:pPr>
              <w:spacing w:after="0"/>
            </w:pPr>
            <w:r/>
            <w:r>
              <w:rPr>
                <w:rFonts w:ascii="Calibri" w:hAnsi="Calibri"/>
                <w:b w:val="0"/>
                <w:sz w:val="16"/>
              </w:rPr>
              <w:t>To be decided/confirmed by the project team.</w:t>
            </w:r>
          </w:p>
        </w:tc>
      </w:tr>
    </w:tbl>
    <w:p/>
    <w:p>
      <w:pPr>
        <w:pStyle w:val="Heading3"/>
      </w:pPr>
      <w:r>
        <w:t>1.4 Assumptions and dependencies</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D9EAF7"/>
          </w:tcPr>
          <w:p>
            <w:pPr>
              <w:spacing w:after="0"/>
            </w:pPr>
            <w:r/>
            <w:r>
              <w:rPr>
                <w:rFonts w:ascii="Calibri" w:hAnsi="Calibri"/>
                <w:b/>
                <w:sz w:val="15"/>
              </w:rPr>
              <w:t>ID</w:t>
            </w:r>
          </w:p>
        </w:tc>
        <w:tc>
          <w:tcPr>
            <w:tcW w:type="dxa" w:w="6192"/>
            <w:vAlign w:val="center"/>
            <w:shd w:fill="D9EAF7"/>
          </w:tcPr>
          <w:p>
            <w:pPr>
              <w:spacing w:after="0"/>
            </w:pPr>
            <w:r/>
            <w:r>
              <w:rPr>
                <w:rFonts w:ascii="Calibri" w:hAnsi="Calibri"/>
                <w:b/>
                <w:sz w:val="15"/>
              </w:rPr>
              <w:t>Assumption / dependency</w:t>
            </w:r>
          </w:p>
        </w:tc>
        <w:tc>
          <w:tcPr>
            <w:tcW w:type="dxa" w:w="2736"/>
            <w:vAlign w:val="center"/>
            <w:shd w:fill="D9EAF7"/>
          </w:tcPr>
          <w:p>
            <w:pPr>
              <w:spacing w:after="0"/>
            </w:pPr>
            <w:r/>
            <w:r>
              <w:rPr>
                <w:rFonts w:ascii="Calibri" w:hAnsi="Calibri"/>
                <w:b/>
                <w:sz w:val="15"/>
              </w:rPr>
              <w:t>Status / action</w:t>
            </w:r>
          </w:p>
        </w:tc>
      </w:tr>
      <w:tr>
        <w:tc>
          <w:tcPr>
            <w:tcW w:type="dxa" w:w="936"/>
            <w:vAlign w:val="center"/>
          </w:tcPr>
          <w:p>
            <w:pPr>
              <w:spacing w:after="0"/>
            </w:pPr>
            <w:r/>
            <w:r>
              <w:rPr>
                <w:rFonts w:ascii="Calibri" w:hAnsi="Calibri"/>
                <w:b w:val="0"/>
                <w:sz w:val="15"/>
              </w:rPr>
              <w:t>A-01</w:t>
            </w:r>
          </w:p>
        </w:tc>
        <w:tc>
          <w:tcPr>
            <w:tcW w:type="dxa" w:w="6192"/>
            <w:vAlign w:val="center"/>
          </w:tcPr>
          <w:p>
            <w:pPr>
              <w:spacing w:after="0"/>
            </w:pPr>
            <w:r/>
            <w:r>
              <w:rPr>
                <w:rFonts w:ascii="Calibri" w:hAnsi="Calibri"/>
                <w:b w:val="0"/>
                <w:sz w:val="15"/>
              </w:rPr>
              <w:t>The application is accessed through a modern web browser.</w:t>
            </w:r>
          </w:p>
        </w:tc>
        <w:tc>
          <w:tcPr>
            <w:tcW w:type="dxa" w:w="2736"/>
            <w:vAlign w:val="center"/>
          </w:tcPr>
          <w:p>
            <w:pPr>
              <w:spacing w:after="0"/>
            </w:pPr>
            <w:r/>
            <w:r>
              <w:rPr>
                <w:rFonts w:ascii="Calibri" w:hAnsi="Calibri"/>
                <w:b w:val="0"/>
                <w:sz w:val="15"/>
              </w:rPr>
              <w:t>Proposed; confirm supported browsers.</w:t>
            </w:r>
          </w:p>
        </w:tc>
      </w:tr>
      <w:tr>
        <w:tc>
          <w:tcPr>
            <w:tcW w:type="dxa" w:w="936"/>
            <w:vAlign w:val="center"/>
          </w:tcPr>
          <w:p>
            <w:pPr>
              <w:spacing w:after="0"/>
            </w:pPr>
            <w:r/>
            <w:r>
              <w:rPr>
                <w:rFonts w:ascii="Calibri" w:hAnsi="Calibri"/>
                <w:b w:val="0"/>
                <w:sz w:val="15"/>
              </w:rPr>
              <w:t>A-02</w:t>
            </w:r>
          </w:p>
        </w:tc>
        <w:tc>
          <w:tcPr>
            <w:tcW w:type="dxa" w:w="6192"/>
            <w:vAlign w:val="center"/>
          </w:tcPr>
          <w:p>
            <w:pPr>
              <w:spacing w:after="0"/>
            </w:pPr>
            <w:r/>
            <w:r>
              <w:rPr>
                <w:rFonts w:ascii="Calibri" w:hAnsi="Calibri"/>
                <w:b w:val="0"/>
                <w:sz w:val="15"/>
              </w:rPr>
              <w:t>The evaluation uses labelled data or a reference target column.</w:t>
            </w:r>
          </w:p>
        </w:tc>
        <w:tc>
          <w:tcPr>
            <w:tcW w:type="dxa" w:w="2736"/>
            <w:vAlign w:val="center"/>
          </w:tcPr>
          <w:p>
            <w:pPr>
              <w:spacing w:after="0"/>
            </w:pPr>
            <w:r/>
            <w:r>
              <w:rPr>
                <w:rFonts w:ascii="Calibri" w:hAnsi="Calibri"/>
                <w:b w:val="0"/>
                <w:sz w:val="15"/>
              </w:rPr>
              <w:t>Proposed baseline; confirm task type.</w:t>
            </w:r>
          </w:p>
        </w:tc>
      </w:tr>
      <w:tr>
        <w:tc>
          <w:tcPr>
            <w:tcW w:type="dxa" w:w="936"/>
            <w:vAlign w:val="center"/>
          </w:tcPr>
          <w:p>
            <w:pPr>
              <w:spacing w:after="0"/>
            </w:pPr>
            <w:r/>
            <w:r>
              <w:rPr>
                <w:rFonts w:ascii="Calibri" w:hAnsi="Calibri"/>
                <w:b w:val="0"/>
                <w:sz w:val="15"/>
              </w:rPr>
              <w:t>A-03</w:t>
            </w:r>
          </w:p>
        </w:tc>
        <w:tc>
          <w:tcPr>
            <w:tcW w:type="dxa" w:w="6192"/>
            <w:vAlign w:val="center"/>
          </w:tcPr>
          <w:p>
            <w:pPr>
              <w:spacing w:after="0"/>
            </w:pPr>
            <w:r/>
            <w:r>
              <w:rPr>
                <w:rFonts w:ascii="Calibri" w:hAnsi="Calibri"/>
                <w:b w:val="0"/>
                <w:sz w:val="15"/>
              </w:rPr>
              <w:t>The user supplies predictions and reference values, or the application can obtain predictions from a supported model.</w:t>
            </w:r>
          </w:p>
        </w:tc>
        <w:tc>
          <w:tcPr>
            <w:tcW w:type="dxa" w:w="2736"/>
            <w:vAlign w:val="center"/>
          </w:tcPr>
          <w:p>
            <w:pPr>
              <w:spacing w:after="0"/>
            </w:pPr>
            <w:r/>
            <w:r>
              <w:rPr>
                <w:rFonts w:ascii="Calibri" w:hAnsi="Calibri"/>
                <w:b w:val="0"/>
                <w:sz w:val="15"/>
              </w:rPr>
              <w:t>Choose one actual workflow.</w:t>
            </w:r>
          </w:p>
        </w:tc>
      </w:tr>
      <w:tr>
        <w:tc>
          <w:tcPr>
            <w:tcW w:type="dxa" w:w="936"/>
            <w:vAlign w:val="center"/>
          </w:tcPr>
          <w:p>
            <w:pPr>
              <w:spacing w:after="0"/>
            </w:pPr>
            <w:r/>
            <w:r>
              <w:rPr>
                <w:rFonts w:ascii="Calibri" w:hAnsi="Calibri"/>
                <w:b w:val="0"/>
                <w:sz w:val="15"/>
              </w:rPr>
              <w:t>A-04</w:t>
            </w:r>
          </w:p>
        </w:tc>
        <w:tc>
          <w:tcPr>
            <w:tcW w:type="dxa" w:w="6192"/>
            <w:vAlign w:val="center"/>
          </w:tcPr>
          <w:p>
            <w:pPr>
              <w:spacing w:after="0"/>
            </w:pPr>
            <w:r/>
            <w:r>
              <w:rPr>
                <w:rFonts w:ascii="Calibri" w:hAnsi="Calibri"/>
                <w:b w:val="0"/>
                <w:sz w:val="15"/>
              </w:rPr>
              <w:t>The system can calculate at least one suitable metric for each supported task type.</w:t>
            </w:r>
          </w:p>
        </w:tc>
        <w:tc>
          <w:tcPr>
            <w:tcW w:type="dxa" w:w="2736"/>
            <w:vAlign w:val="center"/>
          </w:tcPr>
          <w:p>
            <w:pPr>
              <w:spacing w:after="0"/>
            </w:pPr>
            <w:r/>
            <w:r>
              <w:rPr>
                <w:rFonts w:ascii="Calibri" w:hAnsi="Calibri"/>
                <w:b w:val="0"/>
                <w:sz w:val="15"/>
              </w:rPr>
              <w:t>Select metrics implemented by the team.</w:t>
            </w:r>
          </w:p>
        </w:tc>
      </w:tr>
      <w:tr>
        <w:tc>
          <w:tcPr>
            <w:tcW w:type="dxa" w:w="936"/>
            <w:vAlign w:val="center"/>
          </w:tcPr>
          <w:p>
            <w:pPr>
              <w:spacing w:after="0"/>
            </w:pPr>
            <w:r/>
            <w:r>
              <w:rPr>
                <w:rFonts w:ascii="Calibri" w:hAnsi="Calibri"/>
                <w:b w:val="0"/>
                <w:sz w:val="15"/>
              </w:rPr>
              <w:t>A-05</w:t>
            </w:r>
          </w:p>
        </w:tc>
        <w:tc>
          <w:tcPr>
            <w:tcW w:type="dxa" w:w="6192"/>
            <w:vAlign w:val="center"/>
          </w:tcPr>
          <w:p>
            <w:pPr>
              <w:spacing w:after="0"/>
            </w:pPr>
            <w:r/>
            <w:r>
              <w:rPr>
                <w:rFonts w:ascii="Calibri" w:hAnsi="Calibri"/>
                <w:b w:val="0"/>
                <w:sz w:val="15"/>
              </w:rPr>
              <w:t>A server-side component validates requests and performs or coordinates evaluation.</w:t>
            </w:r>
          </w:p>
        </w:tc>
        <w:tc>
          <w:tcPr>
            <w:tcW w:type="dxa" w:w="2736"/>
            <w:vAlign w:val="center"/>
          </w:tcPr>
          <w:p>
            <w:pPr>
              <w:spacing w:after="0"/>
            </w:pPr>
            <w:r/>
            <w:r>
              <w:rPr>
                <w:rFonts w:ascii="Calibri" w:hAnsi="Calibri"/>
                <w:b w:val="0"/>
                <w:sz w:val="15"/>
              </w:rPr>
              <w:t>Confirm actual architecture.</w:t>
            </w:r>
          </w:p>
        </w:tc>
      </w:tr>
      <w:tr>
        <w:tc>
          <w:tcPr>
            <w:tcW w:type="dxa" w:w="936"/>
            <w:vAlign w:val="center"/>
          </w:tcPr>
          <w:p>
            <w:pPr>
              <w:spacing w:after="0"/>
            </w:pPr>
            <w:r/>
            <w:r>
              <w:rPr>
                <w:rFonts w:ascii="Calibri" w:hAnsi="Calibri"/>
                <w:b w:val="0"/>
                <w:sz w:val="15"/>
              </w:rPr>
              <w:t>A-06</w:t>
            </w:r>
          </w:p>
        </w:tc>
        <w:tc>
          <w:tcPr>
            <w:tcW w:type="dxa" w:w="6192"/>
            <w:vAlign w:val="center"/>
          </w:tcPr>
          <w:p>
            <w:pPr>
              <w:spacing w:after="0"/>
            </w:pPr>
            <w:r/>
            <w:r>
              <w:rPr>
                <w:rFonts w:ascii="Calibri" w:hAnsi="Calibri"/>
                <w:b w:val="0"/>
                <w:sz w:val="15"/>
              </w:rPr>
              <w:t>Persistent storage may be used for run metadata; file persistence is implementation-dependent.</w:t>
            </w:r>
          </w:p>
        </w:tc>
        <w:tc>
          <w:tcPr>
            <w:tcW w:type="dxa" w:w="2736"/>
            <w:vAlign w:val="center"/>
          </w:tcPr>
          <w:p>
            <w:pPr>
              <w:spacing w:after="0"/>
            </w:pPr>
            <w:r/>
            <w:r>
              <w:rPr>
                <w:rFonts w:ascii="Calibri" w:hAnsi="Calibri"/>
                <w:b w:val="0"/>
                <w:sz w:val="15"/>
              </w:rPr>
              <w:t>TBD.</w:t>
            </w:r>
          </w:p>
        </w:tc>
      </w:tr>
      <w:tr>
        <w:tc>
          <w:tcPr>
            <w:tcW w:type="dxa" w:w="936"/>
            <w:vAlign w:val="center"/>
          </w:tcPr>
          <w:p>
            <w:pPr>
              <w:spacing w:after="0"/>
            </w:pPr>
            <w:r/>
            <w:r>
              <w:rPr>
                <w:rFonts w:ascii="Calibri" w:hAnsi="Calibri"/>
                <w:b w:val="0"/>
                <w:sz w:val="15"/>
              </w:rPr>
              <w:t>A-07</w:t>
            </w:r>
          </w:p>
        </w:tc>
        <w:tc>
          <w:tcPr>
            <w:tcW w:type="dxa" w:w="6192"/>
            <w:vAlign w:val="center"/>
          </w:tcPr>
          <w:p>
            <w:pPr>
              <w:spacing w:after="0"/>
            </w:pPr>
            <w:r/>
            <w:r>
              <w:rPr>
                <w:rFonts w:ascii="Calibri" w:hAnsi="Calibri"/>
                <w:b w:val="0"/>
                <w:sz w:val="15"/>
              </w:rPr>
              <w:t>Authentication is not assumed to exist. If user accounts exist, enforce authorization and ownership.</w:t>
            </w:r>
          </w:p>
        </w:tc>
        <w:tc>
          <w:tcPr>
            <w:tcW w:type="dxa" w:w="2736"/>
            <w:vAlign w:val="center"/>
          </w:tcPr>
          <w:p>
            <w:pPr>
              <w:spacing w:after="0"/>
            </w:pPr>
            <w:r/>
            <w:r>
              <w:rPr>
                <w:rFonts w:ascii="Calibri" w:hAnsi="Calibri"/>
                <w:b w:val="0"/>
                <w:sz w:val="15"/>
              </w:rPr>
              <w:t>Confirm login requirement.</w:t>
            </w:r>
          </w:p>
        </w:tc>
      </w:tr>
      <w:tr>
        <w:tc>
          <w:tcPr>
            <w:tcW w:type="dxa" w:w="936"/>
            <w:vAlign w:val="center"/>
          </w:tcPr>
          <w:p>
            <w:pPr>
              <w:spacing w:after="0"/>
            </w:pPr>
            <w:r/>
            <w:r>
              <w:rPr>
                <w:rFonts w:ascii="Calibri" w:hAnsi="Calibri"/>
                <w:b w:val="0"/>
                <w:sz w:val="15"/>
              </w:rPr>
              <w:t>A-08</w:t>
            </w:r>
          </w:p>
        </w:tc>
        <w:tc>
          <w:tcPr>
            <w:tcW w:type="dxa" w:w="6192"/>
            <w:vAlign w:val="center"/>
          </w:tcPr>
          <w:p>
            <w:pPr>
              <w:spacing w:after="0"/>
            </w:pPr>
            <w:r/>
            <w:r>
              <w:rPr>
                <w:rFonts w:ascii="Calibri" w:hAnsi="Calibri"/>
                <w:b w:val="0"/>
                <w:sz w:val="15"/>
              </w:rPr>
              <w:t>The system is a student mini-project, not a certified or safety-critical evaluation platform.</w:t>
            </w:r>
          </w:p>
        </w:tc>
        <w:tc>
          <w:tcPr>
            <w:tcW w:type="dxa" w:w="2736"/>
            <w:vAlign w:val="center"/>
          </w:tcPr>
          <w:p>
            <w:pPr>
              <w:spacing w:after="0"/>
            </w:pPr>
            <w:r/>
            <w:r>
              <w:rPr>
                <w:rFonts w:ascii="Calibri" w:hAnsi="Calibri"/>
                <w:b w:val="0"/>
                <w:sz w:val="15"/>
              </w:rPr>
              <w:t>Project context; revise if needed.</w:t>
            </w:r>
          </w:p>
        </w:tc>
      </w:tr>
    </w:tbl>
    <w:p/>
    <w:p>
      <w:pPr>
        <w:pStyle w:val="Heading3"/>
      </w:pPr>
      <w:r>
        <w:t>1.5 Overview</w:t>
      </w:r>
    </w:p>
    <w:p>
      <w:r>
        <w:t>Section 2 describes the product context. Section 3 specifies external interfaces. Section 4 lists functional and non-functional requirements. Section 5 records logical data requirements. Section 6 defines security objectives and requirements. Section 7 provides a use case model. Section 8 lists constraints and acceptance conditions.</w:t>
      </w:r>
    </w:p>
    <w:p>
      <w:pPr>
        <w:pStyle w:val="Heading2"/>
      </w:pPr>
      <w:r>
        <w:t>2. Overall Description</w:t>
      </w:r>
    </w:p>
    <w:p>
      <w:pPr>
        <w:pStyle w:val="Heading3"/>
      </w:pPr>
      <w:r>
        <w:t>2.1 Product perspective</w:t>
      </w:r>
    </w:p>
    <w:p>
      <w:r>
        <w:t>The evaluator is a web application with a user interface, a server/API layer, an evaluation component, and storage components where required. These are logical responsibilities, not a claim about the current codebase. The implementation may combine components or use different technologies.</w:t>
      </w:r>
    </w:p>
    <w:p>
      <w:pPr>
        <w:pStyle w:val="Heading3"/>
      </w:pPr>
      <w:r>
        <w:t>2.2 Product functions</w:t>
      </w:r>
    </w:p>
    <w:p>
      <w:pPr>
        <w:pStyle w:val="ListBullet"/>
        <w:spacing w:after="40"/>
      </w:pPr>
      <w:r>
        <w:t>Accept an evaluation input and identify its structure.</w:t>
      </w:r>
    </w:p>
    <w:p>
      <w:pPr>
        <w:pStyle w:val="ListBullet"/>
        <w:spacing w:after="40"/>
      </w:pPr>
      <w:r>
        <w:t>Validate required columns, target values, file type, file size, and supported task configuration.</w:t>
      </w:r>
    </w:p>
    <w:p>
      <w:pPr>
        <w:pStyle w:val="ListBullet"/>
        <w:spacing w:after="40"/>
      </w:pPr>
      <w:r>
        <w:t>Allow a user to choose a supported evaluation task and metric set.</w:t>
      </w:r>
    </w:p>
    <w:p>
      <w:pPr>
        <w:pStyle w:val="ListBullet"/>
        <w:spacing w:after="40"/>
      </w:pPr>
      <w:r>
        <w:t>Run metric calculations and produce a structured result.</w:t>
      </w:r>
    </w:p>
    <w:p>
      <w:pPr>
        <w:pStyle w:val="ListBullet"/>
        <w:spacing w:after="40"/>
      </w:pPr>
      <w:r>
        <w:t>Display metrics and the status of an evaluation run.</w:t>
      </w:r>
    </w:p>
    <w:p>
      <w:pPr>
        <w:pStyle w:val="ListBullet"/>
        <w:spacing w:after="40"/>
      </w:pPr>
      <w:r>
        <w:t>Provide actionable error messages when input or evaluation fails.</w:t>
      </w:r>
    </w:p>
    <w:p>
      <w:pPr>
        <w:pStyle w:val="ListBullet"/>
        <w:spacing w:after="40"/>
      </w:pPr>
      <w:r>
        <w:t>Optionally retain run history and allow report export, if implemented.</w:t>
      </w:r>
    </w:p>
    <w:p>
      <w:pPr>
        <w:pStyle w:val="Heading3"/>
      </w:pPr>
      <w:r>
        <w:t>2.3 User classes and characteristics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pPr>
              <w:spacing w:after="0"/>
            </w:pPr>
            <w:r/>
            <w:r>
              <w:rPr>
                <w:rFonts w:ascii="Calibri" w:hAnsi="Calibri"/>
                <w:b/>
                <w:sz w:val="16"/>
              </w:rPr>
              <w:t>User class</w:t>
            </w:r>
          </w:p>
        </w:tc>
        <w:tc>
          <w:tcPr>
            <w:tcW w:type="dxa" w:w="7200"/>
            <w:vAlign w:val="center"/>
            <w:shd w:fill="D9EAF7"/>
          </w:tcPr>
          <w:p>
            <w:pPr>
              <w:spacing w:after="0"/>
            </w:pPr>
            <w:r/>
            <w:r>
              <w:rPr>
                <w:rFonts w:ascii="Calibri" w:hAnsi="Calibri"/>
                <w:b/>
                <w:sz w:val="16"/>
              </w:rPr>
              <w:t>Needs / privileges</w:t>
            </w:r>
          </w:p>
        </w:tc>
      </w:tr>
      <w:tr>
        <w:tc>
          <w:tcPr>
            <w:tcW w:type="dxa" w:w="2592"/>
            <w:vAlign w:val="center"/>
          </w:tcPr>
          <w:p>
            <w:pPr>
              <w:spacing w:after="0"/>
            </w:pPr>
            <w:r/>
            <w:r>
              <w:rPr>
                <w:rFonts w:ascii="Calibri" w:hAnsi="Calibri"/>
                <w:b w:val="0"/>
                <w:sz w:val="16"/>
              </w:rPr>
              <w:t>Evaluator user</w:t>
            </w:r>
          </w:p>
        </w:tc>
        <w:tc>
          <w:tcPr>
            <w:tcW w:type="dxa" w:w="7200"/>
            <w:vAlign w:val="center"/>
          </w:tcPr>
          <w:p>
            <w:pPr>
              <w:spacing w:after="0"/>
            </w:pPr>
            <w:r/>
            <w:r>
              <w:rPr>
                <w:rFonts w:ascii="Calibri" w:hAnsi="Calibri"/>
                <w:b w:val="0"/>
                <w:sz w:val="16"/>
              </w:rPr>
              <w:t>Submits inputs, configures evaluations, views results for runs they are permitted to access.</w:t>
            </w:r>
          </w:p>
        </w:tc>
      </w:tr>
      <w:tr>
        <w:tc>
          <w:tcPr>
            <w:tcW w:type="dxa" w:w="2592"/>
            <w:vAlign w:val="center"/>
          </w:tcPr>
          <w:p>
            <w:pPr>
              <w:spacing w:after="0"/>
            </w:pPr>
            <w:r/>
            <w:r>
              <w:rPr>
                <w:rFonts w:ascii="Calibri" w:hAnsi="Calibri"/>
                <w:b w:val="0"/>
                <w:sz w:val="16"/>
              </w:rPr>
              <w:t>Project administrator (optional)</w:t>
            </w:r>
          </w:p>
        </w:tc>
        <w:tc>
          <w:tcPr>
            <w:tcW w:type="dxa" w:w="7200"/>
            <w:vAlign w:val="center"/>
          </w:tcPr>
          <w:p>
            <w:pPr>
              <w:spacing w:after="0"/>
            </w:pPr>
            <w:r/>
            <w:r>
              <w:rPr>
                <w:rFonts w:ascii="Calibri" w:hAnsi="Calibri"/>
                <w:b w:val="0"/>
                <w:sz w:val="16"/>
              </w:rPr>
              <w:t>Manages users or system configuration only if such functionality is implemented.</w:t>
            </w:r>
          </w:p>
        </w:tc>
      </w:tr>
      <w:tr>
        <w:tc>
          <w:tcPr>
            <w:tcW w:type="dxa" w:w="2592"/>
            <w:vAlign w:val="center"/>
          </w:tcPr>
          <w:p>
            <w:pPr>
              <w:spacing w:after="0"/>
            </w:pPr>
            <w:r/>
            <w:r>
              <w:rPr>
                <w:rFonts w:ascii="Calibri" w:hAnsi="Calibri"/>
                <w:b w:val="0"/>
                <w:sz w:val="16"/>
              </w:rPr>
              <w:t>Developer / maintainer</w:t>
            </w:r>
          </w:p>
        </w:tc>
        <w:tc>
          <w:tcPr>
            <w:tcW w:type="dxa" w:w="7200"/>
            <w:vAlign w:val="center"/>
          </w:tcPr>
          <w:p>
            <w:pPr>
              <w:spacing w:after="0"/>
            </w:pPr>
            <w:r/>
            <w:r>
              <w:rPr>
                <w:rFonts w:ascii="Calibri" w:hAnsi="Calibri"/>
                <w:b w:val="0"/>
                <w:sz w:val="16"/>
              </w:rPr>
              <w:t>Diagnoses failures through logs and maintains supported metrics and validation rules.</w:t>
            </w:r>
          </w:p>
        </w:tc>
      </w:tr>
    </w:tbl>
    <w:p/>
    <w:p>
      <w:pPr>
        <w:pStyle w:val="Heading3"/>
      </w:pPr>
      <w:r>
        <w:t>2.4 Operating environment</w:t>
      </w:r>
    </w:p>
    <w:p>
      <w:r>
        <w:t>Proposed environment: a modern browser on a desktop or laptop and a server environment capable of running the chosen application stack. Exact operating systems, browser versions, runtime, database, deployment platform, and resource limits are TBD and must be specified from the implementation.</w:t>
      </w:r>
    </w:p>
    <w:p>
      <w:pPr>
        <w:pStyle w:val="Heading3"/>
      </w:pPr>
      <w:r>
        <w:t>2.5 Design and implementation constraints</w:t>
      </w:r>
    </w:p>
    <w:p>
      <w:pPr>
        <w:pStyle w:val="ListBullet"/>
        <w:spacing w:after="40"/>
      </w:pPr>
      <w:r>
        <w:t>The application must only claim support for file formats, model types, tasks, and metrics actually implemented.</w:t>
      </w:r>
    </w:p>
    <w:p>
      <w:pPr>
        <w:pStyle w:val="ListBullet"/>
        <w:spacing w:after="40"/>
      </w:pPr>
      <w:r>
        <w:t>Metric names, definitions, input conventions, and averaging strategies must be stated clearly.</w:t>
      </w:r>
    </w:p>
    <w:p>
      <w:pPr>
        <w:pStyle w:val="ListBullet"/>
        <w:spacing w:after="40"/>
      </w:pPr>
      <w:r>
        <w:t>Uploaded data must be validated before evaluation logic consumes it.</w:t>
      </w:r>
    </w:p>
    <w:p>
      <w:pPr>
        <w:pStyle w:val="ListBullet"/>
        <w:spacing w:after="40"/>
      </w:pPr>
      <w:r>
        <w:t>The application must not execute uploaded files as code.</w:t>
      </w:r>
    </w:p>
    <w:p>
      <w:pPr>
        <w:pStyle w:val="ListBullet"/>
        <w:spacing w:after="40"/>
      </w:pPr>
      <w:r>
        <w:t>Evaluation results should be reproducible for the same inputs and configuration, subject to the selected algorithm and numerical environment.</w:t>
      </w:r>
    </w:p>
    <w:p>
      <w:pPr>
        <w:pStyle w:val="Heading3"/>
      </w:pPr>
      <w:r>
        <w:t>2.6 User documentation</w:t>
      </w:r>
    </w:p>
    <w:p>
      <w:r>
        <w:t>The project should provide concise instructions describing accepted input formats, required columns, supported tasks/metrics, upload limits, how to run an evaluation, how to interpret outputs, and common validation errors.</w:t>
      </w:r>
    </w:p>
    <w:p>
      <w:pPr>
        <w:pStyle w:val="Heading2"/>
      </w:pPr>
      <w:r>
        <w:t>3. External Interface Requirements</w:t>
      </w:r>
    </w:p>
    <w:p>
      <w:pPr>
        <w:pStyle w:val="Heading3"/>
      </w:pPr>
      <w:r>
        <w:t>3.1 User interface</w:t>
      </w:r>
    </w:p>
    <w:p>
      <w:pPr>
        <w:pStyle w:val="ListBullet"/>
        <w:spacing w:after="40"/>
      </w:pPr>
      <w:r>
        <w:t>UI-01: The upload screen shall state accepted file formats and the maximum file size.</w:t>
      </w:r>
    </w:p>
    <w:p>
      <w:pPr>
        <w:pStyle w:val="ListBullet"/>
        <w:spacing w:after="40"/>
      </w:pPr>
      <w:r>
        <w:t>UI-02: The configuration screen shall expose only task types and metrics supported by the implementation.</w:t>
      </w:r>
    </w:p>
    <w:p>
      <w:pPr>
        <w:pStyle w:val="ListBullet"/>
        <w:spacing w:after="40"/>
      </w:pPr>
      <w:r>
        <w:t>UI-03: The result screen shall display metric names, values, and relevant context such as sample count and task type.</w:t>
      </w:r>
    </w:p>
    <w:p>
      <w:pPr>
        <w:pStyle w:val="ListBullet"/>
        <w:spacing w:after="40"/>
      </w:pPr>
      <w:r>
        <w:t>UI-04: Validation failures shall identify the problem and, where practical, how to fix it.</w:t>
      </w:r>
    </w:p>
    <w:p>
      <w:pPr>
        <w:pStyle w:val="ListBullet"/>
        <w:spacing w:after="40"/>
      </w:pPr>
      <w:r>
        <w:t>UI-05: Controls shall have understandable labels and visible status feedback.</w:t>
      </w:r>
    </w:p>
    <w:p>
      <w:pPr>
        <w:pStyle w:val="Heading3"/>
      </w:pPr>
      <w:r>
        <w:t>3.2 Software interfaces</w:t>
      </w:r>
    </w:p>
    <w:p>
      <w:r>
        <w:t>The precise interface depends on the selected stack. The proposed logical API in the Design Specification uses JSON for metadata and multipart/form-data for file uploads. These are design proposals, not verified existing endpoints.</w:t>
      </w:r>
    </w:p>
    <w:p>
      <w:pPr>
        <w:pStyle w:val="Heading3"/>
      </w:pPr>
      <w:r>
        <w:t>3.3 Hardware interfaces</w:t>
      </w:r>
    </w:p>
    <w:p>
      <w:r>
        <w:t>No specialized hardware interface is required by the baseline. CPU, memory, and storage requirements depend on maximum supported input size and evaluation complexity; these limits are TBD.</w:t>
      </w:r>
    </w:p>
    <w:p>
      <w:pPr>
        <w:pStyle w:val="Heading3"/>
      </w:pPr>
      <w:r>
        <w:t>3.4 Communications interfaces</w:t>
      </w:r>
    </w:p>
    <w:p>
      <w:r>
        <w:t>If deployed over a network, browser-to-server communication shall use HTTPS in the deployed environment. Local development may use a local HTTP endpoint; this does not satisfy the deployment security requirement.</w:t>
      </w:r>
    </w:p>
    <w:p>
      <w:pPr>
        <w:pStyle w:val="Heading2"/>
      </w:pPr>
      <w:r>
        <w:t>4. System Features and Requirements</w:t>
      </w:r>
    </w:p>
    <w:p>
      <w:pPr>
        <w:pStyle w:val="Heading3"/>
      </w:pPr>
      <w:r>
        <w:t>4.1 Requirement conventions</w:t>
      </w:r>
    </w:p>
    <w:p>
      <w:r>
        <w:t>Each requirement uses a unique ID and the word “shall” for a mandatory, testable obligation. Requirements are intentionally measurable where the project team can set a threshold. Where the real deployment limit is unknown, the value is marked TBD and must be fixed before acceptance testing.</w:t>
      </w:r>
    </w:p>
    <w:p>
      <w:pPr>
        <w:pStyle w:val="Heading3"/>
      </w:pPr>
      <w:r>
        <w:t>4.2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D9EAF7"/>
          </w:tcPr>
          <w:p>
            <w:pPr>
              <w:spacing w:after="0"/>
            </w:pPr>
            <w:r/>
            <w:r>
              <w:rPr>
                <w:rFonts w:ascii="Calibri" w:hAnsi="Calibri"/>
                <w:b/>
                <w:sz w:val="15"/>
              </w:rPr>
              <w:t>ID</w:t>
            </w:r>
          </w:p>
        </w:tc>
        <w:tc>
          <w:tcPr>
            <w:tcW w:type="dxa" w:w="1800"/>
            <w:vAlign w:val="center"/>
            <w:shd w:fill="D9EAF7"/>
          </w:tcPr>
          <w:p>
            <w:pPr>
              <w:spacing w:after="0"/>
            </w:pPr>
            <w:r/>
            <w:r>
              <w:rPr>
                <w:rFonts w:ascii="Calibri" w:hAnsi="Calibri"/>
                <w:b/>
                <w:sz w:val="15"/>
              </w:rPr>
              <w:t>Name</w:t>
            </w:r>
          </w:p>
        </w:tc>
        <w:tc>
          <w:tcPr>
            <w:tcW w:type="dxa" w:w="7056"/>
            <w:vAlign w:val="center"/>
            <w:shd w:fill="D9EAF7"/>
          </w:tcPr>
          <w:p>
            <w:pPr>
              <w:spacing w:after="0"/>
            </w:pPr>
            <w:r/>
            <w:r>
              <w:rPr>
                <w:rFonts w:ascii="Calibri" w:hAnsi="Calibri"/>
                <w:b/>
                <w:sz w:val="15"/>
              </w:rPr>
              <w:t>Requirement</w:t>
            </w:r>
          </w:p>
        </w:tc>
      </w:tr>
      <w:tr>
        <w:tc>
          <w:tcPr>
            <w:tcW w:type="dxa" w:w="936"/>
            <w:vAlign w:val="center"/>
          </w:tcPr>
          <w:p>
            <w:pPr>
              <w:spacing w:after="0"/>
            </w:pPr>
            <w:r/>
            <w:r>
              <w:rPr>
                <w:rFonts w:ascii="Calibri" w:hAnsi="Calibri"/>
                <w:b w:val="0"/>
                <w:sz w:val="15"/>
              </w:rPr>
              <w:t>FR-01</w:t>
            </w:r>
          </w:p>
        </w:tc>
        <w:tc>
          <w:tcPr>
            <w:tcW w:type="dxa" w:w="1800"/>
            <w:vAlign w:val="center"/>
          </w:tcPr>
          <w:p>
            <w:pPr>
              <w:spacing w:after="0"/>
            </w:pPr>
            <w:r/>
            <w:r>
              <w:rPr>
                <w:rFonts w:ascii="Calibri" w:hAnsi="Calibri"/>
                <w:b w:val="0"/>
                <w:sz w:val="15"/>
              </w:rPr>
              <w:t>Input upload</w:t>
            </w:r>
          </w:p>
        </w:tc>
        <w:tc>
          <w:tcPr>
            <w:tcW w:type="dxa" w:w="7056"/>
            <w:vAlign w:val="center"/>
          </w:tcPr>
          <w:p>
            <w:pPr>
              <w:spacing w:after="0"/>
            </w:pPr>
            <w:r/>
            <w:r>
              <w:rPr>
                <w:rFonts w:ascii="Calibri" w:hAnsi="Calibri"/>
                <w:b w:val="0"/>
                <w:sz w:val="15"/>
              </w:rPr>
              <w:t>The system shall allow the user to submit an evaluation input in at least one documented, supported format.</w:t>
            </w:r>
          </w:p>
        </w:tc>
      </w:tr>
      <w:tr>
        <w:tc>
          <w:tcPr>
            <w:tcW w:type="dxa" w:w="936"/>
            <w:vAlign w:val="center"/>
          </w:tcPr>
          <w:p>
            <w:pPr>
              <w:spacing w:after="0"/>
            </w:pPr>
            <w:r/>
            <w:r>
              <w:rPr>
                <w:rFonts w:ascii="Calibri" w:hAnsi="Calibri"/>
                <w:b w:val="0"/>
                <w:sz w:val="15"/>
              </w:rPr>
              <w:t>FR-02</w:t>
            </w:r>
          </w:p>
        </w:tc>
        <w:tc>
          <w:tcPr>
            <w:tcW w:type="dxa" w:w="1800"/>
            <w:vAlign w:val="center"/>
          </w:tcPr>
          <w:p>
            <w:pPr>
              <w:spacing w:after="0"/>
            </w:pPr>
            <w:r/>
            <w:r>
              <w:rPr>
                <w:rFonts w:ascii="Calibri" w:hAnsi="Calibri"/>
                <w:b w:val="0"/>
                <w:sz w:val="15"/>
              </w:rPr>
              <w:t>Upload validation</w:t>
            </w:r>
          </w:p>
        </w:tc>
        <w:tc>
          <w:tcPr>
            <w:tcW w:type="dxa" w:w="7056"/>
            <w:vAlign w:val="center"/>
          </w:tcPr>
          <w:p>
            <w:pPr>
              <w:spacing w:after="0"/>
            </w:pPr>
            <w:r/>
            <w:r>
              <w:rPr>
                <w:rFonts w:ascii="Calibri" w:hAnsi="Calibri"/>
                <w:b w:val="0"/>
                <w:sz w:val="15"/>
              </w:rPr>
              <w:t>The system shall reject files with unsupported extensions or content types and display a validation message.</w:t>
            </w:r>
          </w:p>
        </w:tc>
      </w:tr>
      <w:tr>
        <w:tc>
          <w:tcPr>
            <w:tcW w:type="dxa" w:w="936"/>
            <w:vAlign w:val="center"/>
          </w:tcPr>
          <w:p>
            <w:pPr>
              <w:spacing w:after="0"/>
            </w:pPr>
            <w:r/>
            <w:r>
              <w:rPr>
                <w:rFonts w:ascii="Calibri" w:hAnsi="Calibri"/>
                <w:b w:val="0"/>
                <w:sz w:val="15"/>
              </w:rPr>
              <w:t>FR-03</w:t>
            </w:r>
          </w:p>
        </w:tc>
        <w:tc>
          <w:tcPr>
            <w:tcW w:type="dxa" w:w="1800"/>
            <w:vAlign w:val="center"/>
          </w:tcPr>
          <w:p>
            <w:pPr>
              <w:spacing w:after="0"/>
            </w:pPr>
            <w:r/>
            <w:r>
              <w:rPr>
                <w:rFonts w:ascii="Calibri" w:hAnsi="Calibri"/>
                <w:b w:val="0"/>
                <w:sz w:val="15"/>
              </w:rPr>
              <w:t>Size limit</w:t>
            </w:r>
          </w:p>
        </w:tc>
        <w:tc>
          <w:tcPr>
            <w:tcW w:type="dxa" w:w="7056"/>
            <w:vAlign w:val="center"/>
          </w:tcPr>
          <w:p>
            <w:pPr>
              <w:spacing w:after="0"/>
            </w:pPr>
            <w:r/>
            <w:r>
              <w:rPr>
                <w:rFonts w:ascii="Calibri" w:hAnsi="Calibri"/>
                <w:b w:val="0"/>
                <w:sz w:val="15"/>
              </w:rPr>
              <w:t>The system shall reject inputs exceeding the configured maximum upload size, M_UPLOAD, and state the permitted limit.</w:t>
            </w:r>
          </w:p>
        </w:tc>
      </w:tr>
      <w:tr>
        <w:tc>
          <w:tcPr>
            <w:tcW w:type="dxa" w:w="936"/>
            <w:vAlign w:val="center"/>
          </w:tcPr>
          <w:p>
            <w:pPr>
              <w:spacing w:after="0"/>
            </w:pPr>
            <w:r/>
            <w:r>
              <w:rPr>
                <w:rFonts w:ascii="Calibri" w:hAnsi="Calibri"/>
                <w:b w:val="0"/>
                <w:sz w:val="15"/>
              </w:rPr>
              <w:t>FR-04</w:t>
            </w:r>
          </w:p>
        </w:tc>
        <w:tc>
          <w:tcPr>
            <w:tcW w:type="dxa" w:w="1800"/>
            <w:vAlign w:val="center"/>
          </w:tcPr>
          <w:p>
            <w:pPr>
              <w:spacing w:after="0"/>
            </w:pPr>
            <w:r/>
            <w:r>
              <w:rPr>
                <w:rFonts w:ascii="Calibri" w:hAnsi="Calibri"/>
                <w:b w:val="0"/>
                <w:sz w:val="15"/>
              </w:rPr>
              <w:t>Structure validation</w:t>
            </w:r>
          </w:p>
        </w:tc>
        <w:tc>
          <w:tcPr>
            <w:tcW w:type="dxa" w:w="7056"/>
            <w:vAlign w:val="center"/>
          </w:tcPr>
          <w:p>
            <w:pPr>
              <w:spacing w:after="0"/>
            </w:pPr>
            <w:r/>
            <w:r>
              <w:rPr>
                <w:rFonts w:ascii="Calibri" w:hAnsi="Calibri"/>
                <w:b w:val="0"/>
                <w:sz w:val="15"/>
              </w:rPr>
              <w:t>The system shall verify that required prediction and reference/target fields are present before starting evaluation.</w:t>
            </w:r>
          </w:p>
        </w:tc>
      </w:tr>
      <w:tr>
        <w:tc>
          <w:tcPr>
            <w:tcW w:type="dxa" w:w="936"/>
            <w:vAlign w:val="center"/>
          </w:tcPr>
          <w:p>
            <w:pPr>
              <w:spacing w:after="0"/>
            </w:pPr>
            <w:r/>
            <w:r>
              <w:rPr>
                <w:rFonts w:ascii="Calibri" w:hAnsi="Calibri"/>
                <w:b w:val="0"/>
                <w:sz w:val="15"/>
              </w:rPr>
              <w:t>FR-05</w:t>
            </w:r>
          </w:p>
        </w:tc>
        <w:tc>
          <w:tcPr>
            <w:tcW w:type="dxa" w:w="1800"/>
            <w:vAlign w:val="center"/>
          </w:tcPr>
          <w:p>
            <w:pPr>
              <w:spacing w:after="0"/>
            </w:pPr>
            <w:r/>
            <w:r>
              <w:rPr>
                <w:rFonts w:ascii="Calibri" w:hAnsi="Calibri"/>
                <w:b w:val="0"/>
                <w:sz w:val="15"/>
              </w:rPr>
              <w:t>Configuration</w:t>
            </w:r>
          </w:p>
        </w:tc>
        <w:tc>
          <w:tcPr>
            <w:tcW w:type="dxa" w:w="7056"/>
            <w:vAlign w:val="center"/>
          </w:tcPr>
          <w:p>
            <w:pPr>
              <w:spacing w:after="0"/>
            </w:pPr>
            <w:r/>
            <w:r>
              <w:rPr>
                <w:rFonts w:ascii="Calibri" w:hAnsi="Calibri"/>
                <w:b w:val="0"/>
                <w:sz w:val="15"/>
              </w:rPr>
              <w:t>The system shall allow the user to select a supported task type and one or more compatible metrics.</w:t>
            </w:r>
          </w:p>
        </w:tc>
      </w:tr>
      <w:tr>
        <w:tc>
          <w:tcPr>
            <w:tcW w:type="dxa" w:w="936"/>
            <w:vAlign w:val="center"/>
          </w:tcPr>
          <w:p>
            <w:pPr>
              <w:spacing w:after="0"/>
            </w:pPr>
            <w:r/>
            <w:r>
              <w:rPr>
                <w:rFonts w:ascii="Calibri" w:hAnsi="Calibri"/>
                <w:b w:val="0"/>
                <w:sz w:val="15"/>
              </w:rPr>
              <w:t>FR-06</w:t>
            </w:r>
          </w:p>
        </w:tc>
        <w:tc>
          <w:tcPr>
            <w:tcW w:type="dxa" w:w="1800"/>
            <w:vAlign w:val="center"/>
          </w:tcPr>
          <w:p>
            <w:pPr>
              <w:spacing w:after="0"/>
            </w:pPr>
            <w:r/>
            <w:r>
              <w:rPr>
                <w:rFonts w:ascii="Calibri" w:hAnsi="Calibri"/>
                <w:b w:val="0"/>
                <w:sz w:val="15"/>
              </w:rPr>
              <w:t>Compatibility</w:t>
            </w:r>
          </w:p>
        </w:tc>
        <w:tc>
          <w:tcPr>
            <w:tcW w:type="dxa" w:w="7056"/>
            <w:vAlign w:val="center"/>
          </w:tcPr>
          <w:p>
            <w:pPr>
              <w:spacing w:after="0"/>
            </w:pPr>
            <w:r/>
            <w:r>
              <w:rPr>
                <w:rFonts w:ascii="Calibri" w:hAnsi="Calibri"/>
                <w:b w:val="0"/>
                <w:sz w:val="15"/>
              </w:rPr>
              <w:t>The system shall reject a task/metric combination that is not supported by the evaluator.</w:t>
            </w:r>
          </w:p>
        </w:tc>
      </w:tr>
      <w:tr>
        <w:tc>
          <w:tcPr>
            <w:tcW w:type="dxa" w:w="936"/>
            <w:vAlign w:val="center"/>
          </w:tcPr>
          <w:p>
            <w:pPr>
              <w:spacing w:after="0"/>
            </w:pPr>
            <w:r/>
            <w:r>
              <w:rPr>
                <w:rFonts w:ascii="Calibri" w:hAnsi="Calibri"/>
                <w:b w:val="0"/>
                <w:sz w:val="15"/>
              </w:rPr>
              <w:t>FR-07</w:t>
            </w:r>
          </w:p>
        </w:tc>
        <w:tc>
          <w:tcPr>
            <w:tcW w:type="dxa" w:w="1800"/>
            <w:vAlign w:val="center"/>
          </w:tcPr>
          <w:p>
            <w:pPr>
              <w:spacing w:after="0"/>
            </w:pPr>
            <w:r/>
            <w:r>
              <w:rPr>
                <w:rFonts w:ascii="Calibri" w:hAnsi="Calibri"/>
                <w:b w:val="0"/>
                <w:sz w:val="15"/>
              </w:rPr>
              <w:t>Evaluation execution</w:t>
            </w:r>
          </w:p>
        </w:tc>
        <w:tc>
          <w:tcPr>
            <w:tcW w:type="dxa" w:w="7056"/>
            <w:vAlign w:val="center"/>
          </w:tcPr>
          <w:p>
            <w:pPr>
              <w:spacing w:after="0"/>
            </w:pPr>
            <w:r/>
            <w:r>
              <w:rPr>
                <w:rFonts w:ascii="Calibri" w:hAnsi="Calibri"/>
                <w:b w:val="0"/>
                <w:sz w:val="15"/>
              </w:rPr>
              <w:t>For valid inputs and configuration, the system shall calculate the selected metrics and associate the results with an evaluation run.</w:t>
            </w:r>
          </w:p>
        </w:tc>
      </w:tr>
      <w:tr>
        <w:tc>
          <w:tcPr>
            <w:tcW w:type="dxa" w:w="936"/>
            <w:vAlign w:val="center"/>
          </w:tcPr>
          <w:p>
            <w:pPr>
              <w:spacing w:after="0"/>
            </w:pPr>
            <w:r/>
            <w:r>
              <w:rPr>
                <w:rFonts w:ascii="Calibri" w:hAnsi="Calibri"/>
                <w:b w:val="0"/>
                <w:sz w:val="15"/>
              </w:rPr>
              <w:t>FR-08</w:t>
            </w:r>
          </w:p>
        </w:tc>
        <w:tc>
          <w:tcPr>
            <w:tcW w:type="dxa" w:w="1800"/>
            <w:vAlign w:val="center"/>
          </w:tcPr>
          <w:p>
            <w:pPr>
              <w:spacing w:after="0"/>
            </w:pPr>
            <w:r/>
            <w:r>
              <w:rPr>
                <w:rFonts w:ascii="Calibri" w:hAnsi="Calibri"/>
                <w:b w:val="0"/>
                <w:sz w:val="15"/>
              </w:rPr>
              <w:t>Result presentation</w:t>
            </w:r>
          </w:p>
        </w:tc>
        <w:tc>
          <w:tcPr>
            <w:tcW w:type="dxa" w:w="7056"/>
            <w:vAlign w:val="center"/>
          </w:tcPr>
          <w:p>
            <w:pPr>
              <w:spacing w:after="0"/>
            </w:pPr>
            <w:r/>
            <w:r>
              <w:rPr>
                <w:rFonts w:ascii="Calibri" w:hAnsi="Calibri"/>
                <w:b w:val="0"/>
                <w:sz w:val="15"/>
              </w:rPr>
              <w:t>The system shall display each selected metric’s name and computed value for a completed run.</w:t>
            </w:r>
          </w:p>
        </w:tc>
      </w:tr>
      <w:tr>
        <w:tc>
          <w:tcPr>
            <w:tcW w:type="dxa" w:w="936"/>
            <w:vAlign w:val="center"/>
          </w:tcPr>
          <w:p>
            <w:pPr>
              <w:spacing w:after="0"/>
            </w:pPr>
            <w:r/>
            <w:r>
              <w:rPr>
                <w:rFonts w:ascii="Calibri" w:hAnsi="Calibri"/>
                <w:b w:val="0"/>
                <w:sz w:val="15"/>
              </w:rPr>
              <w:t>FR-09</w:t>
            </w:r>
          </w:p>
        </w:tc>
        <w:tc>
          <w:tcPr>
            <w:tcW w:type="dxa" w:w="1800"/>
            <w:vAlign w:val="center"/>
          </w:tcPr>
          <w:p>
            <w:pPr>
              <w:spacing w:after="0"/>
            </w:pPr>
            <w:r/>
            <w:r>
              <w:rPr>
                <w:rFonts w:ascii="Calibri" w:hAnsi="Calibri"/>
                <w:b w:val="0"/>
                <w:sz w:val="15"/>
              </w:rPr>
              <w:t>Failure handling</w:t>
            </w:r>
          </w:p>
        </w:tc>
        <w:tc>
          <w:tcPr>
            <w:tcW w:type="dxa" w:w="7056"/>
            <w:vAlign w:val="center"/>
          </w:tcPr>
          <w:p>
            <w:pPr>
              <w:spacing w:after="0"/>
            </w:pPr>
            <w:r/>
            <w:r>
              <w:rPr>
                <w:rFonts w:ascii="Calibri" w:hAnsi="Calibri"/>
                <w:b w:val="0"/>
                <w:sz w:val="15"/>
              </w:rPr>
              <w:t>If validation or evaluation fails, the system shall show an actionable error and shall not present the run as successfully completed.</w:t>
            </w:r>
          </w:p>
        </w:tc>
      </w:tr>
      <w:tr>
        <w:tc>
          <w:tcPr>
            <w:tcW w:type="dxa" w:w="936"/>
            <w:vAlign w:val="center"/>
          </w:tcPr>
          <w:p>
            <w:pPr>
              <w:spacing w:after="0"/>
            </w:pPr>
            <w:r/>
            <w:r>
              <w:rPr>
                <w:rFonts w:ascii="Calibri" w:hAnsi="Calibri"/>
                <w:b w:val="0"/>
                <w:sz w:val="15"/>
              </w:rPr>
              <w:t>FR-10</w:t>
            </w:r>
          </w:p>
        </w:tc>
        <w:tc>
          <w:tcPr>
            <w:tcW w:type="dxa" w:w="1800"/>
            <w:vAlign w:val="center"/>
          </w:tcPr>
          <w:p>
            <w:pPr>
              <w:spacing w:after="0"/>
            </w:pPr>
            <w:r/>
            <w:r>
              <w:rPr>
                <w:rFonts w:ascii="Calibri" w:hAnsi="Calibri"/>
                <w:b w:val="0"/>
                <w:sz w:val="15"/>
              </w:rPr>
              <w:t>Run status</w:t>
            </w:r>
          </w:p>
        </w:tc>
        <w:tc>
          <w:tcPr>
            <w:tcW w:type="dxa" w:w="7056"/>
            <w:vAlign w:val="center"/>
          </w:tcPr>
          <w:p>
            <w:pPr>
              <w:spacing w:after="0"/>
            </w:pPr>
            <w:r/>
            <w:r>
              <w:rPr>
                <w:rFonts w:ascii="Calibri" w:hAnsi="Calibri"/>
                <w:b w:val="0"/>
                <w:sz w:val="15"/>
              </w:rPr>
              <w:t>The system shall expose a status for each submitted evaluation: pending, running, completed, or failed, if asynchronous processing is used.</w:t>
            </w:r>
          </w:p>
        </w:tc>
      </w:tr>
      <w:tr>
        <w:tc>
          <w:tcPr>
            <w:tcW w:type="dxa" w:w="936"/>
            <w:vAlign w:val="center"/>
          </w:tcPr>
          <w:p>
            <w:pPr>
              <w:spacing w:after="0"/>
            </w:pPr>
            <w:r/>
            <w:r>
              <w:rPr>
                <w:rFonts w:ascii="Calibri" w:hAnsi="Calibri"/>
                <w:b w:val="0"/>
                <w:sz w:val="15"/>
              </w:rPr>
              <w:t>FR-11</w:t>
            </w:r>
          </w:p>
        </w:tc>
        <w:tc>
          <w:tcPr>
            <w:tcW w:type="dxa" w:w="1800"/>
            <w:vAlign w:val="center"/>
          </w:tcPr>
          <w:p>
            <w:pPr>
              <w:spacing w:after="0"/>
            </w:pPr>
            <w:r/>
            <w:r>
              <w:rPr>
                <w:rFonts w:ascii="Calibri" w:hAnsi="Calibri"/>
                <w:b w:val="0"/>
                <w:sz w:val="15"/>
              </w:rPr>
              <w:t>Run history</w:t>
            </w:r>
          </w:p>
        </w:tc>
        <w:tc>
          <w:tcPr>
            <w:tcW w:type="dxa" w:w="7056"/>
            <w:vAlign w:val="center"/>
          </w:tcPr>
          <w:p>
            <w:pPr>
              <w:spacing w:after="0"/>
            </w:pPr>
            <w:r/>
            <w:r>
              <w:rPr>
                <w:rFonts w:ascii="Calibri" w:hAnsi="Calibri"/>
                <w:b w:val="0"/>
                <w:sz w:val="15"/>
              </w:rPr>
              <w:t>If persistence/history is in scope, the system shall list prior runs belonging to the current user or session.</w:t>
            </w:r>
          </w:p>
        </w:tc>
      </w:tr>
      <w:tr>
        <w:tc>
          <w:tcPr>
            <w:tcW w:type="dxa" w:w="936"/>
            <w:vAlign w:val="center"/>
          </w:tcPr>
          <w:p>
            <w:pPr>
              <w:spacing w:after="0"/>
            </w:pPr>
            <w:r/>
            <w:r>
              <w:rPr>
                <w:rFonts w:ascii="Calibri" w:hAnsi="Calibri"/>
                <w:b w:val="0"/>
                <w:sz w:val="15"/>
              </w:rPr>
              <w:t>FR-12</w:t>
            </w:r>
          </w:p>
        </w:tc>
        <w:tc>
          <w:tcPr>
            <w:tcW w:type="dxa" w:w="1800"/>
            <w:vAlign w:val="center"/>
          </w:tcPr>
          <w:p>
            <w:pPr>
              <w:spacing w:after="0"/>
            </w:pPr>
            <w:r/>
            <w:r>
              <w:rPr>
                <w:rFonts w:ascii="Calibri" w:hAnsi="Calibri"/>
                <w:b w:val="0"/>
                <w:sz w:val="15"/>
              </w:rPr>
              <w:t>Run detail access</w:t>
            </w:r>
          </w:p>
        </w:tc>
        <w:tc>
          <w:tcPr>
            <w:tcW w:type="dxa" w:w="7056"/>
            <w:vAlign w:val="center"/>
          </w:tcPr>
          <w:p>
            <w:pPr>
              <w:spacing w:after="0"/>
            </w:pPr>
            <w:r/>
            <w:r>
              <w:rPr>
                <w:rFonts w:ascii="Calibri" w:hAnsi="Calibri"/>
                <w:b w:val="0"/>
                <w:sz w:val="15"/>
              </w:rPr>
              <w:t>If user accounts are implemented, the system shall prevent a user from viewing another user’s restricted run.</w:t>
            </w:r>
          </w:p>
        </w:tc>
      </w:tr>
      <w:tr>
        <w:tc>
          <w:tcPr>
            <w:tcW w:type="dxa" w:w="936"/>
            <w:vAlign w:val="center"/>
          </w:tcPr>
          <w:p>
            <w:pPr>
              <w:spacing w:after="0"/>
            </w:pPr>
            <w:r/>
            <w:r>
              <w:rPr>
                <w:rFonts w:ascii="Calibri" w:hAnsi="Calibri"/>
                <w:b w:val="0"/>
                <w:sz w:val="15"/>
              </w:rPr>
              <w:t>FR-13</w:t>
            </w:r>
          </w:p>
        </w:tc>
        <w:tc>
          <w:tcPr>
            <w:tcW w:type="dxa" w:w="1800"/>
            <w:vAlign w:val="center"/>
          </w:tcPr>
          <w:p>
            <w:pPr>
              <w:spacing w:after="0"/>
            </w:pPr>
            <w:r/>
            <w:r>
              <w:rPr>
                <w:rFonts w:ascii="Calibri" w:hAnsi="Calibri"/>
                <w:b w:val="0"/>
                <w:sz w:val="15"/>
              </w:rPr>
              <w:t>Report export</w:t>
            </w:r>
          </w:p>
        </w:tc>
        <w:tc>
          <w:tcPr>
            <w:tcW w:type="dxa" w:w="7056"/>
            <w:vAlign w:val="center"/>
          </w:tcPr>
          <w:p>
            <w:pPr>
              <w:spacing w:after="0"/>
            </w:pPr>
            <w:r/>
            <w:r>
              <w:rPr>
                <w:rFonts w:ascii="Calibri" w:hAnsi="Calibri"/>
                <w:b w:val="0"/>
                <w:sz w:val="15"/>
              </w:rPr>
              <w:t>If report export is implemented, the system shall export the displayed metrics and run context in a documented format.</w:t>
            </w:r>
          </w:p>
        </w:tc>
      </w:tr>
      <w:tr>
        <w:tc>
          <w:tcPr>
            <w:tcW w:type="dxa" w:w="936"/>
            <w:vAlign w:val="center"/>
          </w:tcPr>
          <w:p>
            <w:pPr>
              <w:spacing w:after="0"/>
            </w:pPr>
            <w:r/>
            <w:r>
              <w:rPr>
                <w:rFonts w:ascii="Calibri" w:hAnsi="Calibri"/>
                <w:b w:val="0"/>
                <w:sz w:val="15"/>
              </w:rPr>
              <w:t>FR-14</w:t>
            </w:r>
          </w:p>
        </w:tc>
        <w:tc>
          <w:tcPr>
            <w:tcW w:type="dxa" w:w="1800"/>
            <w:vAlign w:val="center"/>
          </w:tcPr>
          <w:p>
            <w:pPr>
              <w:spacing w:after="0"/>
            </w:pPr>
            <w:r/>
            <w:r>
              <w:rPr>
                <w:rFonts w:ascii="Calibri" w:hAnsi="Calibri"/>
                <w:b w:val="0"/>
                <w:sz w:val="15"/>
              </w:rPr>
              <w:t>Input-to-result linkage</w:t>
            </w:r>
          </w:p>
        </w:tc>
        <w:tc>
          <w:tcPr>
            <w:tcW w:type="dxa" w:w="7056"/>
            <w:vAlign w:val="center"/>
          </w:tcPr>
          <w:p>
            <w:pPr>
              <w:spacing w:after="0"/>
            </w:pPr>
            <w:r/>
            <w:r>
              <w:rPr>
                <w:rFonts w:ascii="Calibri" w:hAnsi="Calibri"/>
                <w:b w:val="0"/>
                <w:sz w:val="15"/>
              </w:rPr>
              <w:t>The system shall associate each result with the configuration and input identifier used to produce it.</w:t>
            </w:r>
          </w:p>
        </w:tc>
      </w:tr>
    </w:tbl>
    <w:p/>
    <w:p>
      <w:pPr>
        <w:pStyle w:val="Heading3"/>
      </w:pPr>
      <w:r>
        <w:t>4.3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D9EAF7"/>
          </w:tcPr>
          <w:p>
            <w:pPr>
              <w:spacing w:after="0"/>
            </w:pPr>
            <w:r/>
            <w:r>
              <w:rPr>
                <w:rFonts w:ascii="Calibri" w:hAnsi="Calibri"/>
                <w:b/>
                <w:sz w:val="15"/>
              </w:rPr>
              <w:t>ID</w:t>
            </w:r>
          </w:p>
        </w:tc>
        <w:tc>
          <w:tcPr>
            <w:tcW w:type="dxa" w:w="1728"/>
            <w:vAlign w:val="center"/>
            <w:shd w:fill="D9EAF7"/>
          </w:tcPr>
          <w:p>
            <w:pPr>
              <w:spacing w:after="0"/>
            </w:pPr>
            <w:r/>
            <w:r>
              <w:rPr>
                <w:rFonts w:ascii="Calibri" w:hAnsi="Calibri"/>
                <w:b/>
                <w:sz w:val="15"/>
              </w:rPr>
              <w:t>Quality attribute</w:t>
            </w:r>
          </w:p>
        </w:tc>
        <w:tc>
          <w:tcPr>
            <w:tcW w:type="dxa" w:w="7128"/>
            <w:vAlign w:val="center"/>
            <w:shd w:fill="D9EAF7"/>
          </w:tcPr>
          <w:p>
            <w:pPr>
              <w:spacing w:after="0"/>
            </w:pPr>
            <w:r/>
            <w:r>
              <w:rPr>
                <w:rFonts w:ascii="Calibri" w:hAnsi="Calibri"/>
                <w:b/>
                <w:sz w:val="15"/>
              </w:rPr>
              <w:t>Requirement</w:t>
            </w:r>
          </w:p>
        </w:tc>
      </w:tr>
      <w:tr>
        <w:tc>
          <w:tcPr>
            <w:tcW w:type="dxa" w:w="936"/>
            <w:vAlign w:val="center"/>
          </w:tcPr>
          <w:p>
            <w:pPr>
              <w:spacing w:after="0"/>
            </w:pPr>
            <w:r/>
            <w:r>
              <w:rPr>
                <w:rFonts w:ascii="Calibri" w:hAnsi="Calibri"/>
                <w:b w:val="0"/>
                <w:sz w:val="15"/>
              </w:rPr>
              <w:t>NFR-01</w:t>
            </w:r>
          </w:p>
        </w:tc>
        <w:tc>
          <w:tcPr>
            <w:tcW w:type="dxa" w:w="1728"/>
            <w:vAlign w:val="center"/>
          </w:tcPr>
          <w:p>
            <w:pPr>
              <w:spacing w:after="0"/>
            </w:pPr>
            <w:r/>
            <w:r>
              <w:rPr>
                <w:rFonts w:ascii="Calibri" w:hAnsi="Calibri"/>
                <w:b w:val="0"/>
                <w:sz w:val="15"/>
              </w:rPr>
              <w:t>Performance</w:t>
            </w:r>
          </w:p>
        </w:tc>
        <w:tc>
          <w:tcPr>
            <w:tcW w:type="dxa" w:w="7128"/>
            <w:vAlign w:val="center"/>
          </w:tcPr>
          <w:p>
            <w:pPr>
              <w:spacing w:after="0"/>
            </w:pPr>
            <w:r/>
            <w:r>
              <w:rPr>
                <w:rFonts w:ascii="Calibri" w:hAnsi="Calibri"/>
                <w:b w:val="0"/>
                <w:sz w:val="15"/>
              </w:rPr>
              <w:t>For an input of up to N_ROWS rows and within the configured size limit, 95% of evaluations shall complete within T_EVAL seconds in the documented test environment. N_ROWS and T_EVAL shall be set before acceptance testing.</w:t>
            </w:r>
          </w:p>
        </w:tc>
      </w:tr>
      <w:tr>
        <w:tc>
          <w:tcPr>
            <w:tcW w:type="dxa" w:w="936"/>
            <w:vAlign w:val="center"/>
          </w:tcPr>
          <w:p>
            <w:pPr>
              <w:spacing w:after="0"/>
            </w:pPr>
            <w:r/>
            <w:r>
              <w:rPr>
                <w:rFonts w:ascii="Calibri" w:hAnsi="Calibri"/>
                <w:b w:val="0"/>
                <w:sz w:val="15"/>
              </w:rPr>
              <w:t>NFR-02</w:t>
            </w:r>
          </w:p>
        </w:tc>
        <w:tc>
          <w:tcPr>
            <w:tcW w:type="dxa" w:w="1728"/>
            <w:vAlign w:val="center"/>
          </w:tcPr>
          <w:p>
            <w:pPr>
              <w:spacing w:after="0"/>
            </w:pPr>
            <w:r/>
            <w:r>
              <w:rPr>
                <w:rFonts w:ascii="Calibri" w:hAnsi="Calibri"/>
                <w:b w:val="0"/>
                <w:sz w:val="15"/>
              </w:rPr>
              <w:t>Availability / robustness</w:t>
            </w:r>
          </w:p>
        </w:tc>
        <w:tc>
          <w:tcPr>
            <w:tcW w:type="dxa" w:w="7128"/>
            <w:vAlign w:val="center"/>
          </w:tcPr>
          <w:p>
            <w:pPr>
              <w:spacing w:after="0"/>
            </w:pPr>
            <w:r/>
            <w:r>
              <w:rPr>
                <w:rFonts w:ascii="Calibri" w:hAnsi="Calibri"/>
                <w:b w:val="0"/>
                <w:sz w:val="15"/>
              </w:rPr>
              <w:t>The application shall handle invalid user input without an unhandled server error or process crash.</w:t>
            </w:r>
          </w:p>
        </w:tc>
      </w:tr>
      <w:tr>
        <w:tc>
          <w:tcPr>
            <w:tcW w:type="dxa" w:w="936"/>
            <w:vAlign w:val="center"/>
          </w:tcPr>
          <w:p>
            <w:pPr>
              <w:spacing w:after="0"/>
            </w:pPr>
            <w:r/>
            <w:r>
              <w:rPr>
                <w:rFonts w:ascii="Calibri" w:hAnsi="Calibri"/>
                <w:b w:val="0"/>
                <w:sz w:val="15"/>
              </w:rPr>
              <w:t>NFR-03</w:t>
            </w:r>
          </w:p>
        </w:tc>
        <w:tc>
          <w:tcPr>
            <w:tcW w:type="dxa" w:w="1728"/>
            <w:vAlign w:val="center"/>
          </w:tcPr>
          <w:p>
            <w:pPr>
              <w:spacing w:after="0"/>
            </w:pPr>
            <w:r/>
            <w:r>
              <w:rPr>
                <w:rFonts w:ascii="Calibri" w:hAnsi="Calibri"/>
                <w:b w:val="0"/>
                <w:sz w:val="15"/>
              </w:rPr>
              <w:t>Reliability</w:t>
            </w:r>
          </w:p>
        </w:tc>
        <w:tc>
          <w:tcPr>
            <w:tcW w:type="dxa" w:w="7128"/>
            <w:vAlign w:val="center"/>
          </w:tcPr>
          <w:p>
            <w:pPr>
              <w:spacing w:after="0"/>
            </w:pPr>
            <w:r/>
            <w:r>
              <w:rPr>
                <w:rFonts w:ascii="Calibri" w:hAnsi="Calibri"/>
                <w:b w:val="0"/>
                <w:sz w:val="15"/>
              </w:rPr>
              <w:t>For a fixed valid input and configuration, repeated runs shall produce numerically equivalent results within a documented tolerance EPSILON.</w:t>
            </w:r>
          </w:p>
        </w:tc>
      </w:tr>
      <w:tr>
        <w:tc>
          <w:tcPr>
            <w:tcW w:type="dxa" w:w="936"/>
            <w:vAlign w:val="center"/>
          </w:tcPr>
          <w:p>
            <w:pPr>
              <w:spacing w:after="0"/>
            </w:pPr>
            <w:r/>
            <w:r>
              <w:rPr>
                <w:rFonts w:ascii="Calibri" w:hAnsi="Calibri"/>
                <w:b w:val="0"/>
                <w:sz w:val="15"/>
              </w:rPr>
              <w:t>NFR-04</w:t>
            </w:r>
          </w:p>
        </w:tc>
        <w:tc>
          <w:tcPr>
            <w:tcW w:type="dxa" w:w="1728"/>
            <w:vAlign w:val="center"/>
          </w:tcPr>
          <w:p>
            <w:pPr>
              <w:spacing w:after="0"/>
            </w:pPr>
            <w:r/>
            <w:r>
              <w:rPr>
                <w:rFonts w:ascii="Calibri" w:hAnsi="Calibri"/>
                <w:b w:val="0"/>
                <w:sz w:val="15"/>
              </w:rPr>
              <w:t>Security — transport</w:t>
            </w:r>
          </w:p>
        </w:tc>
        <w:tc>
          <w:tcPr>
            <w:tcW w:type="dxa" w:w="7128"/>
            <w:vAlign w:val="center"/>
          </w:tcPr>
          <w:p>
            <w:pPr>
              <w:spacing w:after="0"/>
            </w:pPr>
            <w:r/>
            <w:r>
              <w:rPr>
                <w:rFonts w:ascii="Calibri" w:hAnsi="Calibri"/>
                <w:b w:val="0"/>
                <w:sz w:val="15"/>
              </w:rPr>
              <w:t>A deployed instance shall use HTTPS for browser-to-server communication.</w:t>
            </w:r>
          </w:p>
        </w:tc>
      </w:tr>
      <w:tr>
        <w:tc>
          <w:tcPr>
            <w:tcW w:type="dxa" w:w="936"/>
            <w:vAlign w:val="center"/>
          </w:tcPr>
          <w:p>
            <w:pPr>
              <w:spacing w:after="0"/>
            </w:pPr>
            <w:r/>
            <w:r>
              <w:rPr>
                <w:rFonts w:ascii="Calibri" w:hAnsi="Calibri"/>
                <w:b w:val="0"/>
                <w:sz w:val="15"/>
              </w:rPr>
              <w:t>NFR-05</w:t>
            </w:r>
          </w:p>
        </w:tc>
        <w:tc>
          <w:tcPr>
            <w:tcW w:type="dxa" w:w="1728"/>
            <w:vAlign w:val="center"/>
          </w:tcPr>
          <w:p>
            <w:pPr>
              <w:spacing w:after="0"/>
            </w:pPr>
            <w:r/>
            <w:r>
              <w:rPr>
                <w:rFonts w:ascii="Calibri" w:hAnsi="Calibri"/>
                <w:b w:val="0"/>
                <w:sz w:val="15"/>
              </w:rPr>
              <w:t>Security — file handling</w:t>
            </w:r>
          </w:p>
        </w:tc>
        <w:tc>
          <w:tcPr>
            <w:tcW w:type="dxa" w:w="7128"/>
            <w:vAlign w:val="center"/>
          </w:tcPr>
          <w:p>
            <w:pPr>
              <w:spacing w:after="0"/>
            </w:pPr>
            <w:r/>
            <w:r>
              <w:rPr>
                <w:rFonts w:ascii="Calibri" w:hAnsi="Calibri"/>
                <w:b w:val="0"/>
                <w:sz w:val="15"/>
              </w:rPr>
              <w:t>The application shall validate uploaded file type, size, and structure before parsing or processing it.</w:t>
            </w:r>
          </w:p>
        </w:tc>
      </w:tr>
      <w:tr>
        <w:tc>
          <w:tcPr>
            <w:tcW w:type="dxa" w:w="936"/>
            <w:vAlign w:val="center"/>
          </w:tcPr>
          <w:p>
            <w:pPr>
              <w:spacing w:after="0"/>
            </w:pPr>
            <w:r/>
            <w:r>
              <w:rPr>
                <w:rFonts w:ascii="Calibri" w:hAnsi="Calibri"/>
                <w:b w:val="0"/>
                <w:sz w:val="15"/>
              </w:rPr>
              <w:t>NFR-06</w:t>
            </w:r>
          </w:p>
        </w:tc>
        <w:tc>
          <w:tcPr>
            <w:tcW w:type="dxa" w:w="1728"/>
            <w:vAlign w:val="center"/>
          </w:tcPr>
          <w:p>
            <w:pPr>
              <w:spacing w:after="0"/>
            </w:pPr>
            <w:r/>
            <w:r>
              <w:rPr>
                <w:rFonts w:ascii="Calibri" w:hAnsi="Calibri"/>
                <w:b w:val="0"/>
                <w:sz w:val="15"/>
              </w:rPr>
              <w:t>Security — secrets</w:t>
            </w:r>
          </w:p>
        </w:tc>
        <w:tc>
          <w:tcPr>
            <w:tcW w:type="dxa" w:w="7128"/>
            <w:vAlign w:val="center"/>
          </w:tcPr>
          <w:p>
            <w:pPr>
              <w:spacing w:after="0"/>
            </w:pPr>
            <w:r/>
            <w:r>
              <w:rPr>
                <w:rFonts w:ascii="Calibri" w:hAnsi="Calibri"/>
                <w:b w:val="0"/>
                <w:sz w:val="15"/>
              </w:rPr>
              <w:t>Credentials, API keys, and secret configuration values shall not be committed to source control or returned in API responses.</w:t>
            </w:r>
          </w:p>
        </w:tc>
      </w:tr>
      <w:tr>
        <w:tc>
          <w:tcPr>
            <w:tcW w:type="dxa" w:w="936"/>
            <w:vAlign w:val="center"/>
          </w:tcPr>
          <w:p>
            <w:pPr>
              <w:spacing w:after="0"/>
            </w:pPr>
            <w:r/>
            <w:r>
              <w:rPr>
                <w:rFonts w:ascii="Calibri" w:hAnsi="Calibri"/>
                <w:b w:val="0"/>
                <w:sz w:val="15"/>
              </w:rPr>
              <w:t>NFR-07</w:t>
            </w:r>
          </w:p>
        </w:tc>
        <w:tc>
          <w:tcPr>
            <w:tcW w:type="dxa" w:w="1728"/>
            <w:vAlign w:val="center"/>
          </w:tcPr>
          <w:p>
            <w:pPr>
              <w:spacing w:after="0"/>
            </w:pPr>
            <w:r/>
            <w:r>
              <w:rPr>
                <w:rFonts w:ascii="Calibri" w:hAnsi="Calibri"/>
                <w:b w:val="0"/>
                <w:sz w:val="15"/>
              </w:rPr>
              <w:t>Privacy</w:t>
            </w:r>
          </w:p>
        </w:tc>
        <w:tc>
          <w:tcPr>
            <w:tcW w:type="dxa" w:w="7128"/>
            <w:vAlign w:val="center"/>
          </w:tcPr>
          <w:p>
            <w:pPr>
              <w:spacing w:after="0"/>
            </w:pPr>
            <w:r/>
            <w:r>
              <w:rPr>
                <w:rFonts w:ascii="Calibri" w:hAnsi="Calibri"/>
                <w:b w:val="0"/>
                <w:sz w:val="15"/>
              </w:rPr>
              <w:t>The application shall not expose uploaded data or run results to unauthorized users; retention and deletion behavior shall be documented.</w:t>
            </w:r>
          </w:p>
        </w:tc>
      </w:tr>
      <w:tr>
        <w:tc>
          <w:tcPr>
            <w:tcW w:type="dxa" w:w="936"/>
            <w:vAlign w:val="center"/>
          </w:tcPr>
          <w:p>
            <w:pPr>
              <w:spacing w:after="0"/>
            </w:pPr>
            <w:r/>
            <w:r>
              <w:rPr>
                <w:rFonts w:ascii="Calibri" w:hAnsi="Calibri"/>
                <w:b w:val="0"/>
                <w:sz w:val="15"/>
              </w:rPr>
              <w:t>NFR-08</w:t>
            </w:r>
          </w:p>
        </w:tc>
        <w:tc>
          <w:tcPr>
            <w:tcW w:type="dxa" w:w="1728"/>
            <w:vAlign w:val="center"/>
          </w:tcPr>
          <w:p>
            <w:pPr>
              <w:spacing w:after="0"/>
            </w:pPr>
            <w:r/>
            <w:r>
              <w:rPr>
                <w:rFonts w:ascii="Calibri" w:hAnsi="Calibri"/>
                <w:b w:val="0"/>
                <w:sz w:val="15"/>
              </w:rPr>
              <w:t>Usability</w:t>
            </w:r>
          </w:p>
        </w:tc>
        <w:tc>
          <w:tcPr>
            <w:tcW w:type="dxa" w:w="7128"/>
            <w:vAlign w:val="center"/>
          </w:tcPr>
          <w:p>
            <w:pPr>
              <w:spacing w:after="0"/>
            </w:pPr>
            <w:r/>
            <w:r>
              <w:rPr>
                <w:rFonts w:ascii="Calibri" w:hAnsi="Calibri"/>
                <w:b w:val="0"/>
                <w:sz w:val="15"/>
              </w:rPr>
              <w:t>A first-time user following the project instructions shall be able to complete a valid evaluation without developer-only commands.</w:t>
            </w:r>
          </w:p>
        </w:tc>
      </w:tr>
      <w:tr>
        <w:tc>
          <w:tcPr>
            <w:tcW w:type="dxa" w:w="936"/>
            <w:vAlign w:val="center"/>
          </w:tcPr>
          <w:p>
            <w:pPr>
              <w:spacing w:after="0"/>
            </w:pPr>
            <w:r/>
            <w:r>
              <w:rPr>
                <w:rFonts w:ascii="Calibri" w:hAnsi="Calibri"/>
                <w:b w:val="0"/>
                <w:sz w:val="15"/>
              </w:rPr>
              <w:t>NFR-09</w:t>
            </w:r>
          </w:p>
        </w:tc>
        <w:tc>
          <w:tcPr>
            <w:tcW w:type="dxa" w:w="1728"/>
            <w:vAlign w:val="center"/>
          </w:tcPr>
          <w:p>
            <w:pPr>
              <w:spacing w:after="0"/>
            </w:pPr>
            <w:r/>
            <w:r>
              <w:rPr>
                <w:rFonts w:ascii="Calibri" w:hAnsi="Calibri"/>
                <w:b w:val="0"/>
                <w:sz w:val="15"/>
              </w:rPr>
              <w:t>Maintainability</w:t>
            </w:r>
          </w:p>
        </w:tc>
        <w:tc>
          <w:tcPr>
            <w:tcW w:type="dxa" w:w="7128"/>
            <w:vAlign w:val="center"/>
          </w:tcPr>
          <w:p>
            <w:pPr>
              <w:spacing w:after="0"/>
            </w:pPr>
            <w:r/>
            <w:r>
              <w:rPr>
                <w:rFonts w:ascii="Calibri" w:hAnsi="Calibri"/>
                <w:b w:val="0"/>
                <w:sz w:val="15"/>
              </w:rPr>
              <w:t>Evaluation metric logic shall be separated from request parsing and presentation logic sufficiently to allow a metric to be tested independently.</w:t>
            </w:r>
          </w:p>
        </w:tc>
      </w:tr>
      <w:tr>
        <w:tc>
          <w:tcPr>
            <w:tcW w:type="dxa" w:w="936"/>
            <w:vAlign w:val="center"/>
          </w:tcPr>
          <w:p>
            <w:pPr>
              <w:spacing w:after="0"/>
            </w:pPr>
            <w:r/>
            <w:r>
              <w:rPr>
                <w:rFonts w:ascii="Calibri" w:hAnsi="Calibri"/>
                <w:b w:val="0"/>
                <w:sz w:val="15"/>
              </w:rPr>
              <w:t>NFR-10</w:t>
            </w:r>
          </w:p>
        </w:tc>
        <w:tc>
          <w:tcPr>
            <w:tcW w:type="dxa" w:w="1728"/>
            <w:vAlign w:val="center"/>
          </w:tcPr>
          <w:p>
            <w:pPr>
              <w:spacing w:after="0"/>
            </w:pPr>
            <w:r/>
            <w:r>
              <w:rPr>
                <w:rFonts w:ascii="Calibri" w:hAnsi="Calibri"/>
                <w:b w:val="0"/>
                <w:sz w:val="15"/>
              </w:rPr>
              <w:t>Compatibility</w:t>
            </w:r>
          </w:p>
        </w:tc>
        <w:tc>
          <w:tcPr>
            <w:tcW w:type="dxa" w:w="7128"/>
            <w:vAlign w:val="center"/>
          </w:tcPr>
          <w:p>
            <w:pPr>
              <w:spacing w:after="0"/>
            </w:pPr>
            <w:r/>
            <w:r>
              <w:rPr>
                <w:rFonts w:ascii="Calibri" w:hAnsi="Calibri"/>
                <w:b w:val="0"/>
                <w:sz w:val="15"/>
              </w:rPr>
              <w:t>The UI shall work in the browser versions explicitly listed in the project’s deployment notes.</w:t>
            </w:r>
          </w:p>
        </w:tc>
      </w:tr>
      <w:tr>
        <w:tc>
          <w:tcPr>
            <w:tcW w:type="dxa" w:w="936"/>
            <w:vAlign w:val="center"/>
          </w:tcPr>
          <w:p>
            <w:pPr>
              <w:spacing w:after="0"/>
            </w:pPr>
            <w:r/>
            <w:r>
              <w:rPr>
                <w:rFonts w:ascii="Calibri" w:hAnsi="Calibri"/>
                <w:b w:val="0"/>
                <w:sz w:val="15"/>
              </w:rPr>
              <w:t>NFR-11</w:t>
            </w:r>
          </w:p>
        </w:tc>
        <w:tc>
          <w:tcPr>
            <w:tcW w:type="dxa" w:w="1728"/>
            <w:vAlign w:val="center"/>
          </w:tcPr>
          <w:p>
            <w:pPr>
              <w:spacing w:after="0"/>
            </w:pPr>
            <w:r/>
            <w:r>
              <w:rPr>
                <w:rFonts w:ascii="Calibri" w:hAnsi="Calibri"/>
                <w:b w:val="0"/>
                <w:sz w:val="15"/>
              </w:rPr>
              <w:t>Observability</w:t>
            </w:r>
          </w:p>
        </w:tc>
        <w:tc>
          <w:tcPr>
            <w:tcW w:type="dxa" w:w="7128"/>
            <w:vAlign w:val="center"/>
          </w:tcPr>
          <w:p>
            <w:pPr>
              <w:spacing w:after="0"/>
            </w:pPr>
            <w:r/>
            <w:r>
              <w:rPr>
                <w:rFonts w:ascii="Calibri" w:hAnsi="Calibri"/>
                <w:b w:val="0"/>
                <w:sz w:val="15"/>
              </w:rPr>
              <w:t>Unexpected evaluation failures shall be recorded in server logs without logging secrets or unnecessary raw dataset contents.</w:t>
            </w:r>
          </w:p>
        </w:tc>
      </w:tr>
      <w:tr>
        <w:tc>
          <w:tcPr>
            <w:tcW w:type="dxa" w:w="936"/>
            <w:vAlign w:val="center"/>
          </w:tcPr>
          <w:p>
            <w:pPr>
              <w:spacing w:after="0"/>
            </w:pPr>
            <w:r/>
            <w:r>
              <w:rPr>
                <w:rFonts w:ascii="Calibri" w:hAnsi="Calibri"/>
                <w:b w:val="0"/>
                <w:sz w:val="15"/>
              </w:rPr>
              <w:t>NFR-12</w:t>
            </w:r>
          </w:p>
        </w:tc>
        <w:tc>
          <w:tcPr>
            <w:tcW w:type="dxa" w:w="1728"/>
            <w:vAlign w:val="center"/>
          </w:tcPr>
          <w:p>
            <w:pPr>
              <w:spacing w:after="0"/>
            </w:pPr>
            <w:r/>
            <w:r>
              <w:rPr>
                <w:rFonts w:ascii="Calibri" w:hAnsi="Calibri"/>
                <w:b w:val="0"/>
                <w:sz w:val="15"/>
              </w:rPr>
              <w:t>Accessibility</w:t>
            </w:r>
          </w:p>
        </w:tc>
        <w:tc>
          <w:tcPr>
            <w:tcW w:type="dxa" w:w="7128"/>
            <w:vAlign w:val="center"/>
          </w:tcPr>
          <w:p>
            <w:pPr>
              <w:spacing w:after="0"/>
            </w:pPr>
            <w:r/>
            <w:r>
              <w:rPr>
                <w:rFonts w:ascii="Calibri" w:hAnsi="Calibri"/>
                <w:b w:val="0"/>
                <w:sz w:val="15"/>
              </w:rPr>
              <w:t>Core upload, configuration, and result workflows shall be usable with keyboard navigation and have programmatically associated labels.</w:t>
            </w:r>
          </w:p>
        </w:tc>
      </w:tr>
    </w:tbl>
    <w:p/>
    <w:p>
      <w:pPr>
        <w:pStyle w:val="Heading3"/>
      </w:pPr>
      <w:r>
        <w:t>4.4 Business rules and metric semantics</w:t>
      </w:r>
    </w:p>
    <w:p>
      <w:pPr>
        <w:pStyle w:val="ListBullet"/>
        <w:spacing w:after="40"/>
      </w:pPr>
      <w:r>
        <w:t>BR-01: Metrics must be compatible with the selected task type.</w:t>
      </w:r>
    </w:p>
    <w:p>
      <w:pPr>
        <w:pStyle w:val="ListBullet"/>
        <w:spacing w:after="40"/>
      </w:pPr>
      <w:r>
        <w:t>BR-02: The system must identify which column/field is the reference target and which is the prediction.</w:t>
      </w:r>
    </w:p>
    <w:p>
      <w:pPr>
        <w:pStyle w:val="ListBullet"/>
        <w:spacing w:after="40"/>
      </w:pPr>
      <w:r>
        <w:t>BR-03: The system must define behavior for missing values, empty input, mismatched lengths, and unsupported labels.</w:t>
      </w:r>
    </w:p>
    <w:p>
      <w:pPr>
        <w:pStyle w:val="ListBullet"/>
        <w:spacing w:after="40"/>
      </w:pPr>
      <w:r>
        <w:t>BR-04: Metric outputs must use documented definitions and averaging choices; for example, classification F1 may be binary, macro, micro, or weighted.</w:t>
      </w:r>
    </w:p>
    <w:p>
      <w:pPr>
        <w:pStyle w:val="ListBullet"/>
        <w:spacing w:after="40"/>
      </w:pPr>
      <w:r>
        <w:t>BR-05: A numeric metric must not be displayed as a valid result if computation failed or returned a non-finite value, unless that value is explicitly defined and explained.</w:t>
      </w:r>
    </w:p>
    <w:p>
      <w:pPr>
        <w:pStyle w:val="Heading2"/>
      </w:pPr>
      <w:r>
        <w:t>5. Logical Data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7"/>
          </w:tcPr>
          <w:p>
            <w:pPr>
              <w:spacing w:after="0"/>
            </w:pPr>
            <w:r/>
            <w:r>
              <w:rPr>
                <w:rFonts w:ascii="Calibri" w:hAnsi="Calibri"/>
                <w:b/>
                <w:sz w:val="15"/>
              </w:rPr>
              <w:t>Entity</w:t>
            </w:r>
          </w:p>
        </w:tc>
        <w:tc>
          <w:tcPr>
            <w:tcW w:type="dxa" w:w="5184"/>
            <w:vAlign w:val="center"/>
            <w:shd w:fill="D9EAF7"/>
          </w:tcPr>
          <w:p>
            <w:pPr>
              <w:spacing w:after="0"/>
            </w:pPr>
            <w:r/>
            <w:r>
              <w:rPr>
                <w:rFonts w:ascii="Calibri" w:hAnsi="Calibri"/>
                <w:b/>
                <w:sz w:val="15"/>
              </w:rPr>
              <w:t>Proposed fields</w:t>
            </w:r>
          </w:p>
        </w:tc>
        <w:tc>
          <w:tcPr>
            <w:tcW w:type="dxa" w:w="2664"/>
            <w:vAlign w:val="center"/>
            <w:shd w:fill="D9EAF7"/>
          </w:tcPr>
          <w:p>
            <w:pPr>
              <w:spacing w:after="0"/>
            </w:pPr>
            <w:r/>
            <w:r>
              <w:rPr>
                <w:rFonts w:ascii="Calibri" w:hAnsi="Calibri"/>
                <w:b/>
                <w:sz w:val="15"/>
              </w:rPr>
              <w:t>Notes</w:t>
            </w:r>
          </w:p>
        </w:tc>
      </w:tr>
      <w:tr>
        <w:tc>
          <w:tcPr>
            <w:tcW w:type="dxa" w:w="1944"/>
            <w:vAlign w:val="center"/>
          </w:tcPr>
          <w:p>
            <w:pPr>
              <w:spacing w:after="0"/>
            </w:pPr>
            <w:r/>
            <w:r>
              <w:rPr>
                <w:rFonts w:ascii="Calibri" w:hAnsi="Calibri"/>
                <w:b w:val="0"/>
                <w:sz w:val="15"/>
              </w:rPr>
              <w:t>EvaluationRun</w:t>
            </w:r>
          </w:p>
        </w:tc>
        <w:tc>
          <w:tcPr>
            <w:tcW w:type="dxa" w:w="5184"/>
            <w:vAlign w:val="center"/>
          </w:tcPr>
          <w:p>
            <w:pPr>
              <w:spacing w:after="0"/>
            </w:pPr>
            <w:r/>
            <w:r>
              <w:rPr>
                <w:rFonts w:ascii="Calibri" w:hAnsi="Calibri"/>
                <w:b w:val="0"/>
                <w:sz w:val="15"/>
              </w:rPr>
              <w:t>run_id, created_at, status, task_type, selected_metrics, input_reference, result_summary, error_code</w:t>
            </w:r>
          </w:p>
        </w:tc>
        <w:tc>
          <w:tcPr>
            <w:tcW w:type="dxa" w:w="2664"/>
            <w:vAlign w:val="center"/>
          </w:tcPr>
          <w:p>
            <w:pPr>
              <w:spacing w:after="0"/>
            </w:pPr>
            <w:r/>
            <w:r>
              <w:rPr>
                <w:rFonts w:ascii="Calibri" w:hAnsi="Calibri"/>
                <w:b w:val="0"/>
                <w:sz w:val="15"/>
              </w:rPr>
              <w:t>Logical record; actual persistence TBD.</w:t>
            </w:r>
          </w:p>
        </w:tc>
      </w:tr>
      <w:tr>
        <w:tc>
          <w:tcPr>
            <w:tcW w:type="dxa" w:w="1944"/>
            <w:vAlign w:val="center"/>
          </w:tcPr>
          <w:p>
            <w:pPr>
              <w:spacing w:after="0"/>
            </w:pPr>
            <w:r/>
            <w:r>
              <w:rPr>
                <w:rFonts w:ascii="Calibri" w:hAnsi="Calibri"/>
                <w:b w:val="0"/>
                <w:sz w:val="15"/>
              </w:rPr>
              <w:t>Dataset/Input</w:t>
            </w:r>
          </w:p>
        </w:tc>
        <w:tc>
          <w:tcPr>
            <w:tcW w:type="dxa" w:w="5184"/>
            <w:vAlign w:val="center"/>
          </w:tcPr>
          <w:p>
            <w:pPr>
              <w:spacing w:after="0"/>
            </w:pPr>
            <w:r/>
            <w:r>
              <w:rPr>
                <w:rFonts w:ascii="Calibri" w:hAnsi="Calibri"/>
                <w:b w:val="0"/>
                <w:sz w:val="15"/>
              </w:rPr>
              <w:t>input_id, original_name, stored_reference, size_bytes, schema_summary, created_at</w:t>
            </w:r>
          </w:p>
        </w:tc>
        <w:tc>
          <w:tcPr>
            <w:tcW w:type="dxa" w:w="2664"/>
            <w:vAlign w:val="center"/>
          </w:tcPr>
          <w:p>
            <w:pPr>
              <w:spacing w:after="0"/>
            </w:pPr>
            <w:r/>
            <w:r>
              <w:rPr>
                <w:rFonts w:ascii="Calibri" w:hAnsi="Calibri"/>
                <w:b w:val="0"/>
                <w:sz w:val="15"/>
              </w:rPr>
              <w:t>Avoid storing raw data longer than necessary.</w:t>
            </w:r>
          </w:p>
        </w:tc>
      </w:tr>
      <w:tr>
        <w:tc>
          <w:tcPr>
            <w:tcW w:type="dxa" w:w="1944"/>
            <w:vAlign w:val="center"/>
          </w:tcPr>
          <w:p>
            <w:pPr>
              <w:spacing w:after="0"/>
            </w:pPr>
            <w:r/>
            <w:r>
              <w:rPr>
                <w:rFonts w:ascii="Calibri" w:hAnsi="Calibri"/>
                <w:b w:val="0"/>
                <w:sz w:val="15"/>
              </w:rPr>
              <w:t>MetricResult</w:t>
            </w:r>
          </w:p>
        </w:tc>
        <w:tc>
          <w:tcPr>
            <w:tcW w:type="dxa" w:w="5184"/>
            <w:vAlign w:val="center"/>
          </w:tcPr>
          <w:p>
            <w:pPr>
              <w:spacing w:after="0"/>
            </w:pPr>
            <w:r/>
            <w:r>
              <w:rPr>
                <w:rFonts w:ascii="Calibri" w:hAnsi="Calibri"/>
                <w:b w:val="0"/>
                <w:sz w:val="15"/>
              </w:rPr>
              <w:t>run_id, metric_name, metric_value, metric_parameters</w:t>
            </w:r>
          </w:p>
        </w:tc>
        <w:tc>
          <w:tcPr>
            <w:tcW w:type="dxa" w:w="2664"/>
            <w:vAlign w:val="center"/>
          </w:tcPr>
          <w:p>
            <w:pPr>
              <w:spacing w:after="0"/>
            </w:pPr>
            <w:r/>
            <w:r>
              <w:rPr>
                <w:rFonts w:ascii="Calibri" w:hAnsi="Calibri"/>
                <w:b w:val="0"/>
                <w:sz w:val="15"/>
              </w:rPr>
              <w:t>May be embedded in run record.</w:t>
            </w:r>
          </w:p>
        </w:tc>
      </w:tr>
      <w:tr>
        <w:tc>
          <w:tcPr>
            <w:tcW w:type="dxa" w:w="1944"/>
            <w:vAlign w:val="center"/>
          </w:tcPr>
          <w:p>
            <w:pPr>
              <w:spacing w:after="0"/>
            </w:pPr>
            <w:r/>
            <w:r>
              <w:rPr>
                <w:rFonts w:ascii="Calibri" w:hAnsi="Calibri"/>
                <w:b w:val="0"/>
                <w:sz w:val="15"/>
              </w:rPr>
              <w:t>User (optional)</w:t>
            </w:r>
          </w:p>
        </w:tc>
        <w:tc>
          <w:tcPr>
            <w:tcW w:type="dxa" w:w="5184"/>
            <w:vAlign w:val="center"/>
          </w:tcPr>
          <w:p>
            <w:pPr>
              <w:spacing w:after="0"/>
            </w:pPr>
            <w:r/>
            <w:r>
              <w:rPr>
                <w:rFonts w:ascii="Calibri" w:hAnsi="Calibri"/>
                <w:b w:val="0"/>
                <w:sz w:val="15"/>
              </w:rPr>
              <w:t>user_id, authentication reference, role</w:t>
            </w:r>
          </w:p>
        </w:tc>
        <w:tc>
          <w:tcPr>
            <w:tcW w:type="dxa" w:w="2664"/>
            <w:vAlign w:val="center"/>
          </w:tcPr>
          <w:p>
            <w:pPr>
              <w:spacing w:after="0"/>
            </w:pPr>
            <w:r/>
            <w:r>
              <w:rPr>
                <w:rFonts w:ascii="Calibri" w:hAnsi="Calibri"/>
                <w:b w:val="0"/>
                <w:sz w:val="15"/>
              </w:rPr>
              <w:t>Only if login/account functionality exists.</w:t>
            </w:r>
          </w:p>
        </w:tc>
      </w:tr>
    </w:tbl>
    <w:p/>
    <w:p>
      <w:r>
        <w:t>Data integrity rules: each completed result must refer to one evaluation run; metric values must be linked to the exact configuration; failed runs must preserve an appropriate failure status; and user ownership must be enforced if accounts are supported.</w:t>
      </w:r>
    </w:p>
    <w:p>
      <w:pPr>
        <w:pStyle w:val="Heading2"/>
      </w:pPr>
      <w:r>
        <w:t>6. Security Requirements</w:t>
      </w:r>
    </w:p>
    <w:p>
      <w:pPr>
        <w:pStyle w:val="Heading3"/>
      </w:pPr>
      <w:r>
        <w:t>6.1 Security objectives</w:t>
      </w:r>
    </w:p>
    <w:tbl>
      <w:tblPr>
        <w:tblStyle w:val="TableGrid"/>
        <w:tblW w:type="auto" w:w="0"/>
        <w:jc w:val="center"/>
        <w:tblLook w:firstColumn="1" w:firstRow="1" w:lastColumn="0" w:lastRow="0" w:noHBand="0" w:noVBand="1" w:val="04A0"/>
      </w:tblPr>
      <w:tblGrid>
        <w:gridCol w:w="4968"/>
        <w:gridCol w:w="4968"/>
      </w:tblGrid>
      <w:tr>
        <w:tc>
          <w:tcPr>
            <w:tcW w:type="dxa" w:w="1584"/>
            <w:vAlign w:val="center"/>
            <w:shd w:fill="D9EAF7"/>
          </w:tcPr>
          <w:p>
            <w:pPr>
              <w:spacing w:after="0"/>
            </w:pPr>
            <w:r/>
            <w:r>
              <w:rPr>
                <w:rFonts w:ascii="Calibri" w:hAnsi="Calibri"/>
                <w:b/>
                <w:sz w:val="16"/>
              </w:rPr>
              <w:t>Objective ID</w:t>
            </w:r>
          </w:p>
        </w:tc>
        <w:tc>
          <w:tcPr>
            <w:tcW w:type="dxa" w:w="8208"/>
            <w:vAlign w:val="center"/>
            <w:shd w:fill="D9EAF7"/>
          </w:tcPr>
          <w:p>
            <w:pPr>
              <w:spacing w:after="0"/>
            </w:pPr>
            <w:r/>
            <w:r>
              <w:rPr>
                <w:rFonts w:ascii="Calibri" w:hAnsi="Calibri"/>
                <w:b/>
                <w:sz w:val="16"/>
              </w:rPr>
              <w:t>Objective</w:t>
            </w:r>
          </w:p>
        </w:tc>
      </w:tr>
      <w:tr>
        <w:tc>
          <w:tcPr>
            <w:tcW w:type="dxa" w:w="1584"/>
            <w:vAlign w:val="center"/>
          </w:tcPr>
          <w:p>
            <w:pPr>
              <w:spacing w:after="0"/>
            </w:pPr>
            <w:r/>
            <w:r>
              <w:rPr>
                <w:rFonts w:ascii="Calibri" w:hAnsi="Calibri"/>
                <w:b w:val="0"/>
                <w:sz w:val="16"/>
              </w:rPr>
              <w:t>SO-01</w:t>
            </w:r>
          </w:p>
        </w:tc>
        <w:tc>
          <w:tcPr>
            <w:tcW w:type="dxa" w:w="8208"/>
            <w:vAlign w:val="center"/>
          </w:tcPr>
          <w:p>
            <w:pPr>
              <w:spacing w:after="0"/>
            </w:pPr>
            <w:r/>
            <w:r>
              <w:rPr>
                <w:rFonts w:ascii="Calibri" w:hAnsi="Calibri"/>
                <w:b w:val="0"/>
                <w:sz w:val="16"/>
              </w:rPr>
              <w:t>Protect the confidentiality of uploaded datasets, prediction values, and evaluation results.</w:t>
            </w:r>
          </w:p>
        </w:tc>
      </w:tr>
      <w:tr>
        <w:tc>
          <w:tcPr>
            <w:tcW w:type="dxa" w:w="1584"/>
            <w:vAlign w:val="center"/>
          </w:tcPr>
          <w:p>
            <w:pPr>
              <w:spacing w:after="0"/>
            </w:pPr>
            <w:r/>
            <w:r>
              <w:rPr>
                <w:rFonts w:ascii="Calibri" w:hAnsi="Calibri"/>
                <w:b w:val="0"/>
                <w:sz w:val="16"/>
              </w:rPr>
              <w:t>SO-02</w:t>
            </w:r>
          </w:p>
        </w:tc>
        <w:tc>
          <w:tcPr>
            <w:tcW w:type="dxa" w:w="8208"/>
            <w:vAlign w:val="center"/>
          </w:tcPr>
          <w:p>
            <w:pPr>
              <w:spacing w:after="0"/>
            </w:pPr>
            <w:r/>
            <w:r>
              <w:rPr>
                <w:rFonts w:ascii="Calibri" w:hAnsi="Calibri"/>
                <w:b w:val="0"/>
                <w:sz w:val="16"/>
              </w:rPr>
              <w:t>Preserve the integrity of evaluation inputs, configuration, and reported results.</w:t>
            </w:r>
          </w:p>
        </w:tc>
      </w:tr>
      <w:tr>
        <w:tc>
          <w:tcPr>
            <w:tcW w:type="dxa" w:w="1584"/>
            <w:vAlign w:val="center"/>
          </w:tcPr>
          <w:p>
            <w:pPr>
              <w:spacing w:after="0"/>
            </w:pPr>
            <w:r/>
            <w:r>
              <w:rPr>
                <w:rFonts w:ascii="Calibri" w:hAnsi="Calibri"/>
                <w:b w:val="0"/>
                <w:sz w:val="16"/>
              </w:rPr>
              <w:t>SO-03</w:t>
            </w:r>
          </w:p>
        </w:tc>
        <w:tc>
          <w:tcPr>
            <w:tcW w:type="dxa" w:w="8208"/>
            <w:vAlign w:val="center"/>
          </w:tcPr>
          <w:p>
            <w:pPr>
              <w:spacing w:after="0"/>
            </w:pPr>
            <w:r/>
            <w:r>
              <w:rPr>
                <w:rFonts w:ascii="Calibri" w:hAnsi="Calibri"/>
                <w:b w:val="0"/>
                <w:sz w:val="16"/>
              </w:rPr>
              <w:t>Maintain service availability by rejecting malformed or excessively large inputs safely.</w:t>
            </w:r>
          </w:p>
        </w:tc>
      </w:tr>
      <w:tr>
        <w:tc>
          <w:tcPr>
            <w:tcW w:type="dxa" w:w="1584"/>
            <w:vAlign w:val="center"/>
          </w:tcPr>
          <w:p>
            <w:pPr>
              <w:spacing w:after="0"/>
            </w:pPr>
            <w:r/>
            <w:r>
              <w:rPr>
                <w:rFonts w:ascii="Calibri" w:hAnsi="Calibri"/>
                <w:b w:val="0"/>
                <w:sz w:val="16"/>
              </w:rPr>
              <w:t>SO-04</w:t>
            </w:r>
          </w:p>
        </w:tc>
        <w:tc>
          <w:tcPr>
            <w:tcW w:type="dxa" w:w="8208"/>
            <w:vAlign w:val="center"/>
          </w:tcPr>
          <w:p>
            <w:pPr>
              <w:spacing w:after="0"/>
            </w:pPr>
            <w:r/>
            <w:r>
              <w:rPr>
                <w:rFonts w:ascii="Calibri" w:hAnsi="Calibri"/>
                <w:b w:val="0"/>
                <w:sz w:val="16"/>
              </w:rPr>
              <w:t>Ensure that users can access only the resources permitted to them, if authentication is implemented.</w:t>
            </w:r>
          </w:p>
        </w:tc>
      </w:tr>
    </w:tbl>
    <w:p/>
    <w:p>
      <w:pPr>
        <w:pStyle w:val="Heading3"/>
      </w:pPr>
      <w:r>
        <w:t>6.2 Security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D9EAF7"/>
          </w:tcPr>
          <w:p>
            <w:pPr>
              <w:spacing w:after="0"/>
            </w:pPr>
            <w:r/>
            <w:r>
              <w:rPr>
                <w:rFonts w:ascii="Calibri" w:hAnsi="Calibri"/>
                <w:b/>
                <w:sz w:val="14"/>
              </w:rPr>
              <w:t>ID</w:t>
            </w:r>
          </w:p>
        </w:tc>
        <w:tc>
          <w:tcPr>
            <w:tcW w:type="dxa" w:w="6120"/>
            <w:vAlign w:val="center"/>
            <w:shd w:fill="D9EAF7"/>
          </w:tcPr>
          <w:p>
            <w:pPr>
              <w:spacing w:after="0"/>
            </w:pPr>
            <w:r/>
            <w:r>
              <w:rPr>
                <w:rFonts w:ascii="Calibri" w:hAnsi="Calibri"/>
                <w:b/>
                <w:sz w:val="14"/>
              </w:rPr>
              <w:t>Requirement</w:t>
            </w:r>
          </w:p>
        </w:tc>
        <w:tc>
          <w:tcPr>
            <w:tcW w:type="dxa" w:w="2664"/>
            <w:vAlign w:val="center"/>
            <w:shd w:fill="D9EAF7"/>
          </w:tcPr>
          <w:p>
            <w:pPr>
              <w:spacing w:after="0"/>
            </w:pPr>
            <w:r/>
            <w:r>
              <w:rPr>
                <w:rFonts w:ascii="Calibri" w:hAnsi="Calibri"/>
                <w:b/>
                <w:sz w:val="14"/>
              </w:rPr>
              <w:t>Verification</w:t>
            </w:r>
          </w:p>
        </w:tc>
      </w:tr>
      <w:tr>
        <w:tc>
          <w:tcPr>
            <w:tcW w:type="dxa" w:w="1008"/>
            <w:vAlign w:val="center"/>
          </w:tcPr>
          <w:p>
            <w:pPr>
              <w:spacing w:after="0"/>
            </w:pPr>
            <w:r/>
            <w:r>
              <w:rPr>
                <w:rFonts w:ascii="Calibri" w:hAnsi="Calibri"/>
                <w:b w:val="0"/>
                <w:sz w:val="14"/>
              </w:rPr>
              <w:t>SEC-01</w:t>
            </w:r>
          </w:p>
        </w:tc>
        <w:tc>
          <w:tcPr>
            <w:tcW w:type="dxa" w:w="6120"/>
            <w:vAlign w:val="center"/>
          </w:tcPr>
          <w:p>
            <w:pPr>
              <w:spacing w:after="0"/>
            </w:pPr>
            <w:r/>
            <w:r>
              <w:rPr>
                <w:rFonts w:ascii="Calibri" w:hAnsi="Calibri"/>
                <w:b w:val="0"/>
                <w:sz w:val="14"/>
              </w:rPr>
              <w:t>The system shall enforce the configured upload-size limit before fully processing the input.</w:t>
            </w:r>
          </w:p>
        </w:tc>
        <w:tc>
          <w:tcPr>
            <w:tcW w:type="dxa" w:w="2664"/>
            <w:vAlign w:val="center"/>
          </w:tcPr>
          <w:p>
            <w:pPr>
              <w:spacing w:after="0"/>
            </w:pPr>
            <w:r/>
            <w:r>
              <w:rPr>
                <w:rFonts w:ascii="Calibri" w:hAnsi="Calibri"/>
                <w:b w:val="0"/>
                <w:sz w:val="14"/>
              </w:rPr>
              <w:t>Boundary-size tests; inspect server configuration.</w:t>
            </w:r>
          </w:p>
        </w:tc>
      </w:tr>
      <w:tr>
        <w:tc>
          <w:tcPr>
            <w:tcW w:type="dxa" w:w="1008"/>
            <w:vAlign w:val="center"/>
          </w:tcPr>
          <w:p>
            <w:pPr>
              <w:spacing w:after="0"/>
            </w:pPr>
            <w:r/>
            <w:r>
              <w:rPr>
                <w:rFonts w:ascii="Calibri" w:hAnsi="Calibri"/>
                <w:b w:val="0"/>
                <w:sz w:val="14"/>
              </w:rPr>
              <w:t>SEC-02</w:t>
            </w:r>
          </w:p>
        </w:tc>
        <w:tc>
          <w:tcPr>
            <w:tcW w:type="dxa" w:w="6120"/>
            <w:vAlign w:val="center"/>
          </w:tcPr>
          <w:p>
            <w:pPr>
              <w:spacing w:after="0"/>
            </w:pPr>
            <w:r/>
            <w:r>
              <w:rPr>
                <w:rFonts w:ascii="Calibri" w:hAnsi="Calibri"/>
                <w:b w:val="0"/>
                <w:sz w:val="14"/>
              </w:rPr>
              <w:t>The system shall validate file extension, content type, and expected structure; extension alone shall not be treated as sufficient validation.</w:t>
            </w:r>
          </w:p>
        </w:tc>
        <w:tc>
          <w:tcPr>
            <w:tcW w:type="dxa" w:w="2664"/>
            <w:vAlign w:val="center"/>
          </w:tcPr>
          <w:p>
            <w:pPr>
              <w:spacing w:after="0"/>
            </w:pPr>
            <w:r/>
            <w:r>
              <w:rPr>
                <w:rFonts w:ascii="Calibri" w:hAnsi="Calibri"/>
                <w:b w:val="0"/>
                <w:sz w:val="14"/>
              </w:rPr>
              <w:t>Malformed-file and spoofed-content tests.</w:t>
            </w:r>
          </w:p>
        </w:tc>
      </w:tr>
      <w:tr>
        <w:tc>
          <w:tcPr>
            <w:tcW w:type="dxa" w:w="1008"/>
            <w:vAlign w:val="center"/>
          </w:tcPr>
          <w:p>
            <w:pPr>
              <w:spacing w:after="0"/>
            </w:pPr>
            <w:r/>
            <w:r>
              <w:rPr>
                <w:rFonts w:ascii="Calibri" w:hAnsi="Calibri"/>
                <w:b w:val="0"/>
                <w:sz w:val="14"/>
              </w:rPr>
              <w:t>SEC-03</w:t>
            </w:r>
          </w:p>
        </w:tc>
        <w:tc>
          <w:tcPr>
            <w:tcW w:type="dxa" w:w="6120"/>
            <w:vAlign w:val="center"/>
          </w:tcPr>
          <w:p>
            <w:pPr>
              <w:spacing w:after="0"/>
            </w:pPr>
            <w:r/>
            <w:r>
              <w:rPr>
                <w:rFonts w:ascii="Calibri" w:hAnsi="Calibri"/>
                <w:b w:val="0"/>
                <w:sz w:val="14"/>
              </w:rPr>
              <w:t>The system shall not execute uploaded files or evaluate arbitrary code supplied in an upload.</w:t>
            </w:r>
          </w:p>
        </w:tc>
        <w:tc>
          <w:tcPr>
            <w:tcW w:type="dxa" w:w="2664"/>
            <w:vAlign w:val="center"/>
          </w:tcPr>
          <w:p>
            <w:pPr>
              <w:spacing w:after="0"/>
            </w:pPr>
            <w:r/>
            <w:r>
              <w:rPr>
                <w:rFonts w:ascii="Calibri" w:hAnsi="Calibri"/>
                <w:b w:val="0"/>
                <w:sz w:val="14"/>
              </w:rPr>
              <w:t>Code review and malicious-input test.</w:t>
            </w:r>
          </w:p>
        </w:tc>
      </w:tr>
      <w:tr>
        <w:tc>
          <w:tcPr>
            <w:tcW w:type="dxa" w:w="1008"/>
            <w:vAlign w:val="center"/>
          </w:tcPr>
          <w:p>
            <w:pPr>
              <w:spacing w:after="0"/>
            </w:pPr>
            <w:r/>
            <w:r>
              <w:rPr>
                <w:rFonts w:ascii="Calibri" w:hAnsi="Calibri"/>
                <w:b w:val="0"/>
                <w:sz w:val="14"/>
              </w:rPr>
              <w:t>SEC-04</w:t>
            </w:r>
          </w:p>
        </w:tc>
        <w:tc>
          <w:tcPr>
            <w:tcW w:type="dxa" w:w="6120"/>
            <w:vAlign w:val="center"/>
          </w:tcPr>
          <w:p>
            <w:pPr>
              <w:spacing w:after="0"/>
            </w:pPr>
            <w:r/>
            <w:r>
              <w:rPr>
                <w:rFonts w:ascii="Calibri" w:hAnsi="Calibri"/>
                <w:b w:val="0"/>
                <w:sz w:val="14"/>
              </w:rPr>
              <w:t>If accounts exist, each request for a private run or file shall verify ownership or an authorized role.</w:t>
            </w:r>
          </w:p>
        </w:tc>
        <w:tc>
          <w:tcPr>
            <w:tcW w:type="dxa" w:w="2664"/>
            <w:vAlign w:val="center"/>
          </w:tcPr>
          <w:p>
            <w:pPr>
              <w:spacing w:after="0"/>
            </w:pPr>
            <w:r/>
            <w:r>
              <w:rPr>
                <w:rFonts w:ascii="Calibri" w:hAnsi="Calibri"/>
                <w:b w:val="0"/>
                <w:sz w:val="14"/>
              </w:rPr>
              <w:t>Cross-user authorization test.</w:t>
            </w:r>
          </w:p>
        </w:tc>
      </w:tr>
      <w:tr>
        <w:tc>
          <w:tcPr>
            <w:tcW w:type="dxa" w:w="1008"/>
            <w:vAlign w:val="center"/>
          </w:tcPr>
          <w:p>
            <w:pPr>
              <w:spacing w:after="0"/>
            </w:pPr>
            <w:r/>
            <w:r>
              <w:rPr>
                <w:rFonts w:ascii="Calibri" w:hAnsi="Calibri"/>
                <w:b w:val="0"/>
                <w:sz w:val="14"/>
              </w:rPr>
              <w:t>SEC-05</w:t>
            </w:r>
          </w:p>
        </w:tc>
        <w:tc>
          <w:tcPr>
            <w:tcW w:type="dxa" w:w="6120"/>
            <w:vAlign w:val="center"/>
          </w:tcPr>
          <w:p>
            <w:pPr>
              <w:spacing w:after="0"/>
            </w:pPr>
            <w:r/>
            <w:r>
              <w:rPr>
                <w:rFonts w:ascii="Calibri" w:hAnsi="Calibri"/>
                <w:b w:val="0"/>
                <w:sz w:val="14"/>
              </w:rPr>
              <w:t>The deployed application shall use HTTPS and shall not transmit credentials or private dataset contents over plaintext HTTP.</w:t>
            </w:r>
          </w:p>
        </w:tc>
        <w:tc>
          <w:tcPr>
            <w:tcW w:type="dxa" w:w="2664"/>
            <w:vAlign w:val="center"/>
          </w:tcPr>
          <w:p>
            <w:pPr>
              <w:spacing w:after="0"/>
            </w:pPr>
            <w:r/>
            <w:r>
              <w:rPr>
                <w:rFonts w:ascii="Calibri" w:hAnsi="Calibri"/>
                <w:b w:val="0"/>
                <w:sz w:val="14"/>
              </w:rPr>
              <w:t>Deployment/configuration inspection.</w:t>
            </w:r>
          </w:p>
        </w:tc>
      </w:tr>
      <w:tr>
        <w:tc>
          <w:tcPr>
            <w:tcW w:type="dxa" w:w="1008"/>
            <w:vAlign w:val="center"/>
          </w:tcPr>
          <w:p>
            <w:pPr>
              <w:spacing w:after="0"/>
            </w:pPr>
            <w:r/>
            <w:r>
              <w:rPr>
                <w:rFonts w:ascii="Calibri" w:hAnsi="Calibri"/>
                <w:b w:val="0"/>
                <w:sz w:val="14"/>
              </w:rPr>
              <w:t>SEC-06</w:t>
            </w:r>
          </w:p>
        </w:tc>
        <w:tc>
          <w:tcPr>
            <w:tcW w:type="dxa" w:w="6120"/>
            <w:vAlign w:val="center"/>
          </w:tcPr>
          <w:p>
            <w:pPr>
              <w:spacing w:after="0"/>
            </w:pPr>
            <w:r/>
            <w:r>
              <w:rPr>
                <w:rFonts w:ascii="Calibri" w:hAnsi="Calibri"/>
                <w:b w:val="0"/>
                <w:sz w:val="14"/>
              </w:rPr>
              <w:t>Error responses shall not expose stack traces, secrets, filesystem paths, or internal configuration to end users.</w:t>
            </w:r>
          </w:p>
        </w:tc>
        <w:tc>
          <w:tcPr>
            <w:tcW w:type="dxa" w:w="2664"/>
            <w:vAlign w:val="center"/>
          </w:tcPr>
          <w:p>
            <w:pPr>
              <w:spacing w:after="0"/>
            </w:pPr>
            <w:r/>
            <w:r>
              <w:rPr>
                <w:rFonts w:ascii="Calibri" w:hAnsi="Calibri"/>
                <w:b w:val="0"/>
                <w:sz w:val="14"/>
              </w:rPr>
              <w:t>Error-path tests.</w:t>
            </w:r>
          </w:p>
        </w:tc>
      </w:tr>
      <w:tr>
        <w:tc>
          <w:tcPr>
            <w:tcW w:type="dxa" w:w="1008"/>
            <w:vAlign w:val="center"/>
          </w:tcPr>
          <w:p>
            <w:pPr>
              <w:spacing w:after="0"/>
            </w:pPr>
            <w:r/>
            <w:r>
              <w:rPr>
                <w:rFonts w:ascii="Calibri" w:hAnsi="Calibri"/>
                <w:b w:val="0"/>
                <w:sz w:val="14"/>
              </w:rPr>
              <w:t>SEC-07</w:t>
            </w:r>
          </w:p>
        </w:tc>
        <w:tc>
          <w:tcPr>
            <w:tcW w:type="dxa" w:w="6120"/>
            <w:vAlign w:val="center"/>
          </w:tcPr>
          <w:p>
            <w:pPr>
              <w:spacing w:after="0"/>
            </w:pPr>
            <w:r/>
            <w:r>
              <w:rPr>
                <w:rFonts w:ascii="Calibri" w:hAnsi="Calibri"/>
                <w:b w:val="0"/>
                <w:sz w:val="14"/>
              </w:rPr>
              <w:t>Logs shall exclude passwords, access tokens, and raw dataset rows unless explicitly justified and protected.</w:t>
            </w:r>
          </w:p>
        </w:tc>
        <w:tc>
          <w:tcPr>
            <w:tcW w:type="dxa" w:w="2664"/>
            <w:vAlign w:val="center"/>
          </w:tcPr>
          <w:p>
            <w:pPr>
              <w:spacing w:after="0"/>
            </w:pPr>
            <w:r/>
            <w:r>
              <w:rPr>
                <w:rFonts w:ascii="Calibri" w:hAnsi="Calibri"/>
                <w:b w:val="0"/>
                <w:sz w:val="14"/>
              </w:rPr>
              <w:t>Log review.</w:t>
            </w:r>
          </w:p>
        </w:tc>
      </w:tr>
      <w:tr>
        <w:tc>
          <w:tcPr>
            <w:tcW w:type="dxa" w:w="1008"/>
            <w:vAlign w:val="center"/>
          </w:tcPr>
          <w:p>
            <w:pPr>
              <w:spacing w:after="0"/>
            </w:pPr>
            <w:r/>
            <w:r>
              <w:rPr>
                <w:rFonts w:ascii="Calibri" w:hAnsi="Calibri"/>
                <w:b w:val="0"/>
                <w:sz w:val="14"/>
              </w:rPr>
              <w:t>SEC-08</w:t>
            </w:r>
          </w:p>
        </w:tc>
        <w:tc>
          <w:tcPr>
            <w:tcW w:type="dxa" w:w="6120"/>
            <w:vAlign w:val="center"/>
          </w:tcPr>
          <w:p>
            <w:pPr>
              <w:spacing w:after="0"/>
            </w:pPr>
            <w:r/>
            <w:r>
              <w:rPr>
                <w:rFonts w:ascii="Calibri" w:hAnsi="Calibri"/>
                <w:b w:val="0"/>
                <w:sz w:val="14"/>
              </w:rPr>
              <w:t>Temporary uploaded files shall be stored in a controlled location and deleted according to a documented retention policy.</w:t>
            </w:r>
          </w:p>
        </w:tc>
        <w:tc>
          <w:tcPr>
            <w:tcW w:type="dxa" w:w="2664"/>
            <w:vAlign w:val="center"/>
          </w:tcPr>
          <w:p>
            <w:pPr>
              <w:spacing w:after="0"/>
            </w:pPr>
            <w:r/>
            <w:r>
              <w:rPr>
                <w:rFonts w:ascii="Calibri" w:hAnsi="Calibri"/>
                <w:b w:val="0"/>
                <w:sz w:val="14"/>
              </w:rPr>
              <w:t>Configuration and lifecycle test.</w:t>
            </w:r>
          </w:p>
        </w:tc>
      </w:tr>
    </w:tbl>
    <w:p/>
    <w:p>
      <w:pPr>
        <w:pStyle w:val="Heading2"/>
      </w:pPr>
      <w:r>
        <w:t>7. Use Case Model</w:t>
      </w:r>
    </w:p>
    <w:p>
      <w:pPr>
        <w:jc w:val="center"/>
      </w:pPr>
      <w:r>
        <w:drawing>
          <wp:inline xmlns:a="http://schemas.openxmlformats.org/drawingml/2006/main" xmlns:pic="http://schemas.openxmlformats.org/drawingml/2006/picture">
            <wp:extent cx="5943600" cy="3544134"/>
            <wp:docPr id="1" name="Picture 1"/>
            <wp:cNvGraphicFramePr>
              <a:graphicFrameLocks noChangeAspect="1"/>
            </wp:cNvGraphicFramePr>
            <a:graphic>
              <a:graphicData uri="http://schemas.openxmlformats.org/drawingml/2006/picture">
                <pic:pic>
                  <pic:nvPicPr>
                    <pic:cNvPr id="0" name="ml_evaluator_use_case.png"/>
                    <pic:cNvPicPr/>
                  </pic:nvPicPr>
                  <pic:blipFill>
                    <a:blip r:embed="rId11"/>
                    <a:stretch>
                      <a:fillRect/>
                    </a:stretch>
                  </pic:blipFill>
                  <pic:spPr>
                    <a:xfrm>
                      <a:off x="0" y="0"/>
                      <a:ext cx="5943600" cy="3544134"/>
                    </a:xfrm>
                    <a:prstGeom prst="rect"/>
                  </pic:spPr>
                </pic:pic>
              </a:graphicData>
            </a:graphic>
          </wp:inline>
        </w:drawing>
      </w:r>
    </w:p>
    <w:p>
      <w:pPr>
        <w:pStyle w:val="Caption"/>
        <w:spacing w:after="160"/>
        <w:jc w:val="center"/>
      </w:pPr>
      <w:r>
        <w:t>Figure 1. Proposed use case diagram. Optional history/export use cases must be removed if not implemented.</w:t>
      </w:r>
    </w:p>
    <w:p>
      <w:pPr>
        <w:pStyle w:val="Heading3"/>
      </w:pPr>
      <w:r>
        <w:t>7.1 Use case UC-01: Evaluate a model</w:t>
      </w:r>
    </w:p>
    <w:tbl>
      <w:tblPr>
        <w:tblStyle w:val="TableGrid"/>
        <w:tblW w:type="auto" w:w="0"/>
        <w:jc w:val="center"/>
        <w:tblLook w:firstColumn="1" w:firstRow="1" w:lastColumn="0" w:lastRow="0" w:noHBand="0" w:noVBand="1" w:val="04A0"/>
      </w:tblPr>
      <w:tblGrid>
        <w:gridCol w:w="4968"/>
        <w:gridCol w:w="4968"/>
      </w:tblGrid>
      <w:tr>
        <w:tc>
          <w:tcPr>
            <w:tcW w:type="dxa" w:w="2088"/>
            <w:vAlign w:val="center"/>
            <w:shd w:fill="D9EAF7"/>
          </w:tcPr>
          <w:p>
            <w:pPr>
              <w:spacing w:after="0"/>
            </w:pPr>
            <w:r/>
            <w:r>
              <w:rPr>
                <w:rFonts w:ascii="Calibri" w:hAnsi="Calibri"/>
                <w:b/>
                <w:sz w:val="15"/>
              </w:rPr>
              <w:t>Field</w:t>
            </w:r>
          </w:p>
        </w:tc>
        <w:tc>
          <w:tcPr>
            <w:tcW w:type="dxa" w:w="7704"/>
            <w:vAlign w:val="center"/>
            <w:shd w:fill="D9EAF7"/>
          </w:tcPr>
          <w:p>
            <w:pPr>
              <w:spacing w:after="0"/>
            </w:pPr>
            <w:r/>
            <w:r>
              <w:rPr>
                <w:rFonts w:ascii="Calibri" w:hAnsi="Calibri"/>
                <w:b/>
                <w:sz w:val="15"/>
              </w:rPr>
              <w:t>Description</w:t>
            </w:r>
          </w:p>
        </w:tc>
      </w:tr>
      <w:tr>
        <w:tc>
          <w:tcPr>
            <w:tcW w:type="dxa" w:w="2088"/>
            <w:vAlign w:val="center"/>
          </w:tcPr>
          <w:p>
            <w:pPr>
              <w:spacing w:after="0"/>
            </w:pPr>
            <w:r/>
            <w:r>
              <w:rPr>
                <w:rFonts w:ascii="Calibri" w:hAnsi="Calibri"/>
                <w:b w:val="0"/>
                <w:sz w:val="15"/>
              </w:rPr>
              <w:t>Primary actor</w:t>
            </w:r>
          </w:p>
        </w:tc>
        <w:tc>
          <w:tcPr>
            <w:tcW w:type="dxa" w:w="7704"/>
            <w:vAlign w:val="center"/>
          </w:tcPr>
          <w:p>
            <w:pPr>
              <w:spacing w:after="0"/>
            </w:pPr>
            <w:r/>
            <w:r>
              <w:rPr>
                <w:rFonts w:ascii="Calibri" w:hAnsi="Calibri"/>
                <w:b w:val="0"/>
                <w:sz w:val="15"/>
              </w:rPr>
              <w:t>Evaluator user</w:t>
            </w:r>
          </w:p>
        </w:tc>
      </w:tr>
      <w:tr>
        <w:tc>
          <w:tcPr>
            <w:tcW w:type="dxa" w:w="2088"/>
            <w:vAlign w:val="center"/>
          </w:tcPr>
          <w:p>
            <w:pPr>
              <w:spacing w:after="0"/>
            </w:pPr>
            <w:r/>
            <w:r>
              <w:rPr>
                <w:rFonts w:ascii="Calibri" w:hAnsi="Calibri"/>
                <w:b w:val="0"/>
                <w:sz w:val="15"/>
              </w:rPr>
              <w:t>Preconditions</w:t>
            </w:r>
          </w:p>
        </w:tc>
        <w:tc>
          <w:tcPr>
            <w:tcW w:type="dxa" w:w="7704"/>
            <w:vAlign w:val="center"/>
          </w:tcPr>
          <w:p>
            <w:pPr>
              <w:spacing w:after="0"/>
            </w:pPr>
            <w:r/>
            <w:r>
              <w:rPr>
                <w:rFonts w:ascii="Calibri" w:hAnsi="Calibri"/>
                <w:b w:val="0"/>
                <w:sz w:val="15"/>
              </w:rPr>
              <w:t>Application is reachable; user has access to the evaluation page; a supported input is available.</w:t>
            </w:r>
          </w:p>
        </w:tc>
      </w:tr>
      <w:tr>
        <w:tc>
          <w:tcPr>
            <w:tcW w:type="dxa" w:w="2088"/>
            <w:vAlign w:val="center"/>
          </w:tcPr>
          <w:p>
            <w:pPr>
              <w:spacing w:after="0"/>
            </w:pPr>
            <w:r/>
            <w:r>
              <w:rPr>
                <w:rFonts w:ascii="Calibri" w:hAnsi="Calibri"/>
                <w:b w:val="0"/>
                <w:sz w:val="15"/>
              </w:rPr>
              <w:t>Trigger</w:t>
            </w:r>
          </w:p>
        </w:tc>
        <w:tc>
          <w:tcPr>
            <w:tcW w:type="dxa" w:w="7704"/>
            <w:vAlign w:val="center"/>
          </w:tcPr>
          <w:p>
            <w:pPr>
              <w:spacing w:after="0"/>
            </w:pPr>
            <w:r/>
            <w:r>
              <w:rPr>
                <w:rFonts w:ascii="Calibri" w:hAnsi="Calibri"/>
                <w:b w:val="0"/>
                <w:sz w:val="15"/>
              </w:rPr>
              <w:t>User starts a new evaluation.</w:t>
            </w:r>
          </w:p>
        </w:tc>
      </w:tr>
      <w:tr>
        <w:tc>
          <w:tcPr>
            <w:tcW w:type="dxa" w:w="2088"/>
            <w:vAlign w:val="center"/>
          </w:tcPr>
          <w:p>
            <w:pPr>
              <w:spacing w:after="0"/>
            </w:pPr>
            <w:r/>
            <w:r>
              <w:rPr>
                <w:rFonts w:ascii="Calibri" w:hAnsi="Calibri"/>
                <w:b w:val="0"/>
                <w:sz w:val="15"/>
              </w:rPr>
              <w:t>Main flow</w:t>
            </w:r>
          </w:p>
        </w:tc>
        <w:tc>
          <w:tcPr>
            <w:tcW w:type="dxa" w:w="7704"/>
            <w:vAlign w:val="center"/>
          </w:tcPr>
          <w:p>
            <w:pPr>
              <w:spacing w:after="0"/>
            </w:pPr>
            <w:r/>
            <w:r>
              <w:rPr>
                <w:rFonts w:ascii="Calibri" w:hAnsi="Calibri"/>
                <w:b w:val="0"/>
                <w:sz w:val="15"/>
              </w:rPr>
              <w:t>1. User uploads input. 2. System validates file and structure. 3. User selects task and metrics. 4. User submits evaluation. 5. System calculates metrics. 6. System records status and result. 7. UI displays metrics.</w:t>
            </w:r>
          </w:p>
        </w:tc>
      </w:tr>
      <w:tr>
        <w:tc>
          <w:tcPr>
            <w:tcW w:type="dxa" w:w="2088"/>
            <w:vAlign w:val="center"/>
          </w:tcPr>
          <w:p>
            <w:pPr>
              <w:spacing w:after="0"/>
            </w:pPr>
            <w:r/>
            <w:r>
              <w:rPr>
                <w:rFonts w:ascii="Calibri" w:hAnsi="Calibri"/>
                <w:b w:val="0"/>
                <w:sz w:val="15"/>
              </w:rPr>
              <w:t>Alternative flow A</w:t>
            </w:r>
          </w:p>
        </w:tc>
        <w:tc>
          <w:tcPr>
            <w:tcW w:type="dxa" w:w="7704"/>
            <w:vAlign w:val="center"/>
          </w:tcPr>
          <w:p>
            <w:pPr>
              <w:spacing w:after="0"/>
            </w:pPr>
            <w:r/>
            <w:r>
              <w:rPr>
                <w:rFonts w:ascii="Calibri" w:hAnsi="Calibri"/>
                <w:b w:val="0"/>
                <w:sz w:val="15"/>
              </w:rPr>
              <w:t>Input validation fails: system explains the problem and does not start evaluation.</w:t>
            </w:r>
          </w:p>
        </w:tc>
      </w:tr>
      <w:tr>
        <w:tc>
          <w:tcPr>
            <w:tcW w:type="dxa" w:w="2088"/>
            <w:vAlign w:val="center"/>
          </w:tcPr>
          <w:p>
            <w:pPr>
              <w:spacing w:after="0"/>
            </w:pPr>
            <w:r/>
            <w:r>
              <w:rPr>
                <w:rFonts w:ascii="Calibri" w:hAnsi="Calibri"/>
                <w:b w:val="0"/>
                <w:sz w:val="15"/>
              </w:rPr>
              <w:t>Alternative flow B</w:t>
            </w:r>
          </w:p>
        </w:tc>
        <w:tc>
          <w:tcPr>
            <w:tcW w:type="dxa" w:w="7704"/>
            <w:vAlign w:val="center"/>
          </w:tcPr>
          <w:p>
            <w:pPr>
              <w:spacing w:after="0"/>
            </w:pPr>
            <w:r/>
            <w:r>
              <w:rPr>
                <w:rFonts w:ascii="Calibri" w:hAnsi="Calibri"/>
                <w:b w:val="0"/>
                <w:sz w:val="15"/>
              </w:rPr>
              <w:t>Task/metric configuration is incompatible: system requests a valid configuration.</w:t>
            </w:r>
          </w:p>
        </w:tc>
      </w:tr>
      <w:tr>
        <w:tc>
          <w:tcPr>
            <w:tcW w:type="dxa" w:w="2088"/>
            <w:vAlign w:val="center"/>
          </w:tcPr>
          <w:p>
            <w:pPr>
              <w:spacing w:after="0"/>
            </w:pPr>
            <w:r/>
            <w:r>
              <w:rPr>
                <w:rFonts w:ascii="Calibri" w:hAnsi="Calibri"/>
                <w:b w:val="0"/>
                <w:sz w:val="15"/>
              </w:rPr>
              <w:t>Alternative flow C</w:t>
            </w:r>
          </w:p>
        </w:tc>
        <w:tc>
          <w:tcPr>
            <w:tcW w:type="dxa" w:w="7704"/>
            <w:vAlign w:val="center"/>
          </w:tcPr>
          <w:p>
            <w:pPr>
              <w:spacing w:after="0"/>
            </w:pPr>
            <w:r/>
            <w:r>
              <w:rPr>
                <w:rFonts w:ascii="Calibri" w:hAnsi="Calibri"/>
                <w:b w:val="0"/>
                <w:sz w:val="15"/>
              </w:rPr>
              <w:t>Metric calculation fails: system marks the run failed and shows a safe error message.</w:t>
            </w:r>
          </w:p>
        </w:tc>
      </w:tr>
      <w:tr>
        <w:tc>
          <w:tcPr>
            <w:tcW w:type="dxa" w:w="2088"/>
            <w:vAlign w:val="center"/>
          </w:tcPr>
          <w:p>
            <w:pPr>
              <w:spacing w:after="0"/>
            </w:pPr>
            <w:r/>
            <w:r>
              <w:rPr>
                <w:rFonts w:ascii="Calibri" w:hAnsi="Calibri"/>
                <w:b w:val="0"/>
                <w:sz w:val="15"/>
              </w:rPr>
              <w:t>Postconditions</w:t>
            </w:r>
          </w:p>
        </w:tc>
        <w:tc>
          <w:tcPr>
            <w:tcW w:type="dxa" w:w="7704"/>
            <w:vAlign w:val="center"/>
          </w:tcPr>
          <w:p>
            <w:pPr>
              <w:spacing w:after="0"/>
            </w:pPr>
            <w:r/>
            <w:r>
              <w:rPr>
                <w:rFonts w:ascii="Calibri" w:hAnsi="Calibri"/>
                <w:b w:val="0"/>
                <w:sz w:val="15"/>
              </w:rPr>
              <w:t>A valid run has a completed result, or a failed run has a failure status and no false success result.</w:t>
            </w:r>
          </w:p>
        </w:tc>
      </w:tr>
    </w:tbl>
    <w:p/>
    <w:p>
      <w:pPr>
        <w:pStyle w:val="Heading2"/>
      </w:pPr>
      <w:r>
        <w:t>8. Acceptance Criteria</w:t>
      </w:r>
    </w:p>
    <w:p>
      <w:pPr>
        <w:pStyle w:val="ListBullet"/>
        <w:spacing w:after="40"/>
      </w:pPr>
      <w:r>
        <w:t>A supported valid input can be submitted and validated.</w:t>
      </w:r>
    </w:p>
    <w:p>
      <w:pPr>
        <w:pStyle w:val="ListBullet"/>
        <w:spacing w:after="40"/>
      </w:pPr>
      <w:r>
        <w:t>Missing required fields and unsupported inputs are rejected with understandable messages.</w:t>
      </w:r>
    </w:p>
    <w:p>
      <w:pPr>
        <w:pStyle w:val="ListBullet"/>
        <w:spacing w:after="40"/>
      </w:pPr>
      <w:r>
        <w:t>At least one supported evaluation configuration completes and displays its metric value.</w:t>
      </w:r>
    </w:p>
    <w:p>
      <w:pPr>
        <w:pStyle w:val="ListBullet"/>
        <w:spacing w:after="40"/>
      </w:pPr>
      <w:r>
        <w:t>An invalid configuration cannot be reported as a successful evaluation.</w:t>
      </w:r>
    </w:p>
    <w:p>
      <w:pPr>
        <w:pStyle w:val="ListBullet"/>
        <w:spacing w:after="40"/>
      </w:pPr>
      <w:r>
        <w:t>The implemented security objectives have corresponding tests or inspection evidence.</w:t>
      </w:r>
    </w:p>
    <w:p>
      <w:pPr>
        <w:pStyle w:val="ListBullet"/>
        <w:spacing w:after="40"/>
      </w:pPr>
      <w:r>
        <w:t>At least 7–10 test cases are documented and traceable to SRS requirements.</w:t>
      </w:r>
    </w:p>
    <w:p>
      <w:pPr>
        <w:pStyle w:val="ListBullet"/>
        <w:spacing w:after="40"/>
      </w:pPr>
      <w:r>
        <w:t>All TBD thresholds and supported-format details are resolved before final acceptance.</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Draft specification — confirm assumptions against the actual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SOFTWARE ENGINEERING MINI-PROJECT | WEB-BASED ML MODEL EVALUATOR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Calibri" w:hAnsi="Calibr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