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2F272" w14:textId="77777777" w:rsidR="0026386D" w:rsidRPr="004040FD" w:rsidRDefault="00000000">
      <w:pPr>
        <w:pStyle w:val="Title"/>
        <w:rPr>
          <w:rFonts w:ascii="Aptos" w:hAnsi="Aptos"/>
        </w:rPr>
      </w:pPr>
      <w:r w:rsidRPr="004040FD">
        <w:rPr>
          <w:rFonts w:ascii="Aptos" w:hAnsi="Aptos"/>
        </w:rPr>
        <w:t>Factors Contributing to Churn and Retention</w:t>
      </w:r>
    </w:p>
    <w:p w14:paraId="5F0BA9BF" w14:textId="0A7F320C" w:rsidR="0026386D" w:rsidRPr="004040FD" w:rsidRDefault="00000000">
      <w:pPr>
        <w:pStyle w:val="Subtitle"/>
        <w:rPr>
          <w:rFonts w:ascii="Aptos" w:hAnsi="Aptos"/>
        </w:rPr>
      </w:pPr>
      <w:r w:rsidRPr="004040FD">
        <w:rPr>
          <w:rFonts w:ascii="Aptos" w:hAnsi="Aptos"/>
        </w:rPr>
        <w:t xml:space="preserve">Customer Churn Analysis for a Telecommunications Company </w:t>
      </w:r>
    </w:p>
    <w:p w14:paraId="5D7BF647" w14:textId="77777777" w:rsidR="0026386D" w:rsidRPr="004040FD" w:rsidRDefault="00000000">
      <w:pPr>
        <w:pStyle w:val="Heading1"/>
        <w:rPr>
          <w:rFonts w:ascii="Aptos" w:hAnsi="Aptos"/>
        </w:rPr>
      </w:pPr>
      <w:bookmarkStart w:id="0" w:name="key-factors-driving-churn-and-retention"/>
      <w:r w:rsidRPr="004040FD">
        <w:rPr>
          <w:rFonts w:ascii="Aptos" w:hAnsi="Aptos"/>
        </w:rPr>
        <w:t>1. Key factors driving churn and retention</w:t>
      </w:r>
    </w:p>
    <w:p w14:paraId="77A3DF3A" w14:textId="77777777" w:rsidR="0026386D" w:rsidRPr="004040FD" w:rsidRDefault="00000000">
      <w:pPr>
        <w:pStyle w:val="FirstParagraph"/>
        <w:rPr>
          <w:rFonts w:ascii="Aptos" w:hAnsi="Aptos"/>
        </w:rPr>
      </w:pPr>
      <w:r w:rsidRPr="004040FD">
        <w:rPr>
          <w:rFonts w:ascii="Aptos" w:hAnsi="Aptos"/>
        </w:rPr>
        <w:t>Four factors drive churn: short tenure, high monthly charges, being a senior citizen and having no dependents. Contract type, internet type, phone services and gender barely matter. All figures below were calculated directly from the full 7,043-customer dataset.</w:t>
      </w:r>
    </w:p>
    <w:p w14:paraId="64B7A150" w14:textId="77777777" w:rsidR="0026386D" w:rsidRPr="004040FD" w:rsidRDefault="00000000">
      <w:pPr>
        <w:pStyle w:val="BodyText"/>
        <w:rPr>
          <w:rFonts w:ascii="Aptos" w:hAnsi="Aptos"/>
        </w:rPr>
      </w:pPr>
      <w:r w:rsidRPr="004040FD">
        <w:rPr>
          <w:rFonts w:ascii="Aptos" w:hAnsi="Aptos"/>
          <w:b/>
          <w:bCs/>
        </w:rPr>
        <w:t>What the ANN model shows.</w:t>
      </w:r>
      <w:r w:rsidRPr="004040FD">
        <w:rPr>
          <w:rFonts w:ascii="Aptos" w:hAnsi="Aptos"/>
        </w:rPr>
        <w:t xml:space="preserve"> Permutation importance on the trained ANN ranks </w:t>
      </w:r>
      <w:r w:rsidRPr="004040FD">
        <w:rPr>
          <w:rFonts w:ascii="Aptos" w:hAnsi="Aptos"/>
          <w:b/>
          <w:bCs/>
        </w:rPr>
        <w:t>tenure</w:t>
      </w:r>
      <w:r w:rsidRPr="004040FD">
        <w:rPr>
          <w:rFonts w:ascii="Aptos" w:hAnsi="Aptos"/>
        </w:rPr>
        <w:t xml:space="preserve"> as the dominant predictor of churn (importance 0.179), more than three times the next feature, monthly charges (0.054). Contract-type features score close to zero. The churn rates below, calculated from all 7,043 customers, confirm the same picture and add the size of each effect.</w:t>
      </w:r>
    </w:p>
    <w:p w14:paraId="73B473F8" w14:textId="77777777" w:rsidR="0026386D" w:rsidRPr="004040FD" w:rsidRDefault="00000000">
      <w:pPr>
        <w:pStyle w:val="BodyText"/>
        <w:keepNext/>
        <w:rPr>
          <w:rFonts w:ascii="Aptos" w:hAnsi="Aptos"/>
        </w:rPr>
      </w:pPr>
      <w:r w:rsidRPr="004040FD">
        <w:rPr>
          <w:rFonts w:ascii="Aptos" w:hAnsi="Aptos"/>
          <w:b/>
          <w:bCs/>
        </w:rPr>
        <w:t>Factors that increase churn</w:t>
      </w:r>
    </w:p>
    <w:tbl>
      <w:tblPr>
        <w:tblStyle w:val="Table"/>
        <w:tblW w:w="5000" w:type="pct"/>
        <w:tblBorders>
          <w:top w:val="single" w:sz="4" w:space="0" w:color="BFC5CF"/>
          <w:left w:val="single" w:sz="4" w:space="0" w:color="BFC5CF"/>
          <w:bottom w:val="single" w:sz="4" w:space="0" w:color="BFC5CF"/>
          <w:right w:val="single" w:sz="4" w:space="0" w:color="BFC5CF"/>
          <w:insideH w:val="single" w:sz="4" w:space="0" w:color="BFC5CF"/>
          <w:insideV w:val="single" w:sz="4" w:space="0" w:color="BFC5CF"/>
        </w:tblBorders>
        <w:tblLook w:val="0020" w:firstRow="1" w:lastRow="0" w:firstColumn="0" w:lastColumn="0" w:noHBand="0" w:noVBand="0"/>
      </w:tblPr>
      <w:tblGrid>
        <w:gridCol w:w="2111"/>
        <w:gridCol w:w="2985"/>
        <w:gridCol w:w="2498"/>
        <w:gridCol w:w="1808"/>
      </w:tblGrid>
      <w:tr w:rsidR="0026386D" w:rsidRPr="004040FD" w14:paraId="16C42C44" w14:textId="77777777" w:rsidTr="0026386D">
        <w:trPr>
          <w:cnfStyle w:val="100000000000" w:firstRow="1" w:lastRow="0" w:firstColumn="0" w:lastColumn="0" w:oddVBand="0" w:evenVBand="0" w:oddHBand="0" w:evenHBand="0" w:firstRowFirstColumn="0" w:firstRowLastColumn="0" w:lastRowFirstColumn="0" w:lastRowLastColumn="0"/>
          <w:cantSplit/>
          <w:tblHeader/>
        </w:trPr>
        <w:tc>
          <w:tcPr>
            <w:tcW w:w="2113" w:type="dxa"/>
            <w:shd w:val="clear" w:color="auto" w:fill="14213D"/>
          </w:tcPr>
          <w:p w14:paraId="6CD1DF3C" w14:textId="77777777" w:rsidR="0026386D" w:rsidRPr="004040FD" w:rsidRDefault="00000000">
            <w:pPr>
              <w:pStyle w:val="Compact"/>
              <w:spacing w:after="40"/>
              <w:rPr>
                <w:rFonts w:ascii="Aptos" w:hAnsi="Aptos"/>
              </w:rPr>
            </w:pPr>
            <w:r w:rsidRPr="004040FD">
              <w:rPr>
                <w:rFonts w:ascii="Aptos" w:hAnsi="Aptos"/>
                <w:b/>
                <w:color w:val="FFFFFF"/>
                <w:sz w:val="19"/>
              </w:rPr>
              <w:t>Factor</w:t>
            </w:r>
          </w:p>
        </w:tc>
        <w:tc>
          <w:tcPr>
            <w:tcW w:w="2988" w:type="dxa"/>
            <w:shd w:val="clear" w:color="auto" w:fill="14213D"/>
          </w:tcPr>
          <w:p w14:paraId="4A6E0199" w14:textId="77777777" w:rsidR="0026386D" w:rsidRPr="004040FD" w:rsidRDefault="00000000">
            <w:pPr>
              <w:pStyle w:val="Compact"/>
              <w:spacing w:after="40"/>
              <w:rPr>
                <w:rFonts w:ascii="Aptos" w:hAnsi="Aptos"/>
              </w:rPr>
            </w:pPr>
            <w:r w:rsidRPr="004040FD">
              <w:rPr>
                <w:rFonts w:ascii="Aptos" w:hAnsi="Aptos"/>
                <w:b/>
                <w:color w:val="FFFFFF"/>
                <w:sz w:val="19"/>
              </w:rPr>
              <w:t>Higher-risk group</w:t>
            </w:r>
          </w:p>
        </w:tc>
        <w:tc>
          <w:tcPr>
            <w:tcW w:w="2500" w:type="dxa"/>
            <w:shd w:val="clear" w:color="auto" w:fill="14213D"/>
          </w:tcPr>
          <w:p w14:paraId="79402DB6" w14:textId="77777777" w:rsidR="0026386D" w:rsidRPr="004040FD" w:rsidRDefault="00000000">
            <w:pPr>
              <w:pStyle w:val="Compact"/>
              <w:spacing w:after="40"/>
              <w:rPr>
                <w:rFonts w:ascii="Aptos" w:hAnsi="Aptos"/>
              </w:rPr>
            </w:pPr>
            <w:r w:rsidRPr="004040FD">
              <w:rPr>
                <w:rFonts w:ascii="Aptos" w:hAnsi="Aptos"/>
                <w:b/>
                <w:color w:val="FFFFFF"/>
                <w:sz w:val="19"/>
              </w:rPr>
              <w:t>Lower-risk group</w:t>
            </w:r>
          </w:p>
        </w:tc>
        <w:tc>
          <w:tcPr>
            <w:tcW w:w="1810" w:type="dxa"/>
            <w:shd w:val="clear" w:color="auto" w:fill="14213D"/>
          </w:tcPr>
          <w:p w14:paraId="2E2684DF" w14:textId="77777777" w:rsidR="0026386D" w:rsidRPr="004040FD" w:rsidRDefault="00000000">
            <w:pPr>
              <w:pStyle w:val="Compact"/>
              <w:spacing w:after="40"/>
              <w:rPr>
                <w:rFonts w:ascii="Aptos" w:hAnsi="Aptos"/>
              </w:rPr>
            </w:pPr>
            <w:r w:rsidRPr="004040FD">
              <w:rPr>
                <w:rFonts w:ascii="Aptos" w:hAnsi="Aptos"/>
                <w:b/>
                <w:color w:val="FFFFFF"/>
                <w:sz w:val="19"/>
              </w:rPr>
              <w:t>Effect</w:t>
            </w:r>
          </w:p>
        </w:tc>
      </w:tr>
      <w:tr w:rsidR="0026386D" w:rsidRPr="004040FD" w14:paraId="741B306E" w14:textId="77777777" w:rsidTr="0026386D">
        <w:trPr>
          <w:cantSplit/>
        </w:trPr>
        <w:tc>
          <w:tcPr>
            <w:tcW w:w="2113" w:type="dxa"/>
          </w:tcPr>
          <w:p w14:paraId="7EE2EA97" w14:textId="77777777" w:rsidR="0026386D" w:rsidRPr="004040FD" w:rsidRDefault="00000000">
            <w:pPr>
              <w:pStyle w:val="Compact"/>
              <w:spacing w:after="40"/>
              <w:rPr>
                <w:rFonts w:ascii="Aptos" w:hAnsi="Aptos"/>
              </w:rPr>
            </w:pPr>
            <w:r w:rsidRPr="004040FD">
              <w:rPr>
                <w:rFonts w:ascii="Aptos" w:hAnsi="Aptos"/>
                <w:sz w:val="19"/>
              </w:rPr>
              <w:t>Tenure</w:t>
            </w:r>
          </w:p>
        </w:tc>
        <w:tc>
          <w:tcPr>
            <w:tcW w:w="2988" w:type="dxa"/>
          </w:tcPr>
          <w:p w14:paraId="624EA468" w14:textId="77777777" w:rsidR="0026386D" w:rsidRPr="004040FD" w:rsidRDefault="00000000">
            <w:pPr>
              <w:pStyle w:val="Compact"/>
              <w:spacing w:after="40"/>
              <w:rPr>
                <w:rFonts w:ascii="Aptos" w:hAnsi="Aptos"/>
              </w:rPr>
            </w:pPr>
            <w:r w:rsidRPr="004040FD">
              <w:rPr>
                <w:rFonts w:ascii="Aptos" w:hAnsi="Aptos"/>
                <w:sz w:val="19"/>
              </w:rPr>
              <w:t xml:space="preserve">0–12 months: </w:t>
            </w:r>
            <w:r w:rsidRPr="004040FD">
              <w:rPr>
                <w:rFonts w:ascii="Aptos" w:hAnsi="Aptos"/>
                <w:b/>
                <w:bCs/>
                <w:sz w:val="19"/>
              </w:rPr>
              <w:t>47.4%</w:t>
            </w:r>
          </w:p>
        </w:tc>
        <w:tc>
          <w:tcPr>
            <w:tcW w:w="2500" w:type="dxa"/>
          </w:tcPr>
          <w:p w14:paraId="7E0605DD" w14:textId="77777777" w:rsidR="0026386D" w:rsidRPr="004040FD" w:rsidRDefault="00000000">
            <w:pPr>
              <w:pStyle w:val="Compact"/>
              <w:spacing w:after="40"/>
              <w:rPr>
                <w:rFonts w:ascii="Aptos" w:hAnsi="Aptos"/>
              </w:rPr>
            </w:pPr>
            <w:r w:rsidRPr="004040FD">
              <w:rPr>
                <w:rFonts w:ascii="Aptos" w:hAnsi="Aptos"/>
                <w:sz w:val="19"/>
              </w:rPr>
              <w:t>49–72 months: 9.5%</w:t>
            </w:r>
          </w:p>
        </w:tc>
        <w:tc>
          <w:tcPr>
            <w:tcW w:w="1810" w:type="dxa"/>
          </w:tcPr>
          <w:p w14:paraId="481BF88E" w14:textId="77777777" w:rsidR="0026386D" w:rsidRPr="004040FD" w:rsidRDefault="00000000">
            <w:pPr>
              <w:pStyle w:val="Compact"/>
              <w:spacing w:after="40"/>
              <w:rPr>
                <w:rFonts w:ascii="Aptos" w:hAnsi="Aptos"/>
              </w:rPr>
            </w:pPr>
            <w:r w:rsidRPr="004040FD">
              <w:rPr>
                <w:rFonts w:ascii="Aptos" w:hAnsi="Aptos"/>
                <w:sz w:val="19"/>
              </w:rPr>
              <w:t>Very strong</w:t>
            </w:r>
          </w:p>
        </w:tc>
      </w:tr>
      <w:tr w:rsidR="0026386D" w:rsidRPr="004040FD" w14:paraId="247B6E8D" w14:textId="77777777" w:rsidTr="0026386D">
        <w:trPr>
          <w:cantSplit/>
        </w:trPr>
        <w:tc>
          <w:tcPr>
            <w:tcW w:w="2113" w:type="dxa"/>
            <w:shd w:val="clear" w:color="auto" w:fill="F2F1EC"/>
          </w:tcPr>
          <w:p w14:paraId="521DEBCA" w14:textId="77777777" w:rsidR="0026386D" w:rsidRPr="004040FD" w:rsidRDefault="00000000">
            <w:pPr>
              <w:pStyle w:val="Compact"/>
              <w:spacing w:after="40"/>
              <w:rPr>
                <w:rFonts w:ascii="Aptos" w:hAnsi="Aptos"/>
              </w:rPr>
            </w:pPr>
            <w:r w:rsidRPr="004040FD">
              <w:rPr>
                <w:rFonts w:ascii="Aptos" w:hAnsi="Aptos"/>
                <w:sz w:val="19"/>
              </w:rPr>
              <w:t>Monthly charges</w:t>
            </w:r>
          </w:p>
        </w:tc>
        <w:tc>
          <w:tcPr>
            <w:tcW w:w="2988" w:type="dxa"/>
            <w:shd w:val="clear" w:color="auto" w:fill="F2F1EC"/>
          </w:tcPr>
          <w:p w14:paraId="60EB79B9" w14:textId="77777777" w:rsidR="0026386D" w:rsidRPr="004040FD" w:rsidRDefault="00000000">
            <w:pPr>
              <w:pStyle w:val="Compact"/>
              <w:spacing w:after="40"/>
              <w:rPr>
                <w:rFonts w:ascii="Aptos" w:hAnsi="Aptos"/>
              </w:rPr>
            </w:pPr>
            <w:r w:rsidRPr="004040FD">
              <w:rPr>
                <w:rFonts w:ascii="Aptos" w:hAnsi="Aptos"/>
                <w:sz w:val="19"/>
              </w:rPr>
              <w:t xml:space="preserve">$71–90: </w:t>
            </w:r>
            <w:r w:rsidRPr="004040FD">
              <w:rPr>
                <w:rFonts w:ascii="Aptos" w:hAnsi="Aptos"/>
                <w:b/>
                <w:bCs/>
                <w:sz w:val="19"/>
              </w:rPr>
              <w:t>37.0%</w:t>
            </w:r>
            <w:r w:rsidRPr="004040FD">
              <w:rPr>
                <w:rFonts w:ascii="Aptos" w:hAnsi="Aptos"/>
                <w:sz w:val="19"/>
              </w:rPr>
              <w:t>; over $90: 33.1%</w:t>
            </w:r>
          </w:p>
        </w:tc>
        <w:tc>
          <w:tcPr>
            <w:tcW w:w="2500" w:type="dxa"/>
            <w:shd w:val="clear" w:color="auto" w:fill="F2F1EC"/>
          </w:tcPr>
          <w:p w14:paraId="44A9AA23" w14:textId="77777777" w:rsidR="0026386D" w:rsidRPr="004040FD" w:rsidRDefault="00000000">
            <w:pPr>
              <w:pStyle w:val="Compact"/>
              <w:spacing w:after="40"/>
              <w:rPr>
                <w:rFonts w:ascii="Aptos" w:hAnsi="Aptos"/>
              </w:rPr>
            </w:pPr>
            <w:r w:rsidRPr="004040FD">
              <w:rPr>
                <w:rFonts w:ascii="Aptos" w:hAnsi="Aptos"/>
                <w:sz w:val="19"/>
              </w:rPr>
              <w:t>$40 or less: 11.9%</w:t>
            </w:r>
          </w:p>
        </w:tc>
        <w:tc>
          <w:tcPr>
            <w:tcW w:w="1810" w:type="dxa"/>
            <w:shd w:val="clear" w:color="auto" w:fill="F2F1EC"/>
          </w:tcPr>
          <w:p w14:paraId="3BF0EB30" w14:textId="77777777" w:rsidR="0026386D" w:rsidRPr="004040FD" w:rsidRDefault="00000000">
            <w:pPr>
              <w:pStyle w:val="Compact"/>
              <w:spacing w:after="40"/>
              <w:rPr>
                <w:rFonts w:ascii="Aptos" w:hAnsi="Aptos"/>
              </w:rPr>
            </w:pPr>
            <w:r w:rsidRPr="004040FD">
              <w:rPr>
                <w:rFonts w:ascii="Aptos" w:hAnsi="Aptos"/>
                <w:sz w:val="19"/>
              </w:rPr>
              <w:t>Strong</w:t>
            </w:r>
          </w:p>
        </w:tc>
      </w:tr>
      <w:tr w:rsidR="0026386D" w:rsidRPr="004040FD" w14:paraId="27B06267" w14:textId="77777777" w:rsidTr="0026386D">
        <w:trPr>
          <w:cantSplit/>
        </w:trPr>
        <w:tc>
          <w:tcPr>
            <w:tcW w:w="2113" w:type="dxa"/>
          </w:tcPr>
          <w:p w14:paraId="2E4CD018" w14:textId="77777777" w:rsidR="0026386D" w:rsidRPr="004040FD" w:rsidRDefault="00000000">
            <w:pPr>
              <w:pStyle w:val="Compact"/>
              <w:spacing w:after="40"/>
              <w:rPr>
                <w:rFonts w:ascii="Aptos" w:hAnsi="Aptos"/>
              </w:rPr>
            </w:pPr>
            <w:r w:rsidRPr="004040FD">
              <w:rPr>
                <w:rFonts w:ascii="Aptos" w:hAnsi="Aptos"/>
                <w:sz w:val="19"/>
              </w:rPr>
              <w:t>Senior citizen</w:t>
            </w:r>
          </w:p>
        </w:tc>
        <w:tc>
          <w:tcPr>
            <w:tcW w:w="2988" w:type="dxa"/>
          </w:tcPr>
          <w:p w14:paraId="53D7FD63" w14:textId="77777777" w:rsidR="0026386D" w:rsidRPr="004040FD" w:rsidRDefault="00000000">
            <w:pPr>
              <w:pStyle w:val="Compact"/>
              <w:spacing w:after="40"/>
              <w:rPr>
                <w:rFonts w:ascii="Aptos" w:hAnsi="Aptos"/>
              </w:rPr>
            </w:pPr>
            <w:r w:rsidRPr="004040FD">
              <w:rPr>
                <w:rFonts w:ascii="Aptos" w:hAnsi="Aptos"/>
                <w:sz w:val="19"/>
              </w:rPr>
              <w:t xml:space="preserve">Senior: </w:t>
            </w:r>
            <w:r w:rsidRPr="004040FD">
              <w:rPr>
                <w:rFonts w:ascii="Aptos" w:hAnsi="Aptos"/>
                <w:b/>
                <w:bCs/>
                <w:sz w:val="19"/>
              </w:rPr>
              <w:t>41.7%</w:t>
            </w:r>
          </w:p>
        </w:tc>
        <w:tc>
          <w:tcPr>
            <w:tcW w:w="2500" w:type="dxa"/>
          </w:tcPr>
          <w:p w14:paraId="2020A28C" w14:textId="77777777" w:rsidR="0026386D" w:rsidRPr="004040FD" w:rsidRDefault="00000000">
            <w:pPr>
              <w:pStyle w:val="Compact"/>
              <w:spacing w:after="40"/>
              <w:rPr>
                <w:rFonts w:ascii="Aptos" w:hAnsi="Aptos"/>
              </w:rPr>
            </w:pPr>
            <w:r w:rsidRPr="004040FD">
              <w:rPr>
                <w:rFonts w:ascii="Aptos" w:hAnsi="Aptos"/>
                <w:sz w:val="19"/>
              </w:rPr>
              <w:t>Non-senior: 23.6%</w:t>
            </w:r>
          </w:p>
        </w:tc>
        <w:tc>
          <w:tcPr>
            <w:tcW w:w="1810" w:type="dxa"/>
          </w:tcPr>
          <w:p w14:paraId="1F0897B3" w14:textId="77777777" w:rsidR="0026386D" w:rsidRPr="004040FD" w:rsidRDefault="00000000">
            <w:pPr>
              <w:pStyle w:val="Compact"/>
              <w:spacing w:after="40"/>
              <w:rPr>
                <w:rFonts w:ascii="Aptos" w:hAnsi="Aptos"/>
              </w:rPr>
            </w:pPr>
            <w:r w:rsidRPr="004040FD">
              <w:rPr>
                <w:rFonts w:ascii="Aptos" w:hAnsi="Aptos"/>
                <w:sz w:val="19"/>
              </w:rPr>
              <w:t>Strong</w:t>
            </w:r>
          </w:p>
        </w:tc>
      </w:tr>
      <w:tr w:rsidR="0026386D" w:rsidRPr="004040FD" w14:paraId="0EBA1863" w14:textId="77777777" w:rsidTr="0026386D">
        <w:trPr>
          <w:cantSplit/>
        </w:trPr>
        <w:tc>
          <w:tcPr>
            <w:tcW w:w="2113" w:type="dxa"/>
            <w:shd w:val="clear" w:color="auto" w:fill="F2F1EC"/>
          </w:tcPr>
          <w:p w14:paraId="34BBE1FC" w14:textId="77777777" w:rsidR="0026386D" w:rsidRPr="004040FD" w:rsidRDefault="00000000">
            <w:pPr>
              <w:pStyle w:val="Compact"/>
              <w:spacing w:after="40"/>
              <w:rPr>
                <w:rFonts w:ascii="Aptos" w:hAnsi="Aptos"/>
              </w:rPr>
            </w:pPr>
            <w:r w:rsidRPr="004040FD">
              <w:rPr>
                <w:rFonts w:ascii="Aptos" w:hAnsi="Aptos"/>
                <w:sz w:val="19"/>
              </w:rPr>
              <w:t>Dependents</w:t>
            </w:r>
          </w:p>
        </w:tc>
        <w:tc>
          <w:tcPr>
            <w:tcW w:w="2988" w:type="dxa"/>
            <w:shd w:val="clear" w:color="auto" w:fill="F2F1EC"/>
          </w:tcPr>
          <w:p w14:paraId="26D94ED9" w14:textId="77777777" w:rsidR="0026386D" w:rsidRPr="004040FD" w:rsidRDefault="00000000">
            <w:pPr>
              <w:pStyle w:val="Compact"/>
              <w:spacing w:after="40"/>
              <w:rPr>
                <w:rFonts w:ascii="Aptos" w:hAnsi="Aptos"/>
              </w:rPr>
            </w:pPr>
            <w:r w:rsidRPr="004040FD">
              <w:rPr>
                <w:rFonts w:ascii="Aptos" w:hAnsi="Aptos"/>
                <w:sz w:val="19"/>
              </w:rPr>
              <w:t xml:space="preserve">No dependents: </w:t>
            </w:r>
            <w:r w:rsidRPr="004040FD">
              <w:rPr>
                <w:rFonts w:ascii="Aptos" w:hAnsi="Aptos"/>
                <w:b/>
                <w:bCs/>
                <w:sz w:val="19"/>
              </w:rPr>
              <w:t>31.3%</w:t>
            </w:r>
          </w:p>
        </w:tc>
        <w:tc>
          <w:tcPr>
            <w:tcW w:w="2500" w:type="dxa"/>
            <w:shd w:val="clear" w:color="auto" w:fill="F2F1EC"/>
          </w:tcPr>
          <w:p w14:paraId="79B2AD8D" w14:textId="77777777" w:rsidR="0026386D" w:rsidRPr="004040FD" w:rsidRDefault="00000000">
            <w:pPr>
              <w:pStyle w:val="Compact"/>
              <w:spacing w:after="40"/>
              <w:rPr>
                <w:rFonts w:ascii="Aptos" w:hAnsi="Aptos"/>
              </w:rPr>
            </w:pPr>
            <w:r w:rsidRPr="004040FD">
              <w:rPr>
                <w:rFonts w:ascii="Aptos" w:hAnsi="Aptos"/>
                <w:sz w:val="19"/>
              </w:rPr>
              <w:t>Has dependents: 15.5%</w:t>
            </w:r>
          </w:p>
        </w:tc>
        <w:tc>
          <w:tcPr>
            <w:tcW w:w="1810" w:type="dxa"/>
            <w:shd w:val="clear" w:color="auto" w:fill="F2F1EC"/>
          </w:tcPr>
          <w:p w14:paraId="56B8E871" w14:textId="77777777" w:rsidR="0026386D" w:rsidRPr="004040FD" w:rsidRDefault="00000000">
            <w:pPr>
              <w:pStyle w:val="Compact"/>
              <w:spacing w:after="40"/>
              <w:rPr>
                <w:rFonts w:ascii="Aptos" w:hAnsi="Aptos"/>
              </w:rPr>
            </w:pPr>
            <w:r w:rsidRPr="004040FD">
              <w:rPr>
                <w:rFonts w:ascii="Aptos" w:hAnsi="Aptos"/>
                <w:sz w:val="19"/>
              </w:rPr>
              <w:t>Moderate</w:t>
            </w:r>
          </w:p>
        </w:tc>
      </w:tr>
    </w:tbl>
    <w:p w14:paraId="14463F92" w14:textId="77777777" w:rsidR="0026386D" w:rsidRPr="004040FD" w:rsidRDefault="00000000">
      <w:pPr>
        <w:pStyle w:val="BodyText"/>
        <w:rPr>
          <w:rFonts w:ascii="Aptos" w:hAnsi="Aptos"/>
        </w:rPr>
      </w:pPr>
      <w:r w:rsidRPr="004040FD">
        <w:rPr>
          <w:rFonts w:ascii="Aptos" w:hAnsi="Aptos"/>
        </w:rPr>
        <w:t xml:space="preserve">Churn falls steadily with tenure: 47.4% (0–12 months), 28.7% (13–24), 20.4% (25–48) and 9.5% (49–72). </w:t>
      </w:r>
      <w:r w:rsidRPr="004040FD">
        <w:rPr>
          <w:rFonts w:ascii="Aptos" w:hAnsi="Aptos"/>
          <w:b/>
          <w:bCs/>
        </w:rPr>
        <w:t>The first year is the danger zone</w:t>
      </w:r>
      <w:r w:rsidRPr="004040FD">
        <w:rPr>
          <w:rFonts w:ascii="Aptos" w:hAnsi="Aptos"/>
        </w:rPr>
        <w:t>, and risk keeps falling the longer a customer stays.</w:t>
      </w:r>
    </w:p>
    <w:p w14:paraId="660180F4" w14:textId="77777777" w:rsidR="0026386D" w:rsidRPr="004040FD" w:rsidRDefault="00000000">
      <w:pPr>
        <w:pStyle w:val="BodyText"/>
        <w:rPr>
          <w:rFonts w:ascii="Aptos" w:hAnsi="Aptos"/>
        </w:rPr>
      </w:pPr>
      <w:r w:rsidRPr="004040FD">
        <w:rPr>
          <w:rFonts w:ascii="Aptos" w:hAnsi="Aptos"/>
        </w:rPr>
        <w:t xml:space="preserve">The demographic factors add up. Senior citizens without dependents churn at </w:t>
      </w:r>
      <w:r w:rsidRPr="004040FD">
        <w:rPr>
          <w:rFonts w:ascii="Aptos" w:hAnsi="Aptos"/>
          <w:b/>
          <w:bCs/>
        </w:rPr>
        <w:t>43.2%</w:t>
      </w:r>
      <w:r w:rsidRPr="004040FD">
        <w:rPr>
          <w:rFonts w:ascii="Aptos" w:hAnsi="Aptos"/>
        </w:rPr>
        <w:t xml:space="preserve"> (1,051 customers), while non-seniors with dependents churn at only 15.1%.</w:t>
      </w:r>
    </w:p>
    <w:p w14:paraId="62BD0454" w14:textId="77777777" w:rsidR="0026386D" w:rsidRPr="004040FD" w:rsidRDefault="00000000">
      <w:pPr>
        <w:pStyle w:val="BodyText"/>
        <w:keepNext/>
        <w:rPr>
          <w:rFonts w:ascii="Aptos" w:hAnsi="Aptos"/>
        </w:rPr>
      </w:pPr>
      <w:r w:rsidRPr="004040FD">
        <w:rPr>
          <w:rFonts w:ascii="Aptos" w:hAnsi="Aptos"/>
          <w:b/>
          <w:bCs/>
        </w:rPr>
        <w:t>Factors with little or no effect</w:t>
      </w:r>
    </w:p>
    <w:tbl>
      <w:tblPr>
        <w:tblStyle w:val="Table"/>
        <w:tblW w:w="5000" w:type="pct"/>
        <w:tblBorders>
          <w:top w:val="single" w:sz="4" w:space="0" w:color="BFC5CF"/>
          <w:left w:val="single" w:sz="4" w:space="0" w:color="BFC5CF"/>
          <w:bottom w:val="single" w:sz="4" w:space="0" w:color="BFC5CF"/>
          <w:right w:val="single" w:sz="4" w:space="0" w:color="BFC5CF"/>
          <w:insideH w:val="single" w:sz="4" w:space="0" w:color="BFC5CF"/>
          <w:insideV w:val="single" w:sz="4" w:space="0" w:color="BFC5CF"/>
        </w:tblBorders>
        <w:tblLook w:val="0020" w:firstRow="1" w:lastRow="0" w:firstColumn="0" w:lastColumn="0" w:noHBand="0" w:noVBand="0"/>
      </w:tblPr>
      <w:tblGrid>
        <w:gridCol w:w="2425"/>
        <w:gridCol w:w="4850"/>
        <w:gridCol w:w="2127"/>
      </w:tblGrid>
      <w:tr w:rsidR="0026386D" w:rsidRPr="004040FD" w14:paraId="4289786B" w14:textId="77777777" w:rsidTr="0026386D">
        <w:trPr>
          <w:cnfStyle w:val="100000000000" w:firstRow="1" w:lastRow="0" w:firstColumn="0" w:lastColumn="0" w:oddVBand="0" w:evenVBand="0" w:oddHBand="0" w:evenHBand="0" w:firstRowFirstColumn="0" w:firstRowLastColumn="0" w:lastRowFirstColumn="0" w:lastRowLastColumn="0"/>
          <w:cantSplit/>
          <w:tblHeader/>
        </w:trPr>
        <w:tc>
          <w:tcPr>
            <w:tcW w:w="2427" w:type="dxa"/>
            <w:shd w:val="clear" w:color="auto" w:fill="14213D"/>
          </w:tcPr>
          <w:p w14:paraId="085BF5BE" w14:textId="77777777" w:rsidR="0026386D" w:rsidRPr="004040FD" w:rsidRDefault="00000000">
            <w:pPr>
              <w:pStyle w:val="Compact"/>
              <w:spacing w:after="40"/>
              <w:rPr>
                <w:rFonts w:ascii="Aptos" w:hAnsi="Aptos"/>
              </w:rPr>
            </w:pPr>
            <w:r w:rsidRPr="004040FD">
              <w:rPr>
                <w:rFonts w:ascii="Aptos" w:hAnsi="Aptos"/>
                <w:b/>
                <w:color w:val="FFFFFF"/>
                <w:sz w:val="19"/>
              </w:rPr>
              <w:t>Factor</w:t>
            </w:r>
          </w:p>
        </w:tc>
        <w:tc>
          <w:tcPr>
            <w:tcW w:w="4855" w:type="dxa"/>
            <w:shd w:val="clear" w:color="auto" w:fill="14213D"/>
          </w:tcPr>
          <w:p w14:paraId="4AEF2ABA" w14:textId="77777777" w:rsidR="0026386D" w:rsidRPr="004040FD" w:rsidRDefault="00000000">
            <w:pPr>
              <w:pStyle w:val="Compact"/>
              <w:spacing w:after="40"/>
              <w:rPr>
                <w:rFonts w:ascii="Aptos" w:hAnsi="Aptos"/>
              </w:rPr>
            </w:pPr>
            <w:r w:rsidRPr="004040FD">
              <w:rPr>
                <w:rFonts w:ascii="Aptos" w:hAnsi="Aptos"/>
                <w:b/>
                <w:color w:val="FFFFFF"/>
                <w:sz w:val="19"/>
              </w:rPr>
              <w:t>Churn rates</w:t>
            </w:r>
          </w:p>
        </w:tc>
        <w:tc>
          <w:tcPr>
            <w:tcW w:w="2129" w:type="dxa"/>
            <w:shd w:val="clear" w:color="auto" w:fill="14213D"/>
          </w:tcPr>
          <w:p w14:paraId="5446FDF5" w14:textId="77777777" w:rsidR="0026386D" w:rsidRPr="004040FD" w:rsidRDefault="00000000">
            <w:pPr>
              <w:pStyle w:val="Compact"/>
              <w:spacing w:after="40"/>
              <w:rPr>
                <w:rFonts w:ascii="Aptos" w:hAnsi="Aptos"/>
              </w:rPr>
            </w:pPr>
            <w:r w:rsidRPr="004040FD">
              <w:rPr>
                <w:rFonts w:ascii="Aptos" w:hAnsi="Aptos"/>
                <w:b/>
                <w:color w:val="FFFFFF"/>
                <w:sz w:val="19"/>
              </w:rPr>
              <w:t>Gap</w:t>
            </w:r>
          </w:p>
        </w:tc>
      </w:tr>
      <w:tr w:rsidR="0026386D" w:rsidRPr="004040FD" w14:paraId="2BA6B408" w14:textId="77777777" w:rsidTr="0026386D">
        <w:trPr>
          <w:cantSplit/>
        </w:trPr>
        <w:tc>
          <w:tcPr>
            <w:tcW w:w="2427" w:type="dxa"/>
          </w:tcPr>
          <w:p w14:paraId="2EDD8799" w14:textId="77777777" w:rsidR="0026386D" w:rsidRPr="004040FD" w:rsidRDefault="00000000">
            <w:pPr>
              <w:pStyle w:val="Compact"/>
              <w:spacing w:after="40"/>
              <w:rPr>
                <w:rFonts w:ascii="Aptos" w:hAnsi="Aptos"/>
              </w:rPr>
            </w:pPr>
            <w:r w:rsidRPr="004040FD">
              <w:rPr>
                <w:rFonts w:ascii="Aptos" w:hAnsi="Aptos"/>
                <w:sz w:val="19"/>
              </w:rPr>
              <w:t>Contract</w:t>
            </w:r>
          </w:p>
        </w:tc>
        <w:tc>
          <w:tcPr>
            <w:tcW w:w="4855" w:type="dxa"/>
          </w:tcPr>
          <w:p w14:paraId="03A7D38D" w14:textId="77777777" w:rsidR="0026386D" w:rsidRPr="004040FD" w:rsidRDefault="00000000">
            <w:pPr>
              <w:pStyle w:val="Compact"/>
              <w:spacing w:after="40"/>
              <w:rPr>
                <w:rFonts w:ascii="Aptos" w:hAnsi="Aptos"/>
              </w:rPr>
            </w:pPr>
            <w:r w:rsidRPr="004040FD">
              <w:rPr>
                <w:rFonts w:ascii="Aptos" w:hAnsi="Aptos"/>
                <w:sz w:val="19"/>
              </w:rPr>
              <w:t>Month-to-month 27.3%, one year 25.8%, two year 25.4%</w:t>
            </w:r>
          </w:p>
        </w:tc>
        <w:tc>
          <w:tcPr>
            <w:tcW w:w="2129" w:type="dxa"/>
          </w:tcPr>
          <w:p w14:paraId="586B68F7" w14:textId="77777777" w:rsidR="0026386D" w:rsidRPr="004040FD" w:rsidRDefault="00000000">
            <w:pPr>
              <w:pStyle w:val="Compact"/>
              <w:spacing w:after="40"/>
              <w:rPr>
                <w:rFonts w:ascii="Aptos" w:hAnsi="Aptos"/>
              </w:rPr>
            </w:pPr>
            <w:r w:rsidRPr="004040FD">
              <w:rPr>
                <w:rFonts w:ascii="Aptos" w:hAnsi="Aptos"/>
                <w:sz w:val="19"/>
              </w:rPr>
              <w:t>1.9 points</w:t>
            </w:r>
          </w:p>
        </w:tc>
      </w:tr>
      <w:tr w:rsidR="0026386D" w:rsidRPr="004040FD" w14:paraId="7A81971B" w14:textId="77777777" w:rsidTr="0026386D">
        <w:trPr>
          <w:cantSplit/>
        </w:trPr>
        <w:tc>
          <w:tcPr>
            <w:tcW w:w="2427" w:type="dxa"/>
            <w:shd w:val="clear" w:color="auto" w:fill="F2F1EC"/>
          </w:tcPr>
          <w:p w14:paraId="35556AC1" w14:textId="77777777" w:rsidR="0026386D" w:rsidRPr="004040FD" w:rsidRDefault="00000000">
            <w:pPr>
              <w:pStyle w:val="Compact"/>
              <w:spacing w:after="40"/>
              <w:rPr>
                <w:rFonts w:ascii="Aptos" w:hAnsi="Aptos"/>
              </w:rPr>
            </w:pPr>
            <w:r w:rsidRPr="004040FD">
              <w:rPr>
                <w:rFonts w:ascii="Aptos" w:hAnsi="Aptos"/>
                <w:sz w:val="19"/>
              </w:rPr>
              <w:t>Internet type</w:t>
            </w:r>
          </w:p>
        </w:tc>
        <w:tc>
          <w:tcPr>
            <w:tcW w:w="4855" w:type="dxa"/>
            <w:shd w:val="clear" w:color="auto" w:fill="F2F1EC"/>
          </w:tcPr>
          <w:p w14:paraId="28ED2B68" w14:textId="77777777" w:rsidR="0026386D" w:rsidRPr="004040FD" w:rsidRDefault="00000000">
            <w:pPr>
              <w:pStyle w:val="Compact"/>
              <w:spacing w:after="40"/>
              <w:rPr>
                <w:rFonts w:ascii="Aptos" w:hAnsi="Aptos"/>
              </w:rPr>
            </w:pPr>
            <w:r w:rsidRPr="004040FD">
              <w:rPr>
                <w:rFonts w:ascii="Aptos" w:hAnsi="Aptos"/>
                <w:sz w:val="19"/>
              </w:rPr>
              <w:t>DSL 27.4%, fibre optic 25.4%</w:t>
            </w:r>
          </w:p>
        </w:tc>
        <w:tc>
          <w:tcPr>
            <w:tcW w:w="2129" w:type="dxa"/>
            <w:shd w:val="clear" w:color="auto" w:fill="F2F1EC"/>
          </w:tcPr>
          <w:p w14:paraId="2DA6FE96" w14:textId="77777777" w:rsidR="0026386D" w:rsidRPr="004040FD" w:rsidRDefault="00000000">
            <w:pPr>
              <w:pStyle w:val="Compact"/>
              <w:spacing w:after="40"/>
              <w:rPr>
                <w:rFonts w:ascii="Aptos" w:hAnsi="Aptos"/>
              </w:rPr>
            </w:pPr>
            <w:r w:rsidRPr="004040FD">
              <w:rPr>
                <w:rFonts w:ascii="Aptos" w:hAnsi="Aptos"/>
                <w:sz w:val="19"/>
              </w:rPr>
              <w:t>2.0 points</w:t>
            </w:r>
          </w:p>
        </w:tc>
      </w:tr>
      <w:tr w:rsidR="0026386D" w:rsidRPr="004040FD" w14:paraId="079DBE45" w14:textId="77777777" w:rsidTr="0026386D">
        <w:trPr>
          <w:cantSplit/>
        </w:trPr>
        <w:tc>
          <w:tcPr>
            <w:tcW w:w="2427" w:type="dxa"/>
          </w:tcPr>
          <w:p w14:paraId="588EE61C" w14:textId="77777777" w:rsidR="0026386D" w:rsidRPr="004040FD" w:rsidRDefault="00000000">
            <w:pPr>
              <w:pStyle w:val="Compact"/>
              <w:spacing w:after="40"/>
              <w:rPr>
                <w:rFonts w:ascii="Aptos" w:hAnsi="Aptos"/>
              </w:rPr>
            </w:pPr>
            <w:r w:rsidRPr="004040FD">
              <w:rPr>
                <w:rFonts w:ascii="Aptos" w:hAnsi="Aptos"/>
                <w:sz w:val="19"/>
              </w:rPr>
              <w:t>Phone service</w:t>
            </w:r>
          </w:p>
        </w:tc>
        <w:tc>
          <w:tcPr>
            <w:tcW w:w="4855" w:type="dxa"/>
          </w:tcPr>
          <w:p w14:paraId="7D1EB163" w14:textId="77777777" w:rsidR="0026386D" w:rsidRPr="004040FD" w:rsidRDefault="00000000">
            <w:pPr>
              <w:pStyle w:val="Compact"/>
              <w:spacing w:after="40"/>
              <w:rPr>
                <w:rFonts w:ascii="Aptos" w:hAnsi="Aptos"/>
              </w:rPr>
            </w:pPr>
            <w:r w:rsidRPr="004040FD">
              <w:rPr>
                <w:rFonts w:ascii="Aptos" w:hAnsi="Aptos"/>
                <w:sz w:val="19"/>
              </w:rPr>
              <w:t>No 24.9%, yes 26.7%</w:t>
            </w:r>
          </w:p>
        </w:tc>
        <w:tc>
          <w:tcPr>
            <w:tcW w:w="2129" w:type="dxa"/>
          </w:tcPr>
          <w:p w14:paraId="1D880E6A" w14:textId="77777777" w:rsidR="0026386D" w:rsidRPr="004040FD" w:rsidRDefault="00000000">
            <w:pPr>
              <w:pStyle w:val="Compact"/>
              <w:spacing w:after="40"/>
              <w:rPr>
                <w:rFonts w:ascii="Aptos" w:hAnsi="Aptos"/>
              </w:rPr>
            </w:pPr>
            <w:r w:rsidRPr="004040FD">
              <w:rPr>
                <w:rFonts w:ascii="Aptos" w:hAnsi="Aptos"/>
                <w:sz w:val="19"/>
              </w:rPr>
              <w:t>1.8 points</w:t>
            </w:r>
          </w:p>
        </w:tc>
      </w:tr>
      <w:tr w:rsidR="0026386D" w:rsidRPr="004040FD" w14:paraId="370D6178" w14:textId="77777777" w:rsidTr="0026386D">
        <w:trPr>
          <w:cantSplit/>
        </w:trPr>
        <w:tc>
          <w:tcPr>
            <w:tcW w:w="2427" w:type="dxa"/>
            <w:shd w:val="clear" w:color="auto" w:fill="F2F1EC"/>
          </w:tcPr>
          <w:p w14:paraId="499914AA" w14:textId="77777777" w:rsidR="0026386D" w:rsidRPr="004040FD" w:rsidRDefault="00000000">
            <w:pPr>
              <w:pStyle w:val="Compact"/>
              <w:spacing w:after="40"/>
              <w:rPr>
                <w:rFonts w:ascii="Aptos" w:hAnsi="Aptos"/>
              </w:rPr>
            </w:pPr>
            <w:r w:rsidRPr="004040FD">
              <w:rPr>
                <w:rFonts w:ascii="Aptos" w:hAnsi="Aptos"/>
                <w:sz w:val="19"/>
              </w:rPr>
              <w:t>Gender</w:t>
            </w:r>
          </w:p>
        </w:tc>
        <w:tc>
          <w:tcPr>
            <w:tcW w:w="4855" w:type="dxa"/>
            <w:shd w:val="clear" w:color="auto" w:fill="F2F1EC"/>
          </w:tcPr>
          <w:p w14:paraId="10BA8F0F" w14:textId="77777777" w:rsidR="0026386D" w:rsidRPr="004040FD" w:rsidRDefault="00000000">
            <w:pPr>
              <w:pStyle w:val="Compact"/>
              <w:spacing w:after="40"/>
              <w:rPr>
                <w:rFonts w:ascii="Aptos" w:hAnsi="Aptos"/>
              </w:rPr>
            </w:pPr>
            <w:r w:rsidRPr="004040FD">
              <w:rPr>
                <w:rFonts w:ascii="Aptos" w:hAnsi="Aptos"/>
                <w:sz w:val="19"/>
              </w:rPr>
              <w:t>Female 26.9%, male 26.2%</w:t>
            </w:r>
          </w:p>
        </w:tc>
        <w:tc>
          <w:tcPr>
            <w:tcW w:w="2129" w:type="dxa"/>
            <w:shd w:val="clear" w:color="auto" w:fill="F2F1EC"/>
          </w:tcPr>
          <w:p w14:paraId="600EE8FF" w14:textId="77777777" w:rsidR="0026386D" w:rsidRPr="004040FD" w:rsidRDefault="00000000">
            <w:pPr>
              <w:pStyle w:val="Compact"/>
              <w:spacing w:after="40"/>
              <w:rPr>
                <w:rFonts w:ascii="Aptos" w:hAnsi="Aptos"/>
              </w:rPr>
            </w:pPr>
            <w:r w:rsidRPr="004040FD">
              <w:rPr>
                <w:rFonts w:ascii="Aptos" w:hAnsi="Aptos"/>
                <w:sz w:val="19"/>
              </w:rPr>
              <w:t>0.7 points</w:t>
            </w:r>
          </w:p>
        </w:tc>
      </w:tr>
    </w:tbl>
    <w:p w14:paraId="1761027A" w14:textId="77777777" w:rsidR="0026386D" w:rsidRPr="004040FD" w:rsidRDefault="00000000">
      <w:pPr>
        <w:pStyle w:val="BodyText"/>
        <w:rPr>
          <w:rFonts w:ascii="Aptos" w:hAnsi="Aptos"/>
        </w:rPr>
      </w:pPr>
      <w:r w:rsidRPr="004040FD">
        <w:rPr>
          <w:rFonts w:ascii="Aptos" w:hAnsi="Aptos"/>
          <w:b/>
          <w:bCs/>
        </w:rPr>
        <w:t>Retention factors.</w:t>
      </w:r>
      <w:r w:rsidRPr="004040FD">
        <w:rPr>
          <w:rFonts w:ascii="Aptos" w:hAnsi="Aptos"/>
        </w:rPr>
        <w:t xml:space="preserve"> The reverse of the drivers shows who stays: long-tenure customers, customers with dependents, and customers on lower monthly charges.</w:t>
      </w:r>
    </w:p>
    <w:p w14:paraId="7FA8B98A" w14:textId="77777777" w:rsidR="0026386D" w:rsidRPr="004040FD" w:rsidRDefault="00000000">
      <w:pPr>
        <w:pStyle w:val="BodyText"/>
        <w:rPr>
          <w:rFonts w:ascii="Aptos" w:hAnsi="Aptos"/>
        </w:rPr>
      </w:pPr>
      <w:r w:rsidRPr="004040FD">
        <w:rPr>
          <w:rFonts w:ascii="Aptos" w:hAnsi="Aptos"/>
          <w:b/>
          <w:bCs/>
        </w:rPr>
        <w:t>Important note.</w:t>
      </w:r>
      <w:r w:rsidRPr="004040FD">
        <w:rPr>
          <w:rFonts w:ascii="Aptos" w:hAnsi="Aptos"/>
        </w:rPr>
        <w:t xml:space="preserve"> In most real telecommunications data, month-to-month contracts and fibre internet are strong churn drivers. They are not here, and average tenure and charges are almost identical across contract types. This may mean the dataset is partly synthetic, so these specific results should be re-checked on live company data before acting on them.</w:t>
      </w:r>
      <w:bookmarkEnd w:id="0"/>
    </w:p>
    <w:sectPr w:rsidR="0026386D" w:rsidRPr="004040FD">
      <w:footerReference w:type="default" r:id="rId7"/>
      <w:pgSz w:w="11906" w:h="16838"/>
      <w:pgMar w:top="1247" w:right="1247" w:bottom="1247"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0E78B" w14:textId="77777777" w:rsidR="00D36E1C" w:rsidRDefault="00D36E1C">
      <w:pPr>
        <w:spacing w:after="0"/>
      </w:pPr>
      <w:r>
        <w:separator/>
      </w:r>
    </w:p>
  </w:endnote>
  <w:endnote w:type="continuationSeparator" w:id="0">
    <w:p w14:paraId="34539DB8" w14:textId="77777777" w:rsidR="00D36E1C" w:rsidRDefault="00D36E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A3205" w14:textId="77777777" w:rsidR="0026386D" w:rsidRDefault="00000000">
    <w:pPr>
      <w:jc w:val="center"/>
    </w:pPr>
    <w:r>
      <w:rPr>
        <w:sz w:val="18"/>
      </w:rPr>
      <w:t xml:space="preserve">Final Report – Part B · Page </w:t>
    </w:r>
    <w:r>
      <w:rPr>
        <w:sz w:val="18"/>
      </w:rPr>
      <w:fldChar w:fldCharType="begin"/>
    </w:r>
    <w:r>
      <w:rPr>
        <w:sz w:val="18"/>
      </w:rPr>
      <w:instrText>PAGE</w:instrText>
    </w:r>
    <w:r w:rsidR="006317E2">
      <w:rPr>
        <w:sz w:val="18"/>
      </w:rPr>
      <w:fldChar w:fldCharType="separate"/>
    </w:r>
    <w:r w:rsidR="006317E2">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D5BF4" w14:textId="77777777" w:rsidR="00D36E1C" w:rsidRDefault="00D36E1C">
      <w:r>
        <w:separator/>
      </w:r>
    </w:p>
  </w:footnote>
  <w:footnote w:type="continuationSeparator" w:id="0">
    <w:p w14:paraId="6BD593BA" w14:textId="77777777" w:rsidR="00D36E1C" w:rsidRDefault="00D36E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A42DDB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89075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86D"/>
    <w:rsid w:val="0026386D"/>
    <w:rsid w:val="004040FD"/>
    <w:rsid w:val="006317E2"/>
    <w:rsid w:val="00D34B2A"/>
    <w:rsid w:val="00D36E1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3F925"/>
  <w15:docId w15:val="{F87EFE59-FA45-4F95-A73C-A5939C7C1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4213D"/>
      <w:sz w:val="52"/>
      <w:szCs w:val="36"/>
    </w:rPr>
  </w:style>
  <w:style w:type="paragraph" w:styleId="Subtitle">
    <w:name w:val="Subtitle"/>
    <w:basedOn w:val="Title"/>
    <w:next w:val="BodyText"/>
    <w:qFormat/>
    <w:pPr>
      <w:spacing w:before="240"/>
    </w:pPr>
    <w:rPr>
      <w:rFonts w:ascii="Calibri" w:eastAsia="Calibri" w:hAnsi="Calibri"/>
      <w:b w:val="0"/>
      <w:color w:val="B04A17"/>
      <w:sz w:val="32"/>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332</Words>
  <Characters>1898</Characters>
  <Application>Microsoft Office Word</Application>
  <DocSecurity>0</DocSecurity>
  <Lines>15</Lines>
  <Paragraphs>4</Paragraphs>
  <ScaleCrop>false</ScaleCrop>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 Part B</dc:title>
  <dc:creator>sumina yonjan</dc:creator>
  <cp:keywords/>
  <cp:lastModifiedBy>Sumina YONJAN</cp:lastModifiedBy>
  <cp:revision>3</cp:revision>
  <dcterms:created xsi:type="dcterms:W3CDTF">2026-10-25T07:36:00Z</dcterms:created>
  <dcterms:modified xsi:type="dcterms:W3CDTF">2026-10-25T07:37:00Z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Customer Churn Analysis for a Telecommunications Company — Final Report, Part B</vt:lpwstr>
  </property>
</Properties>
</file>