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47D4" w14:textId="77777777" w:rsidR="002E2AD1" w:rsidRPr="00712B77" w:rsidRDefault="00000000">
      <w:pPr>
        <w:pStyle w:val="Title"/>
        <w:rPr>
          <w:rFonts w:ascii="Aptos" w:hAnsi="Aptos"/>
        </w:rPr>
      </w:pPr>
      <w:r w:rsidRPr="00712B77">
        <w:rPr>
          <w:rFonts w:ascii="Aptos" w:hAnsi="Aptos"/>
        </w:rPr>
        <w:t>Recommendations for Targeted Retention Strategies</w:t>
      </w:r>
    </w:p>
    <w:p w14:paraId="10FB65A9" w14:textId="0A356F1A" w:rsidR="002E2AD1" w:rsidRPr="00712B77" w:rsidRDefault="00000000">
      <w:pPr>
        <w:pStyle w:val="Subtitle"/>
        <w:rPr>
          <w:rFonts w:ascii="Aptos" w:hAnsi="Aptos"/>
        </w:rPr>
      </w:pPr>
      <w:r w:rsidRPr="00712B77">
        <w:rPr>
          <w:rFonts w:ascii="Aptos" w:hAnsi="Aptos"/>
        </w:rPr>
        <w:t xml:space="preserve">Customer Churn Analysis for a Telecommunications Company </w:t>
      </w:r>
    </w:p>
    <w:p w14:paraId="1777CF7A" w14:textId="77777777" w:rsidR="002E2AD1" w:rsidRPr="00712B77" w:rsidRDefault="00000000">
      <w:pPr>
        <w:pStyle w:val="Heading1"/>
        <w:rPr>
          <w:rFonts w:ascii="Aptos" w:hAnsi="Aptos"/>
        </w:rPr>
      </w:pPr>
      <w:bookmarkStart w:id="0" w:name="recommended-retention-strategies"/>
      <w:r w:rsidRPr="00712B77">
        <w:rPr>
          <w:rFonts w:ascii="Aptos" w:hAnsi="Aptos"/>
        </w:rPr>
        <w:t>1. Recommended retention strategies</w:t>
      </w:r>
    </w:p>
    <w:p w14:paraId="6A5F2EF2" w14:textId="77777777" w:rsidR="002E2AD1" w:rsidRPr="00712B77" w:rsidRDefault="00000000">
      <w:pPr>
        <w:pStyle w:val="FirstParagraph"/>
        <w:rPr>
          <w:rFonts w:ascii="Aptos" w:hAnsi="Aptos"/>
        </w:rPr>
      </w:pPr>
      <w:r w:rsidRPr="00712B77">
        <w:rPr>
          <w:rFonts w:ascii="Aptos" w:hAnsi="Aptos"/>
        </w:rPr>
        <w:t>The retention budget should go first to newer customers on high charges, using the model’s risk scores to decide who to contact. Each strategy below is tied to a specific finding.</w:t>
      </w:r>
    </w:p>
    <w:tbl>
      <w:tblPr>
        <w:tblStyle w:val="Table"/>
        <w:tblW w:w="5000" w:type="pct"/>
        <w:tblBorders>
          <w:top w:val="single" w:sz="4" w:space="0" w:color="BFC5CF"/>
          <w:left w:val="single" w:sz="4" w:space="0" w:color="BFC5CF"/>
          <w:bottom w:val="single" w:sz="4" w:space="0" w:color="BFC5CF"/>
          <w:right w:val="single" w:sz="4" w:space="0" w:color="BFC5CF"/>
          <w:insideH w:val="single" w:sz="4" w:space="0" w:color="BFC5CF"/>
          <w:insideV w:val="single" w:sz="4" w:space="0" w:color="BFC5CF"/>
        </w:tblBorders>
        <w:tblLook w:val="0020" w:firstRow="1" w:lastRow="0" w:firstColumn="0" w:lastColumn="0" w:noHBand="0" w:noVBand="0"/>
      </w:tblPr>
      <w:tblGrid>
        <w:gridCol w:w="845"/>
        <w:gridCol w:w="2202"/>
        <w:gridCol w:w="2201"/>
        <w:gridCol w:w="2165"/>
        <w:gridCol w:w="1989"/>
      </w:tblGrid>
      <w:tr w:rsidR="002E2AD1" w:rsidRPr="00712B77" w14:paraId="3B4CBA59" w14:textId="77777777" w:rsidTr="002E2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08" w:type="dxa"/>
            <w:shd w:val="clear" w:color="auto" w:fill="14213D"/>
          </w:tcPr>
          <w:p w14:paraId="6098D985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color w:val="FFFFFF"/>
                <w:sz w:val="19"/>
              </w:rPr>
              <w:t>Priority</w:t>
            </w:r>
          </w:p>
        </w:tc>
        <w:tc>
          <w:tcPr>
            <w:tcW w:w="2213" w:type="dxa"/>
            <w:shd w:val="clear" w:color="auto" w:fill="14213D"/>
          </w:tcPr>
          <w:p w14:paraId="62DDBAD3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color w:val="FFFFFF"/>
                <w:sz w:val="19"/>
              </w:rPr>
              <w:t>Strategy</w:t>
            </w:r>
          </w:p>
        </w:tc>
        <w:tc>
          <w:tcPr>
            <w:tcW w:w="2213" w:type="dxa"/>
            <w:shd w:val="clear" w:color="auto" w:fill="14213D"/>
          </w:tcPr>
          <w:p w14:paraId="6F5525FD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color w:val="FFFFFF"/>
                <w:sz w:val="19"/>
              </w:rPr>
              <w:t>Target group</w:t>
            </w:r>
          </w:p>
        </w:tc>
        <w:tc>
          <w:tcPr>
            <w:tcW w:w="2176" w:type="dxa"/>
            <w:shd w:val="clear" w:color="auto" w:fill="14213D"/>
          </w:tcPr>
          <w:p w14:paraId="309F45FC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w="2000" w:type="dxa"/>
            <w:shd w:val="clear" w:color="auto" w:fill="14213D"/>
          </w:tcPr>
          <w:p w14:paraId="694C9DC0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color w:val="FFFFFF"/>
                <w:sz w:val="19"/>
              </w:rPr>
              <w:t>Measure of success</w:t>
            </w:r>
          </w:p>
        </w:tc>
      </w:tr>
      <w:tr w:rsidR="002E2AD1" w:rsidRPr="00712B77" w14:paraId="1BF3139A" w14:textId="77777777" w:rsidTr="002E2AD1">
        <w:trPr>
          <w:cantSplit/>
        </w:trPr>
        <w:tc>
          <w:tcPr>
            <w:tcW w:w="808" w:type="dxa"/>
          </w:tcPr>
          <w:p w14:paraId="0995BBE1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1</w:t>
            </w:r>
          </w:p>
        </w:tc>
        <w:tc>
          <w:tcPr>
            <w:tcW w:w="2213" w:type="dxa"/>
          </w:tcPr>
          <w:p w14:paraId="50556E85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bCs/>
                <w:sz w:val="19"/>
              </w:rPr>
              <w:t>First-year onboarding programme:</w:t>
            </w:r>
            <w:r w:rsidRPr="00712B77">
              <w:rPr>
                <w:rFonts w:ascii="Aptos" w:hAnsi="Aptos"/>
                <w:sz w:val="19"/>
              </w:rPr>
              <w:t xml:space="preserve"> welcome call, check-ins at months 1, 3 and 6, and a loyalty reward at 12 months</w:t>
            </w:r>
          </w:p>
        </w:tc>
        <w:tc>
          <w:tcPr>
            <w:tcW w:w="2213" w:type="dxa"/>
          </w:tcPr>
          <w:p w14:paraId="787DBE9A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All customers in their first 12 months, starting with Newer – High Charges</w:t>
            </w:r>
          </w:p>
        </w:tc>
        <w:tc>
          <w:tcPr>
            <w:tcW w:w="2176" w:type="dxa"/>
          </w:tcPr>
          <w:p w14:paraId="0B06156E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47.4% first-year churn; this segment holds 58% of churners</w:t>
            </w:r>
          </w:p>
        </w:tc>
        <w:tc>
          <w:tcPr>
            <w:tcW w:w="2000" w:type="dxa"/>
          </w:tcPr>
          <w:p w14:paraId="0370DDA1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First-year churn rate</w:t>
            </w:r>
          </w:p>
        </w:tc>
      </w:tr>
      <w:tr w:rsidR="002E2AD1" w:rsidRPr="00712B77" w14:paraId="354AB90F" w14:textId="77777777" w:rsidTr="002E2AD1">
        <w:trPr>
          <w:cantSplit/>
        </w:trPr>
        <w:tc>
          <w:tcPr>
            <w:tcW w:w="808" w:type="dxa"/>
            <w:shd w:val="clear" w:color="auto" w:fill="F2F1EC"/>
          </w:tcPr>
          <w:p w14:paraId="5743B191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2</w:t>
            </w:r>
          </w:p>
        </w:tc>
        <w:tc>
          <w:tcPr>
            <w:tcW w:w="2213" w:type="dxa"/>
            <w:shd w:val="clear" w:color="auto" w:fill="F2F1EC"/>
          </w:tcPr>
          <w:p w14:paraId="5AFFF179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bCs/>
                <w:sz w:val="19"/>
              </w:rPr>
              <w:t>Risk-based outreach:</w:t>
            </w:r>
            <w:r w:rsidRPr="00712B77">
              <w:rPr>
                <w:rFonts w:ascii="Aptos" w:hAnsi="Aptos"/>
                <w:sz w:val="19"/>
              </w:rPr>
              <w:t xml:space="preserve"> score customers monthly with the ANN and have the retention team contact the highest-risk customers first</w:t>
            </w:r>
          </w:p>
        </w:tc>
        <w:tc>
          <w:tcPr>
            <w:tcW w:w="2213" w:type="dxa"/>
            <w:shd w:val="clear" w:color="auto" w:fill="F2F1EC"/>
          </w:tcPr>
          <w:p w14:paraId="27DF9B15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Top-scored customers across all segments</w:t>
            </w:r>
          </w:p>
        </w:tc>
        <w:tc>
          <w:tcPr>
            <w:tcW w:w="2176" w:type="dxa"/>
            <w:shd w:val="clear" w:color="auto" w:fill="F2F1EC"/>
          </w:tcPr>
          <w:p w14:paraId="484D2C3A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Model catches 72% of churners; ROC-AUC 0.81</w:t>
            </w:r>
          </w:p>
        </w:tc>
        <w:tc>
          <w:tcPr>
            <w:tcW w:w="2000" w:type="dxa"/>
            <w:shd w:val="clear" w:color="auto" w:fill="F2F1EC"/>
          </w:tcPr>
          <w:p w14:paraId="53A67E5E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Churn among contacted vs. not contacted customers</w:t>
            </w:r>
          </w:p>
        </w:tc>
      </w:tr>
      <w:tr w:rsidR="002E2AD1" w:rsidRPr="00712B77" w14:paraId="72C02448" w14:textId="77777777" w:rsidTr="002E2AD1">
        <w:trPr>
          <w:cantSplit/>
        </w:trPr>
        <w:tc>
          <w:tcPr>
            <w:tcW w:w="808" w:type="dxa"/>
          </w:tcPr>
          <w:p w14:paraId="0EAA5748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3</w:t>
            </w:r>
          </w:p>
        </w:tc>
        <w:tc>
          <w:tcPr>
            <w:tcW w:w="2213" w:type="dxa"/>
          </w:tcPr>
          <w:p w14:paraId="37E32F09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bCs/>
                <w:sz w:val="19"/>
              </w:rPr>
              <w:t>Plan review and right-sizing:</w:t>
            </w:r>
            <w:r w:rsidRPr="00712B77">
              <w:rPr>
                <w:rFonts w:ascii="Aptos" w:hAnsi="Aptos"/>
                <w:sz w:val="19"/>
              </w:rPr>
              <w:t xml:space="preserve"> proactively offer a cheaper plan or a bundle discount where a customer is paying for more than they use</w:t>
            </w:r>
          </w:p>
        </w:tc>
        <w:tc>
          <w:tcPr>
            <w:tcW w:w="2213" w:type="dxa"/>
          </w:tcPr>
          <w:p w14:paraId="219049DB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Customers paying over $70 a month, especially newer ones</w:t>
            </w:r>
          </w:p>
        </w:tc>
        <w:tc>
          <w:tcPr>
            <w:tcW w:w="2176" w:type="dxa"/>
          </w:tcPr>
          <w:p w14:paraId="376E2B61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33–37% churn above $70, against 11.9% at $40 or less</w:t>
            </w:r>
          </w:p>
        </w:tc>
        <w:tc>
          <w:tcPr>
            <w:tcW w:w="2000" w:type="dxa"/>
          </w:tcPr>
          <w:p w14:paraId="1882F365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Churn and revenue kept in the high-charge segment</w:t>
            </w:r>
          </w:p>
        </w:tc>
      </w:tr>
      <w:tr w:rsidR="002E2AD1" w:rsidRPr="00712B77" w14:paraId="16F6D75C" w14:textId="77777777" w:rsidTr="002E2AD1">
        <w:trPr>
          <w:cantSplit/>
        </w:trPr>
        <w:tc>
          <w:tcPr>
            <w:tcW w:w="808" w:type="dxa"/>
            <w:shd w:val="clear" w:color="auto" w:fill="F2F1EC"/>
          </w:tcPr>
          <w:p w14:paraId="503CE002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4</w:t>
            </w:r>
          </w:p>
        </w:tc>
        <w:tc>
          <w:tcPr>
            <w:tcW w:w="2213" w:type="dxa"/>
            <w:shd w:val="clear" w:color="auto" w:fill="F2F1EC"/>
          </w:tcPr>
          <w:p w14:paraId="4A6A7E53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bCs/>
                <w:sz w:val="19"/>
              </w:rPr>
              <w:t>Senior customer care:</w:t>
            </w:r>
            <w:r w:rsidRPr="00712B77">
              <w:rPr>
                <w:rFonts w:ascii="Aptos" w:hAnsi="Aptos"/>
                <w:sz w:val="19"/>
              </w:rPr>
              <w:t xml:space="preserve"> simple plans, a dedicated support line and help with setup</w:t>
            </w:r>
          </w:p>
        </w:tc>
        <w:tc>
          <w:tcPr>
            <w:tcW w:w="2213" w:type="dxa"/>
            <w:shd w:val="clear" w:color="auto" w:fill="F2F1EC"/>
          </w:tcPr>
          <w:p w14:paraId="727D0892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Senior citizens, especially those without dependents</w:t>
            </w:r>
          </w:p>
        </w:tc>
        <w:tc>
          <w:tcPr>
            <w:tcW w:w="2176" w:type="dxa"/>
            <w:shd w:val="clear" w:color="auto" w:fill="F2F1EC"/>
          </w:tcPr>
          <w:p w14:paraId="41BEC1C0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41.7% churn (43.2% without dependents)</w:t>
            </w:r>
          </w:p>
        </w:tc>
        <w:tc>
          <w:tcPr>
            <w:tcW w:w="2000" w:type="dxa"/>
            <w:shd w:val="clear" w:color="auto" w:fill="F2F1EC"/>
          </w:tcPr>
          <w:p w14:paraId="4E1BAE34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Senior churn rate</w:t>
            </w:r>
          </w:p>
        </w:tc>
      </w:tr>
      <w:tr w:rsidR="002E2AD1" w:rsidRPr="00712B77" w14:paraId="00278D90" w14:textId="77777777" w:rsidTr="002E2AD1">
        <w:trPr>
          <w:cantSplit/>
        </w:trPr>
        <w:tc>
          <w:tcPr>
            <w:tcW w:w="808" w:type="dxa"/>
          </w:tcPr>
          <w:p w14:paraId="16B0AF6E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5</w:t>
            </w:r>
          </w:p>
        </w:tc>
        <w:tc>
          <w:tcPr>
            <w:tcW w:w="2213" w:type="dxa"/>
          </w:tcPr>
          <w:p w14:paraId="1346BB9F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bCs/>
                <w:sz w:val="19"/>
              </w:rPr>
              <w:t>Family and household bundles:</w:t>
            </w:r>
            <w:r w:rsidRPr="00712B77">
              <w:rPr>
                <w:rFonts w:ascii="Aptos" w:hAnsi="Aptos"/>
                <w:sz w:val="19"/>
              </w:rPr>
              <w:t xml:space="preserve"> multi-person plans that make it more attractive to add family members</w:t>
            </w:r>
          </w:p>
        </w:tc>
        <w:tc>
          <w:tcPr>
            <w:tcW w:w="2213" w:type="dxa"/>
          </w:tcPr>
          <w:p w14:paraId="1B988021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Customers without dependents</w:t>
            </w:r>
          </w:p>
        </w:tc>
        <w:tc>
          <w:tcPr>
            <w:tcW w:w="2176" w:type="dxa"/>
          </w:tcPr>
          <w:p w14:paraId="447842C3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31.3% churn without dependents, 15.5% with</w:t>
            </w:r>
          </w:p>
        </w:tc>
        <w:tc>
          <w:tcPr>
            <w:tcW w:w="2000" w:type="dxa"/>
          </w:tcPr>
          <w:p w14:paraId="54A60556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Uptake and churn of bundled customers</w:t>
            </w:r>
          </w:p>
        </w:tc>
      </w:tr>
      <w:tr w:rsidR="002E2AD1" w:rsidRPr="00712B77" w14:paraId="3915914B" w14:textId="77777777" w:rsidTr="002E2AD1">
        <w:trPr>
          <w:cantSplit/>
        </w:trPr>
        <w:tc>
          <w:tcPr>
            <w:tcW w:w="808" w:type="dxa"/>
            <w:shd w:val="clear" w:color="auto" w:fill="F2F1EC"/>
          </w:tcPr>
          <w:p w14:paraId="086E6E36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6</w:t>
            </w:r>
          </w:p>
        </w:tc>
        <w:tc>
          <w:tcPr>
            <w:tcW w:w="2213" w:type="dxa"/>
            <w:shd w:val="clear" w:color="auto" w:fill="F2F1EC"/>
          </w:tcPr>
          <w:p w14:paraId="0F86B722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b/>
                <w:bCs/>
                <w:sz w:val="19"/>
              </w:rPr>
              <w:t>Loyalty recognition:</w:t>
            </w:r>
            <w:r w:rsidRPr="00712B77">
              <w:rPr>
                <w:rFonts w:ascii="Aptos" w:hAnsi="Aptos"/>
                <w:sz w:val="19"/>
              </w:rPr>
              <w:t xml:space="preserve"> low-cost rewards (anniversary thank-yous, priority support) to keep the loyal core engaged</w:t>
            </w:r>
          </w:p>
        </w:tc>
        <w:tc>
          <w:tcPr>
            <w:tcW w:w="2213" w:type="dxa"/>
            <w:shd w:val="clear" w:color="auto" w:fill="F2F1EC"/>
          </w:tcPr>
          <w:p w14:paraId="3E2C46F8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Long-term – Low Charges</w:t>
            </w:r>
          </w:p>
        </w:tc>
        <w:tc>
          <w:tcPr>
            <w:tcW w:w="2176" w:type="dxa"/>
            <w:shd w:val="clear" w:color="auto" w:fill="F2F1EC"/>
          </w:tcPr>
          <w:p w14:paraId="43AB6874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Only 4.8% churn, so a light touch is enough</w:t>
            </w:r>
          </w:p>
        </w:tc>
        <w:tc>
          <w:tcPr>
            <w:tcW w:w="2000" w:type="dxa"/>
            <w:shd w:val="clear" w:color="auto" w:fill="F2F1EC"/>
          </w:tcPr>
          <w:p w14:paraId="21D30FE5" w14:textId="77777777" w:rsidR="002E2AD1" w:rsidRPr="00712B77" w:rsidRDefault="00000000">
            <w:pPr>
              <w:pStyle w:val="Compact"/>
              <w:spacing w:after="40"/>
              <w:rPr>
                <w:rFonts w:ascii="Aptos" w:hAnsi="Aptos"/>
              </w:rPr>
            </w:pPr>
            <w:r w:rsidRPr="00712B77">
              <w:rPr>
                <w:rFonts w:ascii="Aptos" w:hAnsi="Aptos"/>
                <w:sz w:val="19"/>
              </w:rPr>
              <w:t>Retention stays below 5%</w:t>
            </w:r>
          </w:p>
        </w:tc>
      </w:tr>
    </w:tbl>
    <w:p w14:paraId="0B73C091" w14:textId="77777777" w:rsidR="002E2AD1" w:rsidRPr="00712B77" w:rsidRDefault="00000000">
      <w:pPr>
        <w:pStyle w:val="BodyText"/>
        <w:rPr>
          <w:rFonts w:ascii="Aptos" w:hAnsi="Aptos"/>
        </w:rPr>
      </w:pPr>
      <w:r w:rsidRPr="00712B77">
        <w:rPr>
          <w:rFonts w:ascii="Aptos" w:hAnsi="Aptos"/>
          <w:b/>
          <w:bCs/>
        </w:rPr>
        <w:t>What not to prioritise.</w:t>
      </w:r>
      <w:r w:rsidRPr="00712B77">
        <w:rPr>
          <w:rFonts w:ascii="Aptos" w:hAnsi="Aptos"/>
        </w:rPr>
        <w:t xml:space="preserve"> Contract-upgrade campaigns are unlikely to reduce churn on their own, because churn is almost the same on every contract type (25–27%). Discounts on fibre or phone services alone are also unlikely to help, as these show no meaningful link to churn.</w:t>
      </w:r>
    </w:p>
    <w:p w14:paraId="72AF37BD" w14:textId="77777777" w:rsidR="002E2AD1" w:rsidRPr="00712B77" w:rsidRDefault="00000000">
      <w:pPr>
        <w:pStyle w:val="BodyText"/>
        <w:keepNext/>
        <w:rPr>
          <w:rFonts w:ascii="Aptos" w:hAnsi="Aptos"/>
        </w:rPr>
      </w:pPr>
      <w:r w:rsidRPr="00712B77">
        <w:rPr>
          <w:rFonts w:ascii="Aptos" w:hAnsi="Aptos"/>
          <w:b/>
          <w:bCs/>
        </w:rPr>
        <w:lastRenderedPageBreak/>
        <w:t>Suggested rollout</w:t>
      </w:r>
    </w:p>
    <w:p w14:paraId="46FA4F49" w14:textId="77777777" w:rsidR="002E2AD1" w:rsidRPr="00712B77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712B77">
        <w:rPr>
          <w:rFonts w:ascii="Aptos" w:hAnsi="Aptos"/>
          <w:b/>
          <w:bCs/>
        </w:rPr>
        <w:t>Months 1–2:</w:t>
      </w:r>
      <w:r w:rsidRPr="00712B77">
        <w:rPr>
          <w:rFonts w:ascii="Aptos" w:hAnsi="Aptos"/>
        </w:rPr>
        <w:t xml:space="preserve"> pilot the first-year onboarding programme and risk-based outreach on Newer – High Charges customers, keeping a control group for comparison.</w:t>
      </w:r>
    </w:p>
    <w:p w14:paraId="0BC086A7" w14:textId="77777777" w:rsidR="002E2AD1" w:rsidRPr="00712B77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712B77">
        <w:rPr>
          <w:rFonts w:ascii="Aptos" w:hAnsi="Aptos"/>
          <w:b/>
          <w:bCs/>
        </w:rPr>
        <w:t>Months 3–4:</w:t>
      </w:r>
      <w:r w:rsidRPr="00712B77">
        <w:rPr>
          <w:rFonts w:ascii="Aptos" w:hAnsi="Aptos"/>
        </w:rPr>
        <w:t xml:space="preserve"> measure results, then add plan reviews and senior care.</w:t>
      </w:r>
    </w:p>
    <w:p w14:paraId="73FA740E" w14:textId="77777777" w:rsidR="002E2AD1" w:rsidRPr="00712B77" w:rsidRDefault="00000000">
      <w:pPr>
        <w:pStyle w:val="Compact"/>
        <w:numPr>
          <w:ilvl w:val="0"/>
          <w:numId w:val="2"/>
        </w:numPr>
        <w:rPr>
          <w:rFonts w:ascii="Aptos" w:hAnsi="Aptos"/>
        </w:rPr>
      </w:pPr>
      <w:r w:rsidRPr="00712B77">
        <w:rPr>
          <w:rFonts w:ascii="Aptos" w:hAnsi="Aptos"/>
          <w:b/>
          <w:bCs/>
        </w:rPr>
        <w:t>Month 6:</w:t>
      </w:r>
      <w:r w:rsidRPr="00712B77">
        <w:rPr>
          <w:rFonts w:ascii="Aptos" w:hAnsi="Aptos"/>
        </w:rPr>
        <w:t xml:space="preserve"> retrain the model on new data and expand the programmes that worked.</w:t>
      </w:r>
      <w:bookmarkEnd w:id="0"/>
    </w:p>
    <w:sectPr w:rsidR="002E2AD1" w:rsidRPr="00712B77">
      <w:footerReference w:type="default" r:id="rId7"/>
      <w:pgSz w:w="11906" w:h="16838"/>
      <w:pgMar w:top="1247" w:right="1247" w:bottom="124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B6511" w14:textId="77777777" w:rsidR="009970FE" w:rsidRDefault="009970FE">
      <w:pPr>
        <w:spacing w:after="0"/>
      </w:pPr>
      <w:r>
        <w:separator/>
      </w:r>
    </w:p>
  </w:endnote>
  <w:endnote w:type="continuationSeparator" w:id="0">
    <w:p w14:paraId="0E787B99" w14:textId="77777777" w:rsidR="009970FE" w:rsidRDefault="009970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4EEF" w14:textId="77777777" w:rsidR="002E2AD1" w:rsidRDefault="00000000">
    <w:pPr>
      <w:jc w:val="center"/>
    </w:pPr>
    <w:r>
      <w:rPr>
        <w:sz w:val="18"/>
      </w:rPr>
      <w:t xml:space="preserve">Final Report – Part C · Page </w:t>
    </w:r>
    <w:r>
      <w:rPr>
        <w:sz w:val="18"/>
      </w:rPr>
      <w:fldChar w:fldCharType="begin"/>
    </w:r>
    <w:r>
      <w:rPr>
        <w:sz w:val="18"/>
      </w:rPr>
      <w:instrText>PAGE</w:instrText>
    </w:r>
    <w:r w:rsidR="00712B77">
      <w:rPr>
        <w:sz w:val="18"/>
      </w:rPr>
      <w:fldChar w:fldCharType="separate"/>
    </w:r>
    <w:r w:rsidR="00712B7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925E9" w14:textId="77777777" w:rsidR="009970FE" w:rsidRDefault="009970FE">
      <w:r>
        <w:separator/>
      </w:r>
    </w:p>
  </w:footnote>
  <w:footnote w:type="continuationSeparator" w:id="0">
    <w:p w14:paraId="469D519F" w14:textId="77777777" w:rsidR="009970FE" w:rsidRDefault="00997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48D9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D361C6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8525871">
    <w:abstractNumId w:val="0"/>
  </w:num>
  <w:num w:numId="2" w16cid:durableId="18514096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D1"/>
    <w:rsid w:val="002E2AD1"/>
    <w:rsid w:val="00712B77"/>
    <w:rsid w:val="009970FE"/>
    <w:rsid w:val="00F6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838F"/>
  <w15:docId w15:val="{6B806B7D-6579-4F6A-91E7-7480CF96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4213D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eastAsia="Calibri" w:hAnsi="Calibri"/>
      <w:b w:val="0"/>
      <w:color w:val="B04A17"/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– Part C</dc:title>
  <dc:creator>sumina yonjan</dc:creator>
  <cp:keywords/>
  <cp:lastModifiedBy>Sumina YONJAN</cp:lastModifiedBy>
  <cp:revision>2</cp:revision>
  <dcterms:created xsi:type="dcterms:W3CDTF">2026-10-25T07:38:00Z</dcterms:created>
  <dcterms:modified xsi:type="dcterms:W3CDTF">2026-10-25T07:38:00Z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Customer Churn Analysis for a Telecommunications Company — Final Report, Part C</vt:lpwstr>
  </property>
</Properties>
</file>