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66666"/>
          <w:sz w:val="20"/>
          <w:szCs w:val="20"/>
        </w:rPr>
        <w:t xml:space="preserve">DATA PREPARATION DELIVERABLE</w:t>
      </w:r>
    </w:p>
    <w:p>
      <w:pPr>
        <w:spacing w:after="220"/>
      </w:pPr>
      <w:r>
        <w:rPr>
          <w:b/>
          <w:bCs/>
          <w:color w:val="2E5B8C"/>
          <w:sz w:val="36"/>
          <w:szCs w:val="36"/>
        </w:rPr>
        <w:t xml:space="preserve">Scaling Techniques Documentation</w:t>
      </w:r>
    </w:p>
    <w:tbl>
      <w:tblPr>
        <w:tblW w:type="dxa" w:w="93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700"/>
      </w:tblGrid>
      <w:tr>
        <w:tc>
          <w:tcPr>
            <w:tcW w:type="dxa" w:w="2600"/>
            <w:shd w:fill="EAF0F7" w:val="clear"/>
            <w:tcMar>
              <w:top w:type="dxa" w:w="90"/>
              <w:left w:type="dxa" w:w="150"/>
              <w:bottom w:type="dxa" w:w="90"/>
              <w:right w:type="dxa" w:w="150"/>
            </w:tcMar>
            <w:vAlign w:val="center"/>
          </w:tcPr>
          <w:p>
            <w:r>
              <w:rPr>
                <w:b/>
                <w:bCs/>
                <w:sz w:val="20"/>
                <w:szCs w:val="20"/>
              </w:rPr>
              <w:t xml:space="preserve">Project</w:t>
            </w:r>
          </w:p>
        </w:tc>
        <w:tc>
          <w:tcPr>
            <w:tcW w:type="dxa" w:w="6700"/>
            <w:tcMar>
              <w:top w:type="dxa" w:w="90"/>
              <w:left w:type="dxa" w:w="150"/>
              <w:bottom w:type="dxa" w:w="90"/>
              <w:right w:type="dxa" w:w="150"/>
            </w:tcMar>
            <w:vAlign w:val="center"/>
          </w:tcPr>
          <w:p>
            <w:r>
              <w:rPr>
                <w:sz w:val="20"/>
                <w:szCs w:val="20"/>
              </w:rPr>
              <w:t xml:space="preserve">Customer Churn Analysis for a Telecommunications Company</w:t>
            </w:r>
          </w:p>
        </w:tc>
      </w:tr>
      <w:tr>
        <w:tc>
          <w:tcPr>
            <w:tcW w:type="dxa" w:w="2600"/>
            <w:shd w:fill="EAF0F7" w:val="clear"/>
            <w:tcMar>
              <w:top w:type="dxa" w:w="90"/>
              <w:left w:type="dxa" w:w="150"/>
              <w:bottom w:type="dxa" w:w="90"/>
              <w:right w:type="dxa" w:w="150"/>
            </w:tcMar>
            <w:vAlign w:val="center"/>
          </w:tcPr>
          <w:p>
            <w:r>
              <w:rPr>
                <w:b/>
                <w:bCs/>
                <w:sz w:val="20"/>
                <w:szCs w:val="20"/>
              </w:rPr>
              <w:t xml:space="preserve">Prepared By</w:t>
            </w:r>
          </w:p>
        </w:tc>
        <w:tc>
          <w:tcPr>
            <w:tcW w:type="dxa" w:w="6700"/>
            <w:tcMar>
              <w:top w:type="dxa" w:w="90"/>
              <w:left w:type="dxa" w:w="150"/>
              <w:bottom w:type="dxa" w:w="90"/>
              <w:right w:type="dxa" w:w="150"/>
            </w:tcMar>
            <w:vAlign w:val="center"/>
          </w:tcPr>
          <w:p>
            <w:r>
              <w:rPr>
                <w:sz w:val="20"/>
                <w:szCs w:val="20"/>
              </w:rPr>
              <w:t xml:space="preserve">Prajwol — Data Engineer</w:t>
            </w:r>
          </w:p>
        </w:tc>
      </w:tr>
      <w:tr>
        <w:tc>
          <w:tcPr>
            <w:tcW w:type="dxa" w:w="2600"/>
            <w:shd w:fill="EAF0F7" w:val="clear"/>
            <w:tcMar>
              <w:top w:type="dxa" w:w="90"/>
              <w:left w:type="dxa" w:w="150"/>
              <w:bottom w:type="dxa" w:w="90"/>
              <w:right w:type="dxa" w:w="150"/>
            </w:tcMar>
            <w:vAlign w:val="center"/>
          </w:tcPr>
          <w:p>
            <w:r>
              <w:rPr>
                <w:b/>
                <w:bCs/>
                <w:sz w:val="20"/>
                <w:szCs w:val="20"/>
              </w:rPr>
              <w:t xml:space="preserve">Applies To</w:t>
            </w:r>
          </w:p>
        </w:tc>
        <w:tc>
          <w:tcPr>
            <w:tcW w:type="dxa" w:w="6700"/>
            <w:tcMar>
              <w:top w:type="dxa" w:w="90"/>
              <w:left w:type="dxa" w:w="150"/>
              <w:bottom w:type="dxa" w:w="90"/>
              <w:right w:type="dxa" w:w="150"/>
            </w:tcMar>
            <w:vAlign w:val="center"/>
          </w:tcPr>
          <w:p>
            <w:r>
              <w:rPr>
                <w:sz w:val="20"/>
                <w:szCs w:val="20"/>
              </w:rPr>
              <w:t xml:space="preserve">telco_ann_ready.csv → train_set.csv / test_set.csv</w:t>
            </w:r>
          </w:p>
        </w:tc>
      </w:tr>
    </w:tbl>
    <w:p>
      <w:pPr>
        <w:spacing w:after="100" w:before="320"/>
      </w:pPr>
      <w:r>
        <w:rPr>
          <w:b/>
          <w:bCs/>
          <w:color w:val="2E5B8C"/>
          <w:sz w:val="28"/>
          <w:szCs w:val="28"/>
        </w:rPr>
        <w:t xml:space="preserve">1. Overview</w:t>
      </w:r>
    </w:p>
    <w:p>
      <w:pPr>
        <w:spacing w:after="120"/>
      </w:pPr>
      <w:r>
        <w:rPr>
          <w:sz w:val="21"/>
          <w:szCs w:val="21"/>
        </w:rPr>
        <w:t xml:space="preserve">This document explains the scaling technique applied during data preparation, why it was chosen, exactly when it was applied in the pipeline, and includes the relevant code used to implement it. Scaling was applied only to numeric features, and only after the data was split into training and testing sets, to avoid data leakage.</w:t>
      </w:r>
    </w:p>
    <w:p>
      <w:pPr>
        <w:spacing w:after="100" w:before="320"/>
      </w:pPr>
      <w:r>
        <w:rPr>
          <w:b/>
          <w:bCs/>
          <w:color w:val="2E5B8C"/>
          <w:sz w:val="28"/>
          <w:szCs w:val="28"/>
        </w:rPr>
        <w:t xml:space="preserve">2. Why Scaling Is Needed</w:t>
      </w:r>
    </w:p>
    <w:p>
      <w:pPr>
        <w:spacing w:after="120"/>
      </w:pPr>
      <w:r>
        <w:rPr>
          <w:sz w:val="21"/>
          <w:szCs w:val="21"/>
        </w:rPr>
        <w:t xml:space="preserve">Several numeric features in this dataset sit on very different scales. For example, MonthlyCharges ranges from roughly 18 to 119, while ServiceCount only ranges from 0 to 2. Machine learning algorithms that rely on distance calculations or gradient-based optimisation (such as K-Means clustering or a neural network) can be dominated by features with larger numeric ranges unless all features are placed on a comparable scale first.</w:t>
      </w:r>
    </w:p>
    <w:p>
      <w:pPr>
        <w:spacing w:after="100" w:before="320"/>
      </w:pPr>
      <w:r>
        <w:rPr>
          <w:b/>
          <w:bCs/>
          <w:color w:val="2E5B8C"/>
          <w:sz w:val="28"/>
          <w:szCs w:val="28"/>
        </w:rPr>
        <w:t xml:space="preserve">3. Technique Used: StandardScaler (Z-score Standardisation)</w:t>
      </w:r>
    </w:p>
    <w:p>
      <w:pPr>
        <w:spacing w:after="120"/>
      </w:pPr>
      <w:r>
        <w:rPr>
          <w:sz w:val="21"/>
          <w:szCs w:val="21"/>
        </w:rPr>
        <w:t xml:space="preserve">We used scikit-learn's StandardScaler, which transforms each feature so that it has a mean of 0 and a standard deviation of 1. Each value is transformed using the formula:</w:t>
      </w:r>
    </w:p>
    <w:tbl>
      <w:tblPr>
        <w:tblW w:type="dxa" w:w="9300"/>
        <w:tblBorders>
          <w:top w:val="single" w:color="DDDDDD" w:sz="4"/>
          <w:left w:val="single" w:color="DDDDDD" w:sz="4"/>
          <w:bottom w:val="single" w:color="DDDDDD" w:sz="4"/>
          <w:right w:val="single" w:color="DDDDDD" w:sz="4"/>
          <w:insideH w:val="none"/>
          <w:insideV w:val="none"/>
        </w:tblBorders>
      </w:tblPr>
      <w:tblGrid>
        <w:gridCol w:w="9300"/>
      </w:tblGrid>
      <w:tr>
        <w:tc>
          <w:tcPr>
            <w:tcW w:type="dxa" w:w="9300"/>
            <w:shd w:fill="F4F4F4" w:val="clear"/>
            <w:tcMar>
              <w:top w:type="dxa" w:w="150"/>
              <w:left w:type="dxa" w:w="200"/>
              <w:bottom w:type="dxa" w:w="150"/>
              <w:right w:type="dxa" w:w="200"/>
            </w:tcMar>
          </w:tcPr>
          <w:p>
            <w:pPr>
              <w:spacing w:after="20"/>
            </w:pPr>
            <w:r>
              <w:rPr>
                <w:rFonts w:ascii="Courier New" w:cs="Courier New" w:eastAsia="Courier New" w:hAnsi="Courier New"/>
                <w:sz w:val="19"/>
                <w:szCs w:val="19"/>
              </w:rPr>
              <w:t xml:space="preserve">z = (x - mean) / standard_deviation</w:t>
            </w:r>
          </w:p>
        </w:tc>
      </w:tr>
    </w:tbl>
    <w:p>
      <w:pPr>
        <w:spacing w:after="120"/>
      </w:pPr>
      <w:r>
        <w:rPr>
          <w:sz w:val="21"/>
          <w:szCs w:val="21"/>
        </w:rPr>
        <w:t xml:space="preserve">Columns scaled:</w:t>
      </w:r>
    </w:p>
    <w:p>
      <w:pPr>
        <w:pStyle w:val="ListParagraph"/>
        <w:numPr>
          <w:ilvl w:val="0"/>
          <w:numId w:val="2"/>
        </w:numPr>
        <w:spacing w:after="60"/>
      </w:pPr>
      <w:r>
        <w:rPr>
          <w:sz w:val="21"/>
          <w:szCs w:val="21"/>
        </w:rPr>
        <w:t xml:space="preserve">tenure</w:t>
      </w:r>
    </w:p>
    <w:p>
      <w:pPr>
        <w:pStyle w:val="ListParagraph"/>
        <w:numPr>
          <w:ilvl w:val="0"/>
          <w:numId w:val="2"/>
        </w:numPr>
        <w:spacing w:after="60"/>
      </w:pPr>
      <w:r>
        <w:rPr>
          <w:sz w:val="21"/>
          <w:szCs w:val="21"/>
        </w:rPr>
        <w:t xml:space="preserve">MonthlyCharges</w:t>
      </w:r>
    </w:p>
    <w:p>
      <w:pPr>
        <w:pStyle w:val="ListParagraph"/>
        <w:numPr>
          <w:ilvl w:val="0"/>
          <w:numId w:val="2"/>
        </w:numPr>
        <w:spacing w:after="60"/>
      </w:pPr>
      <w:r>
        <w:rPr>
          <w:sz w:val="21"/>
          <w:szCs w:val="21"/>
        </w:rPr>
        <w:t xml:space="preserve">ContractMonths</w:t>
      </w:r>
    </w:p>
    <w:p>
      <w:pPr>
        <w:pStyle w:val="ListParagraph"/>
        <w:numPr>
          <w:ilvl w:val="0"/>
          <w:numId w:val="2"/>
        </w:numPr>
        <w:spacing w:after="60"/>
      </w:pPr>
      <w:r>
        <w:rPr>
          <w:sz w:val="21"/>
          <w:szCs w:val="21"/>
        </w:rPr>
        <w:t xml:space="preserve">ServiceCount</w:t>
      </w:r>
    </w:p>
    <w:p>
      <w:pPr>
        <w:pStyle w:val="ListParagraph"/>
        <w:numPr>
          <w:ilvl w:val="0"/>
          <w:numId w:val="2"/>
        </w:numPr>
        <w:spacing w:after="60"/>
      </w:pPr>
      <w:r>
        <w:rPr>
          <w:sz w:val="21"/>
          <w:szCs w:val="21"/>
        </w:rPr>
        <w:t xml:space="preserve">MonthlyChargePerService</w:t>
      </w:r>
    </w:p>
    <w:p>
      <w:pPr>
        <w:spacing w:after="120"/>
      </w:pPr>
      <w:r>
        <w:rPr>
          <w:sz w:val="21"/>
          <w:szCs w:val="21"/>
        </w:rPr>
        <w:t xml:space="preserve">Binary (0/1) and one-hot encoded columns were left unscaled, since they are already on a 0–1 scale and scaling them further provides no benefit.</w:t>
      </w:r>
    </w:p>
    <w:p>
      <w:pPr>
        <w:spacing w:after="100" w:before="320"/>
      </w:pPr>
      <w:r>
        <w:rPr>
          <w:b/>
          <w:bCs/>
          <w:color w:val="2E5B8C"/>
          <w:sz w:val="28"/>
          <w:szCs w:val="28"/>
        </w:rPr>
        <w:t xml:space="preserve">4. Critical Rule: Fit on Training Data Only</w:t>
      </w:r>
    </w:p>
    <w:p>
      <w:pPr>
        <w:spacing w:after="120"/>
      </w:pPr>
      <w:r>
        <w:rPr>
          <w:sz w:val="21"/>
          <w:szCs w:val="21"/>
        </w:rPr>
        <w:t xml:space="preserve">The scaler was fit only on the training set, then used to transform both the training set and the test set. It was not fit on the test set, and it was not fit on the full dataset before splitting. This is a deliberate and important choice.</w:t>
      </w:r>
    </w:p>
    <w:p>
      <w:pPr>
        <w:spacing w:after="120"/>
      </w:pPr>
      <w:r>
        <w:rPr>
          <w:sz w:val="21"/>
          <w:szCs w:val="21"/>
        </w:rPr>
        <w:t xml:space="preserve">If the scaler were fit on the full dataset before splitting, statistical information from the test set (its mean and spread) would leak into the scaling parameters used on the training data. This is called data leakage, and it can make a model appear more accurate during evaluation than it will actually be on genuinely unseen data.</w:t>
      </w:r>
    </w:p>
    <w:p>
      <w:pPr>
        <w:spacing w:after="100" w:before="320"/>
      </w:pPr>
      <w:r>
        <w:rPr>
          <w:b/>
          <w:bCs/>
          <w:color w:val="2E5B8C"/>
          <w:sz w:val="28"/>
          <w:szCs w:val="28"/>
        </w:rPr>
        <w:t xml:space="preserve">5. Code Snippets</w:t>
      </w:r>
    </w:p>
    <w:p>
      <w:pPr>
        <w:spacing w:after="80" w:before="220"/>
      </w:pPr>
      <w:r>
        <w:rPr>
          <w:b/>
          <w:bCs/>
          <w:color w:val="2E5B8C"/>
          <w:sz w:val="23"/>
          <w:szCs w:val="23"/>
        </w:rPr>
        <w:t xml:space="preserve">5.1 Train/Test Split (performed before scaling)</w:t>
      </w:r>
    </w:p>
    <w:tbl>
      <w:tblPr>
        <w:tblW w:type="dxa" w:w="9300"/>
        <w:tblBorders>
          <w:top w:val="single" w:color="DDDDDD" w:sz="4"/>
          <w:left w:val="single" w:color="DDDDDD" w:sz="4"/>
          <w:bottom w:val="single" w:color="DDDDDD" w:sz="4"/>
          <w:right w:val="single" w:color="DDDDDD" w:sz="4"/>
          <w:insideH w:val="none"/>
          <w:insideV w:val="none"/>
        </w:tblBorders>
      </w:tblPr>
      <w:tblGrid>
        <w:gridCol w:w="9300"/>
      </w:tblGrid>
      <w:tr>
        <w:tc>
          <w:tcPr>
            <w:tcW w:type="dxa" w:w="9300"/>
            <w:shd w:fill="F4F4F4" w:val="clear"/>
            <w:tcMar>
              <w:top w:type="dxa" w:w="150"/>
              <w:left w:type="dxa" w:w="200"/>
              <w:bottom w:type="dxa" w:w="150"/>
              <w:right w:type="dxa" w:w="200"/>
            </w:tcMar>
          </w:tcPr>
          <w:p>
            <w:pPr>
              <w:spacing w:after="20"/>
            </w:pPr>
            <w:r>
              <w:rPr>
                <w:rFonts w:ascii="Courier New" w:cs="Courier New" w:eastAsia="Courier New" w:hAnsi="Courier New"/>
                <w:sz w:val="19"/>
                <w:szCs w:val="19"/>
              </w:rPr>
              <w:t xml:space="preserve">from sklearn.model_selection import train_test_split</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X = df.drop(columns=["Churn"])</w:t>
            </w:r>
          </w:p>
          <w:p>
            <w:pPr>
              <w:spacing w:after="20"/>
            </w:pPr>
            <w:r>
              <w:rPr>
                <w:rFonts w:ascii="Courier New" w:cs="Courier New" w:eastAsia="Courier New" w:hAnsi="Courier New"/>
                <w:sz w:val="19"/>
                <w:szCs w:val="19"/>
              </w:rPr>
              <w:t xml:space="preserve">y = df["Churn"]</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X_train, X_test, y_train, y_test = train_test_split(</w:t>
            </w:r>
          </w:p>
          <w:p>
            <w:pPr>
              <w:spacing w:after="20"/>
            </w:pPr>
            <w:r>
              <w:rPr>
                <w:rFonts w:ascii="Courier New" w:cs="Courier New" w:eastAsia="Courier New" w:hAnsi="Courier New"/>
                <w:sz w:val="19"/>
                <w:szCs w:val="19"/>
              </w:rPr>
              <w:t xml:space="preserve">    X, y,</w:t>
            </w:r>
          </w:p>
          <w:p>
            <w:pPr>
              <w:spacing w:after="20"/>
            </w:pPr>
            <w:r>
              <w:rPr>
                <w:rFonts w:ascii="Courier New" w:cs="Courier New" w:eastAsia="Courier New" w:hAnsi="Courier New"/>
                <w:sz w:val="19"/>
                <w:szCs w:val="19"/>
              </w:rPr>
              <w:t xml:space="preserve">    test_size=0.20,</w:t>
            </w:r>
          </w:p>
          <w:p>
            <w:pPr>
              <w:spacing w:after="20"/>
            </w:pPr>
            <w:r>
              <w:rPr>
                <w:rFonts w:ascii="Courier New" w:cs="Courier New" w:eastAsia="Courier New" w:hAnsi="Courier New"/>
                <w:sz w:val="19"/>
                <w:szCs w:val="19"/>
              </w:rPr>
              <w:t xml:space="preserve">    random_state=42,</w:t>
            </w:r>
          </w:p>
          <w:p>
            <w:pPr>
              <w:spacing w:after="20"/>
            </w:pPr>
            <w:r>
              <w:rPr>
                <w:rFonts w:ascii="Courier New" w:cs="Courier New" w:eastAsia="Courier New" w:hAnsi="Courier New"/>
                <w:sz w:val="19"/>
                <w:szCs w:val="19"/>
              </w:rPr>
              <w:t xml:space="preserve">    stratify=y,  # preserves the churn class balance in both sets</w:t>
            </w:r>
          </w:p>
          <w:p>
            <w:pPr>
              <w:spacing w:after="20"/>
            </w:pPr>
            <w:r>
              <w:rPr>
                <w:rFonts w:ascii="Courier New" w:cs="Courier New" w:eastAsia="Courier New" w:hAnsi="Courier New"/>
                <w:sz w:val="19"/>
                <w:szCs w:val="19"/>
              </w:rPr>
              <w:t xml:space="preserve">)</w:t>
            </w:r>
          </w:p>
        </w:tc>
      </w:tr>
    </w:tbl>
    <w:p>
      <w:pPr>
        <w:spacing w:after="80" w:before="220"/>
      </w:pPr>
      <w:r>
        <w:rPr>
          <w:b/>
          <w:bCs/>
          <w:color w:val="2E5B8C"/>
          <w:sz w:val="23"/>
          <w:szCs w:val="23"/>
        </w:rPr>
        <w:t xml:space="preserve">5.2 Fitting the Scaler on the Training Set Only</w:t>
      </w:r>
    </w:p>
    <w:tbl>
      <w:tblPr>
        <w:tblW w:type="dxa" w:w="9300"/>
        <w:tblBorders>
          <w:top w:val="single" w:color="DDDDDD" w:sz="4"/>
          <w:left w:val="single" w:color="DDDDDD" w:sz="4"/>
          <w:bottom w:val="single" w:color="DDDDDD" w:sz="4"/>
          <w:right w:val="single" w:color="DDDDDD" w:sz="4"/>
          <w:insideH w:val="none"/>
          <w:insideV w:val="none"/>
        </w:tblBorders>
      </w:tblPr>
      <w:tblGrid>
        <w:gridCol w:w="9300"/>
      </w:tblGrid>
      <w:tr>
        <w:tc>
          <w:tcPr>
            <w:tcW w:type="dxa" w:w="9300"/>
            <w:shd w:fill="F4F4F4" w:val="clear"/>
            <w:tcMar>
              <w:top w:type="dxa" w:w="150"/>
              <w:left w:type="dxa" w:w="200"/>
              <w:bottom w:type="dxa" w:w="150"/>
              <w:right w:type="dxa" w:w="200"/>
            </w:tcMar>
          </w:tcPr>
          <w:p>
            <w:pPr>
              <w:spacing w:after="20"/>
            </w:pPr>
            <w:r>
              <w:rPr>
                <w:rFonts w:ascii="Courier New" w:cs="Courier New" w:eastAsia="Courier New" w:hAnsi="Courier New"/>
                <w:sz w:val="19"/>
                <w:szCs w:val="19"/>
              </w:rPr>
              <w:t xml:space="preserve">from sklearn.preprocessing import StandardScaler</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numeric_cols = [</w:t>
            </w:r>
          </w:p>
          <w:p>
            <w:pPr>
              <w:spacing w:after="20"/>
            </w:pPr>
            <w:r>
              <w:rPr>
                <w:rFonts w:ascii="Courier New" w:cs="Courier New" w:eastAsia="Courier New" w:hAnsi="Courier New"/>
                <w:sz w:val="19"/>
                <w:szCs w:val="19"/>
              </w:rPr>
              <w:t xml:space="preserve">    "tenure", "MonthlyCharges", "ContractMonths",</w:t>
            </w:r>
          </w:p>
          <w:p>
            <w:pPr>
              <w:spacing w:after="20"/>
            </w:pPr>
            <w:r>
              <w:rPr>
                <w:rFonts w:ascii="Courier New" w:cs="Courier New" w:eastAsia="Courier New" w:hAnsi="Courier New"/>
                <w:sz w:val="19"/>
                <w:szCs w:val="19"/>
              </w:rPr>
              <w:t xml:space="preserve">    "ServiceCount", "MonthlyChargePerService",</w:t>
            </w:r>
          </w:p>
          <w:p>
            <w:pPr>
              <w:spacing w:after="20"/>
            </w:pPr>
            <w:r>
              <w:rPr>
                <w:rFonts w:ascii="Courier New" w:cs="Courier New" w:eastAsia="Courier New" w:hAnsi="Courier New"/>
                <w:sz w:val="19"/>
                <w:szCs w:val="19"/>
              </w:rPr>
              <w:t xml:space="preserve">]</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scaler = StandardScaler()</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 Fit AND transform on the training set</w:t>
            </w:r>
          </w:p>
          <w:p>
            <w:pPr>
              <w:spacing w:after="20"/>
            </w:pPr>
            <w:r>
              <w:rPr>
                <w:rFonts w:ascii="Courier New" w:cs="Courier New" w:eastAsia="Courier New" w:hAnsi="Courier New"/>
                <w:sz w:val="19"/>
                <w:szCs w:val="19"/>
              </w:rPr>
              <w:t xml:space="preserve">X_train_scaled = X_train.copy()</w:t>
            </w:r>
          </w:p>
          <w:p>
            <w:pPr>
              <w:spacing w:after="20"/>
            </w:pPr>
            <w:r>
              <w:rPr>
                <w:rFonts w:ascii="Courier New" w:cs="Courier New" w:eastAsia="Courier New" w:hAnsi="Courier New"/>
                <w:sz w:val="19"/>
                <w:szCs w:val="19"/>
              </w:rPr>
              <w:t xml:space="preserve">X_train_scaled[numeric_cols] = scaler.fit_transform(X_train[numeric_cols])</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 Transform ONLY on the test set (do not re-fit)</w:t>
            </w:r>
          </w:p>
          <w:p>
            <w:pPr>
              <w:spacing w:after="20"/>
            </w:pPr>
            <w:r>
              <w:rPr>
                <w:rFonts w:ascii="Courier New" w:cs="Courier New" w:eastAsia="Courier New" w:hAnsi="Courier New"/>
                <w:sz w:val="19"/>
                <w:szCs w:val="19"/>
              </w:rPr>
              <w:t xml:space="preserve">X_test_scaled = X_test.copy()</w:t>
            </w:r>
          </w:p>
          <w:p>
            <w:pPr>
              <w:spacing w:after="20"/>
            </w:pPr>
            <w:r>
              <w:rPr>
                <w:rFonts w:ascii="Courier New" w:cs="Courier New" w:eastAsia="Courier New" w:hAnsi="Courier New"/>
                <w:sz w:val="19"/>
                <w:szCs w:val="19"/>
              </w:rPr>
              <w:t xml:space="preserve">X_test_scaled[numeric_cols] = scaler.transform(X_test[numeric_cols])</w:t>
            </w:r>
          </w:p>
        </w:tc>
      </w:tr>
    </w:tbl>
    <w:p>
      <w:pPr>
        <w:spacing w:after="80" w:before="220"/>
      </w:pPr>
      <w:r>
        <w:rPr>
          <w:b/>
          <w:bCs/>
          <w:color w:val="2E5B8C"/>
          <w:sz w:val="23"/>
          <w:szCs w:val="23"/>
        </w:rPr>
        <w:t xml:space="preserve">5.3 Reassembling and Saving the Final Sets</w:t>
      </w:r>
    </w:p>
    <w:tbl>
      <w:tblPr>
        <w:tblW w:type="dxa" w:w="9300"/>
        <w:tblBorders>
          <w:top w:val="single" w:color="DDDDDD" w:sz="4"/>
          <w:left w:val="single" w:color="DDDDDD" w:sz="4"/>
          <w:bottom w:val="single" w:color="DDDDDD" w:sz="4"/>
          <w:right w:val="single" w:color="DDDDDD" w:sz="4"/>
          <w:insideH w:val="none"/>
          <w:insideV w:val="none"/>
        </w:tblBorders>
      </w:tblPr>
      <w:tblGrid>
        <w:gridCol w:w="9300"/>
      </w:tblGrid>
      <w:tr>
        <w:tc>
          <w:tcPr>
            <w:tcW w:type="dxa" w:w="9300"/>
            <w:shd w:fill="F4F4F4" w:val="clear"/>
            <w:tcMar>
              <w:top w:type="dxa" w:w="150"/>
              <w:left w:type="dxa" w:w="200"/>
              <w:bottom w:type="dxa" w:w="150"/>
              <w:right w:type="dxa" w:w="200"/>
            </w:tcMar>
          </w:tcPr>
          <w:p>
            <w:pPr>
              <w:spacing w:after="20"/>
            </w:pPr>
            <w:r>
              <w:rPr>
                <w:rFonts w:ascii="Courier New" w:cs="Courier New" w:eastAsia="Courier New" w:hAnsi="Courier New"/>
                <w:sz w:val="19"/>
                <w:szCs w:val="19"/>
              </w:rPr>
              <w:t xml:space="preserve">train_set_scaled = pd.concat([X_train_scaled, y_train], axis=1)</w:t>
            </w:r>
          </w:p>
          <w:p>
            <w:pPr>
              <w:spacing w:after="20"/>
            </w:pPr>
            <w:r>
              <w:rPr>
                <w:rFonts w:ascii="Courier New" w:cs="Courier New" w:eastAsia="Courier New" w:hAnsi="Courier New"/>
                <w:sz w:val="19"/>
                <w:szCs w:val="19"/>
              </w:rPr>
              <w:t xml:space="preserve">test_set_scaled = pd.concat([X_test_scaled, y_test], axis=1)</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train_set_scaled.to_csv("train_set_scaled.csv", index=False)</w:t>
            </w:r>
          </w:p>
          <w:p>
            <w:pPr>
              <w:spacing w:after="20"/>
            </w:pPr>
            <w:r>
              <w:rPr>
                <w:rFonts w:ascii="Courier New" w:cs="Courier New" w:eastAsia="Courier New" w:hAnsi="Courier New"/>
                <w:sz w:val="19"/>
                <w:szCs w:val="19"/>
              </w:rPr>
              <w:t xml:space="preserve">test_set_scaled.to_csv("test_set_scaled.csv", index=False)</w:t>
            </w:r>
          </w:p>
        </w:tc>
      </w:tr>
    </w:tbl>
    <w:p>
      <w:pPr>
        <w:spacing w:after="100" w:before="320"/>
      </w:pPr>
      <w:r>
        <w:rPr>
          <w:b/>
          <w:bCs/>
          <w:color w:val="2E5B8C"/>
          <w:sz w:val="28"/>
          <w:szCs w:val="28"/>
        </w:rPr>
        <w:t xml:space="preserve">6. Resulting Files</w:t>
      </w:r>
    </w:p>
    <w:tbl>
      <w:tblPr>
        <w:tblW w:type="dxa" w:w="93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300"/>
      </w:tblGrid>
      <w:tr>
        <w:tc>
          <w:tcPr>
            <w:tcW w:type="dxa" w:w="3000"/>
            <w:shd w:fill="2E5B8C" w:val="clear"/>
            <w:tcMar>
              <w:top w:type="dxa" w:w="90"/>
              <w:left w:type="dxa" w:w="120"/>
              <w:bottom w:type="dxa" w:w="90"/>
              <w:right w:type="dxa" w:w="120"/>
            </w:tcMar>
            <w:vAlign w:val="center"/>
          </w:tcPr>
          <w:p>
            <w:r>
              <w:rPr>
                <w:b/>
                <w:bCs/>
                <w:color w:val="FFFFFF"/>
                <w:sz w:val="19"/>
                <w:szCs w:val="19"/>
              </w:rPr>
              <w:t xml:space="preserve">File</w:t>
            </w:r>
          </w:p>
        </w:tc>
        <w:tc>
          <w:tcPr>
            <w:tcW w:type="dxa" w:w="6300"/>
            <w:shd w:fill="2E5B8C" w:val="clear"/>
            <w:tcMar>
              <w:top w:type="dxa" w:w="90"/>
              <w:left w:type="dxa" w:w="120"/>
              <w:bottom w:type="dxa" w:w="90"/>
              <w:right w:type="dxa" w:w="120"/>
            </w:tcMar>
            <w:vAlign w:val="center"/>
          </w:tcPr>
          <w:p>
            <w:r>
              <w:rPr>
                <w:b/>
                <w:bCs/>
                <w:color w:val="FFFFFF"/>
                <w:sz w:val="19"/>
                <w:szCs w:val="19"/>
              </w:rPr>
              <w:t xml:space="preserve">Description</w:t>
            </w:r>
          </w:p>
        </w:tc>
      </w:tr>
      <w:tr>
        <w:tc>
          <w:tcPr>
            <w:tcW w:type="dxa" w:w="3000"/>
            <w:shd w:fill="EAF0F7" w:val="clear"/>
            <w:tcMar>
              <w:top w:type="dxa" w:w="90"/>
              <w:left w:type="dxa" w:w="120"/>
              <w:bottom w:type="dxa" w:w="90"/>
              <w:right w:type="dxa" w:w="120"/>
            </w:tcMar>
            <w:vAlign w:val="center"/>
          </w:tcPr>
          <w:p>
            <w:r>
              <w:rPr>
                <w:sz w:val="19"/>
                <w:szCs w:val="19"/>
              </w:rPr>
              <w:t xml:space="preserve">train_set.csv</w:t>
            </w:r>
          </w:p>
        </w:tc>
        <w:tc>
          <w:tcPr>
            <w:tcW w:type="dxa" w:w="6300"/>
            <w:shd w:fill="EAF0F7" w:val="clear"/>
            <w:tcMar>
              <w:top w:type="dxa" w:w="90"/>
              <w:left w:type="dxa" w:w="120"/>
              <w:bottom w:type="dxa" w:w="90"/>
              <w:right w:type="dxa" w:w="120"/>
            </w:tcMar>
            <w:vAlign w:val="center"/>
          </w:tcPr>
          <w:p>
            <w:r>
              <w:rPr>
                <w:sz w:val="19"/>
                <w:szCs w:val="19"/>
              </w:rPr>
              <w:t xml:space="preserve">Training set (80%), encoded but unscaled</w:t>
            </w:r>
          </w:p>
        </w:tc>
      </w:tr>
      <w:tr>
        <w:tc>
          <w:tcPr>
            <w:tcW w:type="dxa" w:w="3000"/>
            <w:tcMar>
              <w:top w:type="dxa" w:w="90"/>
              <w:left w:type="dxa" w:w="120"/>
              <w:bottom w:type="dxa" w:w="90"/>
              <w:right w:type="dxa" w:w="120"/>
            </w:tcMar>
            <w:vAlign w:val="center"/>
          </w:tcPr>
          <w:p>
            <w:r>
              <w:rPr>
                <w:sz w:val="19"/>
                <w:szCs w:val="19"/>
              </w:rPr>
              <w:t xml:space="preserve">test_set.csv</w:t>
            </w:r>
          </w:p>
        </w:tc>
        <w:tc>
          <w:tcPr>
            <w:tcW w:type="dxa" w:w="6300"/>
            <w:tcMar>
              <w:top w:type="dxa" w:w="90"/>
              <w:left w:type="dxa" w:w="120"/>
              <w:bottom w:type="dxa" w:w="90"/>
              <w:right w:type="dxa" w:w="120"/>
            </w:tcMar>
            <w:vAlign w:val="center"/>
          </w:tcPr>
          <w:p>
            <w:r>
              <w:rPr>
                <w:sz w:val="19"/>
                <w:szCs w:val="19"/>
              </w:rPr>
              <w:t xml:space="preserve">Test set (20%), encoded but unscaled</w:t>
            </w:r>
          </w:p>
        </w:tc>
      </w:tr>
      <w:tr>
        <w:tc>
          <w:tcPr>
            <w:tcW w:type="dxa" w:w="3000"/>
            <w:shd w:fill="EAF0F7" w:val="clear"/>
            <w:tcMar>
              <w:top w:type="dxa" w:w="90"/>
              <w:left w:type="dxa" w:w="120"/>
              <w:bottom w:type="dxa" w:w="90"/>
              <w:right w:type="dxa" w:w="120"/>
            </w:tcMar>
            <w:vAlign w:val="center"/>
          </w:tcPr>
          <w:p>
            <w:r>
              <w:rPr>
                <w:sz w:val="19"/>
                <w:szCs w:val="19"/>
              </w:rPr>
              <w:t xml:space="preserve">train_set_scaled.csv</w:t>
            </w:r>
          </w:p>
        </w:tc>
        <w:tc>
          <w:tcPr>
            <w:tcW w:type="dxa" w:w="6300"/>
            <w:shd w:fill="EAF0F7" w:val="clear"/>
            <w:tcMar>
              <w:top w:type="dxa" w:w="90"/>
              <w:left w:type="dxa" w:w="120"/>
              <w:bottom w:type="dxa" w:w="90"/>
              <w:right w:type="dxa" w:w="120"/>
            </w:tcMar>
            <w:vAlign w:val="center"/>
          </w:tcPr>
          <w:p>
            <w:r>
              <w:rPr>
                <w:sz w:val="19"/>
                <w:szCs w:val="19"/>
              </w:rPr>
              <w:t xml:space="preserve">Training set with numeric features scaled (scaler fit here)</w:t>
            </w:r>
          </w:p>
        </w:tc>
      </w:tr>
      <w:tr>
        <w:tc>
          <w:tcPr>
            <w:tcW w:type="dxa" w:w="3000"/>
            <w:tcMar>
              <w:top w:type="dxa" w:w="90"/>
              <w:left w:type="dxa" w:w="120"/>
              <w:bottom w:type="dxa" w:w="90"/>
              <w:right w:type="dxa" w:w="120"/>
            </w:tcMar>
            <w:vAlign w:val="center"/>
          </w:tcPr>
          <w:p>
            <w:r>
              <w:rPr>
                <w:sz w:val="19"/>
                <w:szCs w:val="19"/>
              </w:rPr>
              <w:t xml:space="preserve">test_set_scaled.csv</w:t>
            </w:r>
          </w:p>
        </w:tc>
        <w:tc>
          <w:tcPr>
            <w:tcW w:type="dxa" w:w="6300"/>
            <w:tcMar>
              <w:top w:type="dxa" w:w="90"/>
              <w:left w:type="dxa" w:w="120"/>
              <w:bottom w:type="dxa" w:w="90"/>
              <w:right w:type="dxa" w:w="120"/>
            </w:tcMar>
            <w:vAlign w:val="center"/>
          </w:tcPr>
          <w:p>
            <w:r>
              <w:rPr>
                <w:sz w:val="19"/>
                <w:szCs w:val="19"/>
              </w:rPr>
              <w:t xml:space="preserve">Test set with numeric features scaled (using the training scaler — transform only)</w:t>
            </w:r>
          </w:p>
        </w:tc>
      </w:tr>
    </w:tbl>
    <w:p>
      <w:pPr>
        <w:spacing w:after="100" w:before="320"/>
      </w:pPr>
      <w:r>
        <w:rPr>
          <w:b/>
          <w:bCs/>
          <w:color w:val="2E5B8C"/>
          <w:sz w:val="28"/>
          <w:szCs w:val="28"/>
        </w:rPr>
        <w:t xml:space="preserve">7. Summary</w:t>
      </w:r>
    </w:p>
    <w:p>
      <w:pPr>
        <w:pStyle w:val="ListParagraph"/>
        <w:numPr>
          <w:ilvl w:val="0"/>
          <w:numId w:val="2"/>
        </w:numPr>
        <w:spacing w:after="60"/>
      </w:pPr>
      <w:r>
        <w:rPr>
          <w:sz w:val="21"/>
          <w:szCs w:val="21"/>
        </w:rPr>
        <w:t xml:space="preserve">Technique: StandardScaler (z-score standardisation), mean = 0, std = 1</w:t>
      </w:r>
    </w:p>
    <w:p>
      <w:pPr>
        <w:pStyle w:val="ListParagraph"/>
        <w:numPr>
          <w:ilvl w:val="0"/>
          <w:numId w:val="2"/>
        </w:numPr>
        <w:spacing w:after="60"/>
      </w:pPr>
      <w:r>
        <w:rPr>
          <w:sz w:val="21"/>
          <w:szCs w:val="21"/>
        </w:rPr>
        <w:t xml:space="preserve">Scaled columns: tenure, MonthlyCharges, ContractMonths, ServiceCount, MonthlyChargePerService</w:t>
      </w:r>
    </w:p>
    <w:p>
      <w:pPr>
        <w:pStyle w:val="ListParagraph"/>
        <w:numPr>
          <w:ilvl w:val="0"/>
          <w:numId w:val="2"/>
        </w:numPr>
        <w:spacing w:after="60"/>
      </w:pPr>
      <w:r>
        <w:rPr>
          <w:sz w:val="21"/>
          <w:szCs w:val="21"/>
        </w:rPr>
        <w:t xml:space="preserve">Scaler fit on the training set only (5,634 rows), then applied to the test set (1,409 rows)</w:t>
      </w:r>
    </w:p>
    <w:p>
      <w:pPr>
        <w:pStyle w:val="ListParagraph"/>
        <w:numPr>
          <w:ilvl w:val="0"/>
          <w:numId w:val="2"/>
        </w:numPr>
        <w:spacing w:after="60"/>
      </w:pPr>
      <w:r>
        <w:rPr>
          <w:sz w:val="21"/>
          <w:szCs w:val="21"/>
        </w:rPr>
        <w:t xml:space="preserve">This order (split → scale) prevents data leakage from the test set into the training process</w:t>
      </w:r>
    </w:p>
    <w:p>
      <w:pPr>
        <w:pStyle w:val="ListParagraph"/>
        <w:numPr>
          <w:ilvl w:val="0"/>
          <w:numId w:val="2"/>
        </w:numPr>
        <w:spacing w:after="60"/>
      </w:pPr>
      <w:r>
        <w:rPr>
          <w:sz w:val="21"/>
          <w:szCs w:val="21"/>
        </w:rPr>
        <w:t xml:space="preserve">Binary and one-hot encoded columns were left unscaled, as scaling provides no benefit there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2026-09-20T05:40:43.302Z</dcterms:created>
  <dcterms:modified xsi:type="dcterms:W3CDTF">2026-09-20T05:40:43.310Z</dcterms:modified>
</cp:coreProperties>
</file>

<file path=docProps/custom.xml><?xml version="1.0" encoding="utf-8"?>
<Properties xmlns="http://schemas.openxmlformats.org/officeDocument/2006/custom-properties" xmlns:vt="http://schemas.openxmlformats.org/officeDocument/2006/docPropsVTypes"/>
</file>