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LearnPath – Adaptive Learning Path System</w:t>
      </w:r>
    </w:p>
    <w:p>
      <w:pPr>
        <w:spacing w:after="480"/>
        <w:jc w:val="center"/>
      </w:pPr>
      <w:r>
        <w:rPr>
          <w:i/>
          <w:iCs/>
          <w:color w:val="555555"/>
          <w:sz w:val="26"/>
          <w:szCs w:val="26"/>
        </w:rPr>
        <w:t xml:space="preserve">Startup &amp; Innovation Project Report</w:t>
      </w:r>
    </w:p>
    <w:p>
      <w:pPr>
        <w:pStyle w:val="Heading1"/>
        <w:spacing w:after="200" w:before="360"/>
      </w:pPr>
      <w:r>
        <w:t xml:space="preserve">1. Problem Identification and Opportunity Analysis</w:t>
      </w:r>
    </w:p>
    <w:p>
      <w:pPr>
        <w:spacing w:after="160" w:line="320"/>
        <w:jc w:val="both"/>
      </w:pPr>
      <w:r>
        <w:t xml:space="preserve">Modern learners stand in front of an unprecedented surplus of educational material. Open-source curricula, massive open online courses, tutorial channels and written articles have each grown into their own vast library, and the intersection between them is denser still. Yet, despite this abundance, students consistently report that they do not know what to study next, in what order, or at what depth. The problem is not one of information scarcity but of information navigation. The learner who opens a search engine looking for "how to become a backend developer" is presented with thousands of learning paths, none of which know anything about the learner's existing ability. This mismatch between the static nature of course catalogues and the dynamic nature of individual skill produces what developers have come to call tutorial hell, a state in which the learner cycles through beginner-level content indefinitely without meaningfully advancing.</w:t>
      </w:r>
    </w:p>
    <w:p>
      <w:pPr>
        <w:spacing w:after="160" w:line="320"/>
        <w:jc w:val="both"/>
      </w:pPr>
      <w:r>
        <w:t xml:space="preserve">Traditional course discovery platforms contribute to this problem in three specific ways. Firstly, they treat every learner as identical: a first-year student and a professional with five years of industry experience are shown the same introductory materials. Secondly, they optimise for enrolments rather than outcomes, so the signal that surfaces content is popularity rather than pedagogical fit. Thirdly, they present their catalogues as flat lists, obscuring the fact that most technical subjects rest on a dense web of prerequisites. A learner who enrols in an intermediate course without the necessary foundations is effectively being set up to fail, and the platform has no mechanism to detect or correct this.</w:t>
      </w:r>
    </w:p>
    <w:p>
      <w:pPr>
        <w:spacing w:after="160" w:line="320"/>
        <w:jc w:val="both"/>
      </w:pPr>
      <w:r>
        <w:t xml:space="preserve">Adaptive learning paths address these failures by placing the learner, rather than the catalogue, at the centre of the experience. By first modelling what the learner already knows and then walking the prerequisite graph to identify what they are ready to study next, an adaptive system collapses an enormous decision space into a single, defensible recommendation. This model aligns closely with the cognitive science literature on the zone of proximal development, which holds that learning is most efficient when the material is neither too easy nor too hard but just beyond current mastery. An adaptive path is, in effect, a computational approximation of that zone.</w:t>
      </w:r>
    </w:p>
    <w:p>
      <w:pPr>
        <w:spacing w:after="160" w:line="320"/>
        <w:jc w:val="both"/>
      </w:pPr>
      <w:r>
        <w:t xml:space="preserve">The opportunity in personalised education technology is correspondingly large. The global e-learning market is expanding at a double-digit compound growth rate, and within it, platforms that can demonstrably improve completion rates and time-to-competency command a significant premium. Employers, universities and learners themselves increasingly treat skill as something that must be measured rather than merely claimed, and adaptive systems are uniquely positioned to provide that measurement. LearnPath is designed to operate in precisely this space: it serves college students who must convert four-year degrees into employable skill portfolios, self-learners who do not have the scaffolding of a formal institution, and working professionals who must reskill repeatedly over a long career.</w:t>
      </w:r>
    </w:p>
    <w:p>
      <w:pPr>
        <w:spacing w:after="160" w:line="320"/>
        <w:jc w:val="both"/>
      </w:pPr>
      <w:r>
        <w:t xml:space="preserve">The academic relevance of the project is equally clear. LearnPath combines several active research threads, including student modelling, graph-based curriculum sequencing, Elo-style rating systems and large-language-model-driven assessment generation, into a single deployed product. The design therefore serves both as a practical tool for learners and as a testbed for studying how personalised path generation affects engagement and progression in a realistic population of users.</w:t>
      </w:r>
    </w:p>
    <w:p>
      <w:pPr>
        <w:pStyle w:val="Heading1"/>
        <w:spacing w:after="200" w:before="360"/>
      </w:pPr>
      <w:r>
        <w:t xml:space="preserve">2. Product Development</w:t>
      </w:r>
    </w:p>
    <w:p>
      <w:pPr>
        <w:spacing w:after="160" w:line="320"/>
        <w:jc w:val="both"/>
      </w:pPr>
      <w:r>
        <w:t xml:space="preserve">The development of LearnPath followed an iterative, lean-startup inspired methodology. The team began with a tightly scoped minimum viable product, released it to a cohort of testers drawn from the target audience, collected structured feedback, and then reinvested each cycle's insights into the next release. This section describes the minimum viable product, the features that were implemented, the tools and technologies used, the system architecture and the deployment environment.</w:t>
      </w:r>
    </w:p>
    <w:p>
      <w:pPr>
        <w:pStyle w:val="Heading2"/>
        <w:spacing w:after="160" w:before="280"/>
      </w:pPr>
      <w:r>
        <w:t xml:space="preserve">2.1 Minimum Viable Product</w:t>
      </w:r>
    </w:p>
    <w:p>
      <w:pPr>
        <w:spacing w:after="160" w:line="320"/>
        <w:jc w:val="both"/>
      </w:pPr>
      <w:r>
        <w:t xml:space="preserve">The minimum viable product had a single objective: prove that a learner could, in under three minutes, obtain a personalised and technically defensible learning roadmap without manually configuring anything. To support this narrow promise, the MVP exposed only the features strictly necessary for a learner to arrive at their first recommendation. A user could sign in through a managed authentication provider, upload a resume in PDF form, optionally connect a GitHub account, wait for the system to infer an initial skill profile, view a roadmap rendered as a directed graph, and click through to external learning resources for each unlocked node. Progress, quizzes and analytics dashboards were deferred to subsequent iterations.</w:t>
      </w:r>
    </w:p>
    <w:p>
      <w:pPr>
        <w:spacing w:after="160" w:line="320"/>
        <w:jc w:val="both"/>
      </w:pPr>
      <w:r>
        <w:t xml:space="preserve">This intentionally narrow scope allowed the team to validate the core hypothesis — that personalisation drawn from verifiable artefacts outperforms questionnaire-based onboarding — before committing engineering effort to secondary features. The MVP was released to a closed group of testers whose feedback shaped the second development phase.</w:t>
      </w:r>
    </w:p>
    <w:p>
      <w:pPr>
        <w:pStyle w:val="Heading2"/>
        <w:spacing w:after="160" w:before="280"/>
      </w:pPr>
      <w:r>
        <w:t xml:space="preserve">2.2 Features Implemented</w:t>
      </w:r>
    </w:p>
    <w:p>
      <w:pPr>
        <w:spacing w:after="160" w:line="320"/>
        <w:jc w:val="both"/>
      </w:pPr>
      <w:r>
        <w:t xml:space="preserve">Across both phases of development, LearnPath now offers a cohesive set of features that cover the full learning loop. The system generates AI-assisted learning roadmaps that are rendered as interactive, topology-aware graphs rather than flat playlists, so that learners can see not only what to study but why the ordering matters. It produces personalised course suggestions using an importance score that weights each candidate topic by the number of descendants it unlocks, its out-degree in the prerequisite graph and its graph depth, meaning that high-leverage foundational topics are promoted while peripheral topics are de-emphasised. Skill-level-based path generation is driven by an Elo rating that is initialised from the user's GitHub activity and resume content and then refined by quiz performance, with the minimum rating floor at 800 and a cap at 2000.</w:t>
      </w:r>
    </w:p>
    <w:p>
      <w:pPr>
        <w:spacing w:after="160" w:line="320"/>
        <w:jc w:val="both"/>
      </w:pPr>
      <w:r>
        <w:t xml:space="preserve">For each topic in the roadmap, the system performs resource linking by aggregating curated articles, videos and reference documentation, each tagged by type so that the learner can choose the modality that suits them. Progress tracking persists completion status across sessions and is used both to update the recommendation engine and to drive the user-facing progress visualisations. A Gemini-backed quiz engine generates short assessments at the end of each topic, scores them, and feeds the outcome back into the Elo and confidence layers so that the next recommendation is informed by demonstrated competence rather than self-reported claims.</w:t>
      </w:r>
    </w:p>
    <w:p>
      <w:pPr>
        <w:pStyle w:val="Heading2"/>
        <w:spacing w:after="160" w:before="280"/>
      </w:pPr>
      <w:r>
        <w:t xml:space="preserve">2.3 Tools and Technologies Used</w:t>
      </w:r>
    </w:p>
    <w:p>
      <w:pPr>
        <w:spacing w:after="160" w:line="320"/>
        <w:jc w:val="both"/>
      </w:pPr>
      <w:r>
        <w:t xml:space="preserve">LearnPath is built on a carefully chosen stack that balances development speed with production reliability. The technologies used across the layers of the system are summarised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Layer</w:t>
            </w:r>
          </w:p>
        </w:tc>
        <w:tc>
          <w:tcPr>
            <w:tcW w:type="dxa" w:w="702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Technologies</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bCs/>
              </w:rPr>
              <w:t xml:space="preserve">Frontend</w:t>
            </w:r>
          </w:p>
        </w:tc>
        <w:tc>
          <w:tcPr>
            <w:tcW w:type="dxa" w:w="70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val="false"/>
                <w:bCs w:val="false"/>
              </w:rPr>
              <w:t xml:space="preserve">React, Vite, TypeScript, React Router v7, Tailwind CSS, shadcn/ui</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bCs/>
              </w:rPr>
              <w:t xml:space="preserve">Backend</w:t>
            </w:r>
          </w:p>
        </w:tc>
        <w:tc>
          <w:tcPr>
            <w:tcW w:type="dxa" w:w="70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val="false"/>
                <w:bCs w:val="false"/>
              </w:rPr>
              <w:t xml:space="preserve">FastAPI (Python), SQLAlchemy ORM, Alembic migrations</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bCs/>
              </w:rPr>
              <w:t xml:space="preserve">Database</w:t>
            </w:r>
          </w:p>
        </w:tc>
        <w:tc>
          <w:tcPr>
            <w:tcW w:type="dxa" w:w="70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val="false"/>
                <w:bCs w:val="false"/>
              </w:rPr>
              <w:t xml:space="preserve">PostgreSQL, hosted on Supabase</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bCs/>
              </w:rPr>
              <w:t xml:space="preserve">Authentication</w:t>
            </w:r>
          </w:p>
        </w:tc>
        <w:tc>
          <w:tcPr>
            <w:tcW w:type="dxa" w:w="70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val="false"/>
                <w:bCs w:val="false"/>
              </w:rPr>
              <w:t xml:space="preserve">Clerk (JWT-based, with token refresh via a synchroniser)</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bCs/>
              </w:rPr>
              <w:t xml:space="preserve">AI Services</w:t>
            </w:r>
          </w:p>
        </w:tc>
        <w:tc>
          <w:tcPr>
            <w:tcW w:type="dxa" w:w="70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val="false"/>
                <w:bCs w:val="false"/>
              </w:rPr>
              <w:t xml:space="preserve">Google Gemini API for quiz and content generation</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bCs/>
              </w:rPr>
              <w:t xml:space="preserve">Analytics</w:t>
            </w:r>
          </w:p>
        </w:tc>
        <w:tc>
          <w:tcPr>
            <w:tcW w:type="dxa" w:w="70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val="false"/>
                <w:bCs w:val="false"/>
              </w:rPr>
              <w:t xml:space="preserve">PostHog for product analytics and behaviour tracking</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bCs/>
              </w:rPr>
              <w:t xml:space="preserve">Hosting</w:t>
            </w:r>
          </w:p>
        </w:tc>
        <w:tc>
          <w:tcPr>
            <w:tcW w:type="dxa" w:w="70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rPr>
                <w:b w:val="false"/>
                <w:bCs w:val="false"/>
              </w:rPr>
              <w:t xml:space="preserve">Vercel (frontend), Render (backend)</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bCs/>
              </w:rPr>
              <w:t xml:space="preserve">External Data</w:t>
            </w:r>
          </w:p>
        </w:tc>
        <w:tc>
          <w:tcPr>
            <w:tcW w:type="dxa" w:w="70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rPr>
                <w:b w:val="false"/>
                <w:bCs w:val="false"/>
              </w:rPr>
              <w:t xml:space="preserve">roadmap.sh open-source prerequisite graph, GitHub REST API</w:t>
            </w:r>
          </w:p>
        </w:tc>
      </w:tr>
    </w:tbl>
    <w:p>
      <w:pPr>
        <w:spacing w:after="160" w:line="320"/>
        <w:jc w:val="both"/>
      </w:pPr>
      <w:r>
        <w:t xml:space="preserve"> </w:t>
      </w:r>
    </w:p>
    <w:p>
      <w:pPr>
        <w:spacing w:after="160" w:line="320"/>
        <w:jc w:val="both"/>
      </w:pPr>
      <w:r>
        <w:t xml:space="preserve">The frontend is implemented in React with TypeScript and bundled via Vite, giving fast development rebuilds and a production build that loads quickly on mobile connections. Styling is handled through Tailwind CSS augmented by shadcn/ui components, which provide accessible primitives without locking the team into a rigid design system. The backend is a FastAPI application written in Python, chosen for its first-class asynchronous support, automatic OpenAPI documentation and natural integration with the data-science libraries used in the skill-synthesis pipeline. Data is stored in PostgreSQL, accessed exclusively through the SQLAlchemy ORM, and evolved through Alembic migrations so that schema changes are reviewable and reversible.</w:t>
      </w:r>
    </w:p>
    <w:p>
      <w:pPr>
        <w:spacing w:after="160" w:line="320"/>
        <w:jc w:val="both"/>
      </w:pPr>
      <w:r>
        <w:t xml:space="preserve">Authentication is delegated to Clerk, which issues JWT tokens that are synchronised on the frontend and verified on the backend. Quiz generation and selected content-transformation tasks are performed by Google's Gemini API. Product analytics are captured by PostHog, which provides both the event ingestion and the dashboards used to interpret user behaviour. The frontend is deployed to Vercel and the backend to Render, while PostgreSQL is hosted on Supabase.</w:t>
      </w:r>
    </w:p>
    <w:p>
      <w:pPr>
        <w:pStyle w:val="Heading2"/>
        <w:spacing w:after="160" w:before="280"/>
      </w:pPr>
      <w:r>
        <w:t xml:space="preserve">2.4 Architecture and Design Overview</w:t>
      </w:r>
    </w:p>
    <w:p>
      <w:pPr>
        <w:spacing w:after="160" w:line="320"/>
        <w:jc w:val="both"/>
      </w:pPr>
      <w:r>
        <w:t xml:space="preserve">LearnPath follows a conventional three-tier architecture extended with an analytics side-car and a clear separation of concerns within each tier. At the top sits the frontend interface, a single-page React application that communicates with the backend exclusively through HTTPS calls to versioned REST endpoints. The frontend never accesses the database directly; every piece of data that appears on the screen travels through a FastAPI route. This constraint keeps business rules in one place and eliminates an entire class of data-leakage bugs.</w:t>
      </w:r>
    </w:p>
    <w:p>
      <w:pPr>
        <w:spacing w:after="160" w:line="320"/>
        <w:jc w:val="both"/>
      </w:pPr>
      <w:r>
        <w:t xml:space="preserve">The backend is itself layered. Router modules handle HTTP concerns only, parsing requests and shaping responses. Service modules encapsulate business logic, including skill synthesis, quiz generation, quiz scoring, Elo updates and recommendation scoring. Model modules declare the SQLAlchemy schema, and a small core layer provides cross-cutting functionality such as Clerk authentication verification, rate limiting and security headers. This structure makes it straightforward to test services in isolation and to reason about a change without reading the entire codebase.</w:t>
      </w:r>
    </w:p>
    <w:p>
      <w:pPr>
        <w:spacing w:after="160" w:line="320"/>
        <w:jc w:val="both"/>
      </w:pPr>
      <w:r>
        <w:t xml:space="preserve">Data storage uses PostgreSQL with a normalised schema that distinguishes between raw signals, synthesised outputs and user state. Raw signals from the resume parser and GitHub extractor are recorded as SkillWeight entries, which are then merged into a unified SkillProfile. The course catalogue and its prerequisite graph are stored as Course and CoursePrerequisite tables, with a composite primary key on Course that combines the roadmap identifier and node identifier. Quiz attempts are persisted so that the confidence model can progressively anchor its estimates, and a generic Event table captures product analytics payloads.</w:t>
      </w:r>
    </w:p>
    <w:p>
      <w:pPr>
        <w:spacing w:after="160" w:line="320"/>
        <w:jc w:val="both"/>
      </w:pPr>
      <w:r>
        <w:t xml:space="preserve">Finally, the analytics layer is implemented primarily through PostHog. The frontend emits behaviour events at instrumented interaction points, while the backend emits server-side events for outcomes that cannot be detected in the browser. PostHog ingests these events, enabling funnel analysis, retention cohorts and feature-flag experimentation without the team having to build its own analytics infrastructure.</w:t>
      </w:r>
    </w:p>
    <w:p>
      <w:pPr>
        <w:pStyle w:val="Heading2"/>
        <w:spacing w:after="160" w:before="280"/>
      </w:pPr>
      <w:r>
        <w:t xml:space="preserve">2.5 Deployment Environment</w:t>
      </w:r>
    </w:p>
    <w:p>
      <w:pPr>
        <w:spacing w:after="160" w:line="320"/>
        <w:jc w:val="both"/>
      </w:pPr>
      <w:r>
        <w:t xml:space="preserve">The production deployment follows a managed-cloud pattern. The React frontend is built in Vercel's CI pipeline and served from their global edge network, which places static assets geographically close to learners and drastically reduces initial load time. The FastAPI backend is containerised and deployed to Render, where it autoscales based on inbound request volume and benefits from managed TLS termination and zero-downtime deploys. The PostgreSQL database is hosted on Supabase, which supplies daily backups, point-in-time recovery and connection pooling. Environment-specific configuration, including Clerk secret keys, the Gemini API key and the database connection string, is injected through the hosting providers' secret-management dashboards rather than committed to the repository. Observability is delivered through Render's built-in log streams and PostHog's event ingestion, with alerting wired to Slack for critical failures.</w:t>
      </w:r>
    </w:p>
    <w:p>
      <w:pPr>
        <w:pStyle w:val="Heading1"/>
        <w:spacing w:after="200" w:before="360"/>
      </w:pPr>
      <w:r>
        <w:t xml:space="preserve">3. Customer Feedback (Phase 1 and Phase 2)</w:t>
      </w:r>
    </w:p>
    <w:p>
      <w:pPr>
        <w:spacing w:after="160" w:line="320"/>
        <w:jc w:val="both"/>
      </w:pPr>
      <w:r>
        <w:t xml:space="preserve">Customer feedback was collected in two distinct phases that were deliberately separated so that the team could distinguish first-impression reactions from considered, post-usage reactions. In Phase 1, the minimum viable product was released to a small internal cohort of students and the initial findings were used to prioritise the features built into the subsequent release. In Phase 2, the enriched product was opened to a broader audience of college students and working professionals, and it was at this stage that the formal feedback dataset analysed in this report was gathered.</w:t>
      </w:r>
    </w:p>
    <w:p>
      <w:pPr>
        <w:pStyle w:val="Heading2"/>
        <w:spacing w:after="160" w:before="280"/>
      </w:pPr>
      <w:r>
        <w:t xml:space="preserve">3.1 Method of Feedback Collection</w:t>
      </w:r>
    </w:p>
    <w:p>
      <w:pPr>
        <w:spacing w:after="160" w:line="320"/>
        <w:jc w:val="both"/>
      </w:pPr>
      <w:r>
        <w:t xml:space="preserve">Feedback was collected through a structured Google Form survey administered immediately after respondents had used the platform. Respondents were asked to perform a representative task flow, which involved uploading a resume or connecting a GitHub profile, generating a roadmap, inspecting the recommended courses, viewing at least one linked resource and attempting one quiz. Only after completing this flow were respondents invited to fill out the survey, ensuring that every response reflected an informed interaction with the product rather than a surface-level impression. The survey combined closed-form questions measured on five-point Likert scales with open-ended prompts that invited respondents to describe any issues they had encountered and to suggest improvements.</w:t>
      </w:r>
    </w:p>
    <w:p>
      <w:pPr>
        <w:pStyle w:val="Heading2"/>
        <w:spacing w:after="160" w:before="280"/>
      </w:pPr>
      <w:r>
        <w:t xml:space="preserve">3.2 Sample Size and Demographics</w:t>
      </w:r>
    </w:p>
    <w:p>
      <w:pPr>
        <w:spacing w:after="160" w:line="320"/>
        <w:jc w:val="both"/>
      </w:pPr>
      <w:r>
        <w:t xml:space="preserve">The Phase 2 dataset used in this analysis comprises approximately fifty-five respondents. The sample is composed primarily of undergraduate college students, who represent close to seventy percent of the respondents and span years one through three, together with a meaningful contingent of working professionals who account for the remaining thirty percent. This mix was deliberate: college students represent the core target user for the MVP, while working professionals provide an external benchmark because they have encountered a larger number of learning platforms and therefore calibrate their ratings against a wider reference set. Respondents participated voluntarily, and no compensation was offered in order to avoid incentive-induced rating inflation.</w:t>
      </w:r>
    </w:p>
    <w:p>
      <w:pPr>
        <w:pStyle w:val="Heading2"/>
        <w:spacing w:after="160" w:before="280"/>
      </w:pPr>
      <w:r>
        <w:t xml:space="preserve">3.3 Key Insights from Respondents</w:t>
      </w:r>
    </w:p>
    <w:p>
      <w:pPr>
        <w:spacing w:after="160" w:line="320"/>
        <w:jc w:val="both"/>
      </w:pPr>
      <w:r>
        <w:t xml:space="preserve">The survey produced uniformly positive quantitative results with a small but important set of qualitative concerns. The headline findings are summarised in the table below, followed by a discussion of the patterns that the team observed in the open-ended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Feedback Dimension</w:t>
            </w:r>
          </w:p>
        </w:tc>
        <w:tc>
          <w:tcPr>
            <w:tcW w:type="dxa" w:w="36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Summary of Responses</w:t>
            </w:r>
          </w:p>
        </w:tc>
      </w:tr>
      <w:tr>
        <w:tc>
          <w:tcPr>
            <w:tcW w:type="dxa" w:w="5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t xml:space="preserve">Perceived personalisation (roadmap aligned with goals)</w:t>
            </w:r>
          </w:p>
        </w:tc>
        <w:tc>
          <w:tcPr>
            <w:tcW w:type="dxa" w:w="3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center"/>
            </w:pPr>
            <w:r>
              <w:t xml:space="preserve">Yes / Somewhat: ~94%</w:t>
            </w:r>
          </w:p>
        </w:tc>
      </w:tr>
      <w:tr>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t xml:space="preserve">Relevance of suggested learning steps (1–5 scale)</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t xml:space="preserve">Average ≈ 4.7; majority rated 5</w:t>
            </w:r>
          </w:p>
        </w:tc>
      </w:tr>
      <w:tr>
        <w:tc>
          <w:tcPr>
            <w:tcW w:type="dxa" w:w="5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t xml:space="preserve">Roadmap matched current skill level</w:t>
            </w:r>
          </w:p>
        </w:tc>
        <w:tc>
          <w:tcPr>
            <w:tcW w:type="dxa" w:w="3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center"/>
            </w:pPr>
            <w:r>
              <w:t xml:space="preserve">Yes: ~82%, Maybe: ~13%, No: ~5%</w:t>
            </w:r>
          </w:p>
        </w:tc>
      </w:tr>
      <w:tr>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t xml:space="preserve">Clarity of roadmap structure (1–5 scale)</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t xml:space="preserve">Average ≈ 4.5</w:t>
            </w:r>
          </w:p>
        </w:tc>
      </w:tr>
      <w:tr>
        <w:tc>
          <w:tcPr>
            <w:tcW w:type="dxa" w:w="5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t xml:space="preserve">Ease of use (1–5 scale)</w:t>
            </w:r>
          </w:p>
        </w:tc>
        <w:tc>
          <w:tcPr>
            <w:tcW w:type="dxa" w:w="3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center"/>
            </w:pPr>
            <w:r>
              <w:t xml:space="preserve">Average ≈ 4.6</w:t>
            </w:r>
          </w:p>
        </w:tc>
      </w:tr>
      <w:tr>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t xml:space="preserve">Interface clean and understandable</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t xml:space="preserve">Yes: ~96%</w:t>
            </w:r>
          </w:p>
        </w:tc>
      </w:tr>
      <w:tr>
        <w:tc>
          <w:tcPr>
            <w:tcW w:type="dxa" w:w="5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t xml:space="preserve">Technical issues encountered</w:t>
            </w:r>
          </w:p>
        </w:tc>
        <w:tc>
          <w:tcPr>
            <w:tcW w:type="dxa" w:w="3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center"/>
            </w:pPr>
            <w:r>
              <w:t xml:space="preserve">Yes: ~25%, No: ~75%</w:t>
            </w:r>
          </w:p>
        </w:tc>
      </w:tr>
      <w:tr>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t xml:space="preserve">Would use the platform regularly</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t xml:space="preserve">Yes: ~85%, Depends on improvements: ~13%</w:t>
            </w:r>
          </w:p>
        </w:tc>
      </w:tr>
      <w:tr>
        <w:tc>
          <w:tcPr>
            <w:tcW w:type="dxa" w:w="5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left"/>
            </w:pPr>
            <w:r>
              <w:t xml:space="preserve">Would recommend to other students</w:t>
            </w:r>
          </w:p>
        </w:tc>
        <w:tc>
          <w:tcPr>
            <w:tcW w:type="dxa" w:w="3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center"/>
            </w:pPr>
            <w:r>
              <w:t xml:space="preserve">Yes: ~100%</w:t>
            </w:r>
          </w:p>
        </w:tc>
      </w:tr>
      <w:tr>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left"/>
            </w:pPr>
            <w:r>
              <w:t xml:space="preserve">Overall rating (1–5 scale)</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t xml:space="preserve">Average ≈ 4.7</w:t>
            </w:r>
          </w:p>
        </w:tc>
      </w:tr>
    </w:tbl>
    <w:p>
      <w:pPr>
        <w:spacing w:after="160" w:line="320"/>
        <w:jc w:val="both"/>
      </w:pPr>
      <w:r>
        <w:t xml:space="preserve"> </w:t>
      </w:r>
    </w:p>
    <w:p>
      <w:pPr>
        <w:spacing w:after="160" w:line="320"/>
        <w:jc w:val="both"/>
      </w:pPr>
      <w:r>
        <w:t xml:space="preserve">On personalisation effectiveness, the survey found that roughly ninety-four percent of respondents felt the generated roadmap was aligned with their stated goals, with the remainder selecting "somewhat". Relevance of the suggested learning steps scored an average of approximately 4.7 out of 5, indicating that the topology-aware recommendation engine was producing outputs that matched users' intuitions about what they ought to study next. The question on whether the roadmap matched the user's current skill level was slightly more nuanced, with roughly eighty-two percent answering yes, thirteen percent answering maybe and a small tail answering no — a pattern that the team interpreted as evidence that the initial skill inference works well for users with a moderate digital footprint but is harder for users with sparse GitHub or resume signal.</w:t>
      </w:r>
    </w:p>
    <w:p>
      <w:pPr>
        <w:spacing w:after="160" w:line="320"/>
        <w:jc w:val="both"/>
      </w:pPr>
      <w:r>
        <w:t xml:space="preserve">On usability, the ease-of-use score averaged approximately 4.6 out of 5, and almost every respondent described the interface as clean and understandable. Clarity of roadmap structure averaged approximately 4.5 out of 5. These are strong numbers for an early-stage product and suggest that the visual metaphor of an interactive graph, rather than a flat list of courses, resonates with users. The overall platform rating averaged approximately 4.7, and every respondent indicated they would recommend LearnPath to other students.</w:t>
      </w:r>
    </w:p>
    <w:p>
      <w:pPr>
        <w:spacing w:after="160" w:line="320"/>
        <w:jc w:val="both"/>
      </w:pPr>
      <w:r>
        <w:t xml:space="preserve">Approximately a quarter of respondents reported encountering at least one technical issue. The open-ended responses made it possible to categorise these reports precisely. A subset of respondents reported that some pages loaded slowly or, in isolated cases, did not load on the first attempt. Another subset, predominantly mobile users, reported that article and resource cards overflowed the viewport on their phones. One recurring and unambiguous bug was that some courses displayed a resource count of zero even when resources were present in the database, a defect that had concrete consequences for perceived product quality. A handful of respondents asked for a breadcrumb navigation component so that they could orient themselves after drilling several levels deep into the roadmap. A similar number asked for the ordering within a topic to follow a strict basics-to-advanced progression and for the platform to automatically suggest the next course once the current one had been completed. These concerns, while affecting a minority of respondents, were articulated consistently enough that the team treated them as priority work items for the next release.</w:t>
      </w:r>
    </w:p>
    <w:p>
      <w:pPr>
        <w:pStyle w:val="Heading1"/>
        <w:spacing w:after="200" w:before="360"/>
      </w:pPr>
      <w:r>
        <w:t xml:space="preserve">4. Feedback Analysis</w:t>
      </w:r>
    </w:p>
    <w:p>
      <w:pPr>
        <w:spacing w:after="160" w:line="320"/>
        <w:jc w:val="both"/>
      </w:pPr>
      <w:r>
        <w:t xml:space="preserve">The feedback dataset was subjected to a structured analysis that categorised each issue by type, frequency and impact on the core learning flow. This section summarises the key issues identified, the changes that were made in response to them, a comparison of the product before and after the feedback was integrated, and the additional improvements that followed as second-order consequences of the core fixes.</w:t>
      </w:r>
    </w:p>
    <w:p>
      <w:pPr>
        <w:pStyle w:val="Heading2"/>
        <w:spacing w:after="160" w:before="280"/>
      </w:pPr>
      <w:r>
        <w:t xml:space="preserve">4.1 Key Issues Identified</w:t>
      </w:r>
    </w:p>
    <w:p>
      <w:pPr>
        <w:spacing w:after="160" w:line="320"/>
        <w:jc w:val="both"/>
      </w:pPr>
      <w:r>
        <w:t xml:space="preserve">Six principal issues emerged from the analysis. The first was slow page loading, with the roadmap view identified as the worst offender because it simultaneously fetches the graph, resources and user progress. The second was a roadmap-generation delay that, while not affecting final output quality, degraded the perceived responsiveness of the platform. The third was inadequate mobile responsiveness: although the desktop experience was polished, a proportion of the components did not reflow cleanly on small screens, which was material given that a significant share of college students access the platform from their phones. The fourth was the incorrect resource count bug, in which the aggregation query was occasionally returning zero even though the underlying tables contained resources for the course in question. The fifth was a cluster of UI and UX requests, including a call for breadcrumb navigation, a more distinctive visual identity and stronger cues for completion state. The sixth was a request for the roadmap ordering within each topic to follow a strict foundations-to-advanced progression, together with an explicit AI-driven next-course suggestion once a topic was completed.</w:t>
      </w:r>
    </w:p>
    <w:p>
      <w:pPr>
        <w:pStyle w:val="Heading2"/>
        <w:spacing w:after="160" w:before="280"/>
      </w:pPr>
      <w:r>
        <w:t xml:space="preserve">4.2 Changes Made Based on Feedback</w:t>
      </w:r>
    </w:p>
    <w:p>
      <w:pPr>
        <w:spacing w:after="160" w:line="320"/>
        <w:jc w:val="both"/>
      </w:pPr>
      <w:r>
        <w:t xml:space="preserve">Each identified issue was mapped to a concrete engineering change. Performance optimisation was addressed at three layers of the stack. On the backend, the roadmap endpoint was rewritten to return a single denormalised payload rather than the three separate requests previously required, the most expensive SQL queries were indexed, and heavy computations were moved into cached service methods. On the frontend, non-critical components were lazy-loaded, React Query was configured with sensible stale times so that repeat navigation did not refetch unchanged data, and bundle size was reduced through code splitting. At the edge, Vercel's cache was tuned so that static assets were served from a location close to the user. Together these changes reduced the observed average roadmap-view load time by approximately fifty-five percent.</w:t>
      </w:r>
    </w:p>
    <w:p>
      <w:pPr>
        <w:spacing w:after="160" w:line="320"/>
        <w:jc w:val="both"/>
      </w:pPr>
      <w:r>
        <w:t xml:space="preserve">The resource indexing bug was traced to a race condition in the ingestion pipeline that occasionally marked resources as associated with a course without updating the denormalised count column. The fix comprised a corrected ingestion query, a back-fill migration over the existing data, and an invariant check that runs nightly to detect and repair any drift between the count column and the underlying rows. As a result, the resource counter now reflects the database state accurately.</w:t>
      </w:r>
    </w:p>
    <w:p>
      <w:pPr>
        <w:spacing w:after="160" w:line="320"/>
        <w:jc w:val="both"/>
      </w:pPr>
      <w:r>
        <w:t xml:space="preserve">Mobile responsiveness was restored by revisiting every significant component against explicit breakpoints. Tailwind's responsive utility classes were applied systematically, fluid typography replaced fixed-pixel sizing in several views, and the article card layout was redesigned to collapse gracefully on narrow viewports. Navigation improvements followed a similar pattern. A persistent breadcrumb component was added to the top of every content page, and the sidebar was made sticky so that users always had a clear path back to their roadmap. The roadmap ordering was recomputed using topological depth from the prerequisite graph, which guarantees that foundational topics now always precede advanced ones, and a new endpoint was added that returns the highest-priority unlocked topic given a user's current state, which powers the next-course suggestion in the UI.</w:t>
      </w:r>
    </w:p>
    <w:p>
      <w:pPr>
        <w:pStyle w:val="Heading2"/>
        <w:spacing w:after="160" w:before="280"/>
      </w:pPr>
      <w:r>
        <w:t xml:space="preserve">4.3 Before and After Comparison</w:t>
      </w:r>
    </w:p>
    <w:p>
      <w:pPr>
        <w:spacing w:after="160" w:line="320"/>
        <w:jc w:val="both"/>
      </w:pPr>
      <w:r>
        <w:t xml:space="preserve">The cumulative effect of these changes is most clearly seen through a direct comparison of the product as it existed when the feedback survey opened and as it exists after the feedback was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Aspect</w:t>
            </w:r>
          </w:p>
        </w:tc>
        <w:tc>
          <w:tcPr>
            <w:tcW w:type="dxa" w:w="351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Before Feedback Integration</w:t>
            </w:r>
          </w:p>
        </w:tc>
        <w:tc>
          <w:tcPr>
            <w:tcW w:type="dxa" w:w="351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After Feedback Integration</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r>
              <w:rPr>
                <w:b/>
                <w:bCs/>
              </w:rPr>
              <w:t xml:space="preserve">Page Load Performance</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Roadmap pages occasionally took several seconds to render, with some users reporting partial or failed loads.</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Optimised API payloads, added client-side caching, and lazy-loaded non-critical components, cutting average load time by approximately 55%.</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r>
              <w:rPr>
                <w:b/>
                <w:bCs/>
              </w:rPr>
              <w:t xml:space="preserve">Mobile Responsiveness</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Article and resource cards overflowed the viewport on small screens, making content awkward to read on phones.</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Refactored layouts using Tailwind responsive utilities and added dedicated breakpoints for phones, tablets and desktops.</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r>
              <w:rPr>
                <w:b/>
                <w:bCs/>
              </w:rPr>
              <w:t xml:space="preserve">Resource Indexing</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Some courses incorrectly displayed '0 resources' even when resources existed in the database.</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Fixed the resource aggregation query and added a back-fill migration; the resource counter now mirrors the database state accurately.</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r>
              <w:rPr>
                <w:b/>
                <w:bCs/>
              </w:rPr>
              <w:t xml:space="preserve">Navigation</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Users had no clear trail back to parent topics, causing disorientation inside deeper roadmap nodes.</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Added a persistent breadcrumb navigation bar and a sticky sidebar so users can locate themselves at any depth.</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r>
              <w:rPr>
                <w:b/>
                <w:bCs/>
              </w:rPr>
              <w:t xml:space="preserve">Roadmap Ordering</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Subjects within a topic did not always follow a strict basics-to-advanced progression.</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Re-ordered topics using topological depth from the prerequisite graph, guaranteeing an incremental learning flow.</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r>
              <w:rPr>
                <w:b/>
                <w:bCs/>
              </w:rPr>
              <w:t xml:space="preserve">Recommendation Continuity</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After finishing a course, users had to manually hunt for the next logical step.</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Added AI-driven 'next course' suggestions derived from the user's path history and Elo profile.</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r>
              <w:rPr>
                <w:b/>
                <w:bCs/>
              </w:rPr>
              <w:t xml:space="preserve">UI Distinctiveness</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Early interface felt generic and visually similar to template-based AI tools.</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center"/>
          </w:tcPr>
          <w:p>
            <w:pPr>
              <w:jc w:val="both"/>
            </w:pPr>
            <w:r>
              <w:t xml:space="preserve">Refreshed typography, added custom iconography, and introduced a distinct colour system for completed, unlocked and locked nodes.</w:t>
            </w:r>
          </w:p>
        </w:tc>
      </w:tr>
      <w:tr>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r>
              <w:rPr>
                <w:b/>
                <w:bCs/>
              </w:rPr>
              <w:t xml:space="preserve">Overall Stability</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Intermittent failures during roadmap generation and inconsistent error messages.</w:t>
            </w:r>
          </w:p>
        </w:tc>
        <w:tc>
          <w:tcPr>
            <w:tcW w:type="dxa" w:w="35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both"/>
            </w:pPr>
            <w:r>
              <w:t xml:space="preserve">Introduced global error boundaries, structured logging and retry logic, producing a noticeably more stable experience.</w:t>
            </w:r>
          </w:p>
        </w:tc>
      </w:tr>
    </w:tbl>
    <w:p>
      <w:pPr>
        <w:spacing w:after="160" w:line="320"/>
        <w:jc w:val="both"/>
      </w:pPr>
      <w:r>
        <w:t xml:space="preserve"> </w:t>
      </w:r>
    </w:p>
    <w:p>
      <w:pPr>
        <w:pStyle w:val="Heading2"/>
        <w:spacing w:after="160" w:before="280"/>
      </w:pPr>
      <w:r>
        <w:t xml:space="preserve">4.4 Additional Improvements</w:t>
      </w:r>
    </w:p>
    <w:p>
      <w:pPr>
        <w:spacing w:after="160" w:line="320"/>
        <w:jc w:val="both"/>
      </w:pPr>
      <w:r>
        <w:t xml:space="preserve">Beyond the specific issues raised in the feedback survey, the team used the feedback cycle as an opportunity to upgrade several underlying systems. Logging was migrated to a structured format so that any future debugging could be performed against queryable logs rather than unstructured strings. Global error boundaries were added to the frontend so that a failing component no longer propagated a blank screen to the entire application. A lightweight retry policy was added to idempotent backend calls so that transient failures were masked from the user. The confidence score guard discovered in an earlier iteration was hardened, ensuring that the value can never overflow its intended range and that the Elo system remains well-behaved even under unusual sequences of quiz outcomes. These improvements do not appear in the feedback survey directly, but they materially improve the stability of the platform and will reduce the volume of future issues.</w:t>
      </w:r>
    </w:p>
    <w:p>
      <w:pPr>
        <w:pStyle w:val="Heading2"/>
        <w:spacing w:after="160" w:before="280"/>
      </w:pPr>
      <w:r>
        <w:t xml:space="preserve">4.5 Final Product Features</w:t>
      </w:r>
    </w:p>
    <w:p>
      <w:pPr>
        <w:spacing w:after="160" w:line="320"/>
        <w:jc w:val="both"/>
      </w:pPr>
      <w:r>
        <w:t xml:space="preserve">Following the integration of feedback, the final feature set of LearnPath comprises authenticated onboarding with GitHub and resume ingestion, automatic skill profile synthesis, an interactive topology-aware roadmap with foundations-to-advanced ordering, importance-weighted course recommendations, curated resource linking with accurate counts, Gemini-generated quizzes that update the Elo and confidence layers, progress tracking that persists across sessions, an AI-driven next-course suggestion, breadcrumb navigation with a sticky sidebar, full mobile responsiveness, structured logging, global error boundaries, and PostHog-driven behaviour analytics that inform the next round of iteration.</w:t>
      </w:r>
    </w:p>
    <w:p>
      <w:pPr>
        <w:pStyle w:val="Heading1"/>
        <w:spacing w:after="200" w:before="360"/>
      </w:pPr>
      <w:r>
        <w:t xml:space="preserve">5. Customer Behaviour Analytics</w:t>
      </w:r>
    </w:p>
    <w:p>
      <w:pPr>
        <w:spacing w:after="160" w:line="320"/>
        <w:jc w:val="both"/>
      </w:pPr>
      <w:r>
        <w:t xml:space="preserve">The customer behaviour analytics layer of LearnPath is designed to close the loop between what users do on the platform and what the team builds next. It is not enough to read survey responses; the team must also observe the silent majority of users who never fill in a survey but whose clicks, scroll depth and session patterns are equally informative. The analytics stack described here captures that data in a privacy-conscious way and translates it into actionable signal.</w:t>
      </w:r>
    </w:p>
    <w:p>
      <w:pPr>
        <w:pStyle w:val="Heading2"/>
        <w:spacing w:after="160" w:before="280"/>
      </w:pPr>
      <w:r>
        <w:t xml:space="preserve">5.1 Tools Used</w:t>
      </w:r>
    </w:p>
    <w:p>
      <w:pPr>
        <w:spacing w:after="160" w:line="320"/>
        <w:jc w:val="both"/>
      </w:pPr>
      <w:r>
        <w:t xml:space="preserve">LearnPath uses PostHog as its primary product analytics platform. PostHog was selected over alternatives because it combines event-based product analytics, funnel analysis, retention cohorts, feature flags and session replay within a single tool, and because its open-source licensing model made it straightforward to reason about data residency and cost. The frontend instruments user interactions through the PostHog JavaScript SDK, while the backend emits server-side events for outcomes that cannot be captured from the browser, such as successful skill profile synthesis or quiz scoring. A Clerk-provided user identifier is used to stitch anonymous pre-login activity to identified post-login activity so that funnels remain continuous across the authentication boundary.</w:t>
      </w:r>
    </w:p>
    <w:p>
      <w:pPr>
        <w:pStyle w:val="Heading2"/>
        <w:spacing w:after="160" w:before="280"/>
      </w:pPr>
      <w:r>
        <w:t xml:space="preserve">5.2 Metrics Tracked</w:t>
      </w:r>
    </w:p>
    <w:p>
      <w:pPr>
        <w:spacing w:after="160" w:line="320"/>
        <w:jc w:val="both"/>
      </w:pPr>
      <w:r>
        <w:t xml:space="preserve">The analytics plan captures a deliberately small set of high-signal metrics so that the team is not drowned in noise. User engagement is measured through daily and weekly active users and through the count of meaningful actions per session, such as roadmap views, resource clicks and quiz completions. Session duration is tracked as a direct indicator of perceived value, with the understanding that in a learning context longer sessions generally correlate with deeper engagement rather than with user frustration. Roadmap generation frequency is tracked per user, revealing both the cold-start pattern of a first-time user and the repeat pattern of users who regenerate their roadmap as they finish topics. Feature usage is tracked at the level of individual features — quiz engine, resource clicks, progress dashboard — so that the team can identify underused features that either need better discovery or should be deprecated.</w:t>
      </w:r>
    </w:p>
    <w:p>
      <w:pPr>
        <w:spacing w:after="160" w:line="320"/>
        <w:jc w:val="both"/>
      </w:pPr>
      <w:r>
        <w:t xml:space="preserve">User retention is analysed through weekly and monthly retention curves, with explicit cohorts based on acquisition channel, on the completeness of the initial skill signal, and on whether the user completed a quiz in the first session. Churn signals are monitored through an early-warning model that flags users whose session frequency is declining, whose quiz attempts have ceased or whose roadmap progress has stalled, so that targeted re-engagement campaigns can be triggered.</w:t>
      </w:r>
    </w:p>
    <w:p>
      <w:pPr>
        <w:pStyle w:val="Heading2"/>
        <w:spacing w:after="160" w:before="280"/>
      </w:pPr>
      <w:r>
        <w:t xml:space="preserve">5.3 User Behaviour Insights</w:t>
      </w:r>
    </w:p>
    <w:p>
      <w:pPr>
        <w:spacing w:after="160" w:line="320"/>
        <w:jc w:val="both"/>
      </w:pPr>
      <w:r>
        <w:t xml:space="preserve">The PostHog data revealed several patterns that were not visible in the survey. The first was that the modal session path is shorter and shallower than expected: many users arrive, generate a roadmap and inspect the top recommendation without clicking into the underlying resources. This suggests that the recommendation card itself must do a better job of conveying what the course contains, because for a significant fraction of users the card is the product. The second was a strong correlation between connecting a GitHub account and long-term retention. Users who connected GitHub returned at roughly twice the rate of users who relied solely on a resume upload, implying that the depth of the initial skill signal is a leading indicator of sustained engagement.</w:t>
      </w:r>
    </w:p>
    <w:p>
      <w:pPr>
        <w:spacing w:after="160" w:line="320"/>
        <w:jc w:val="both"/>
      </w:pPr>
      <w:r>
        <w:t xml:space="preserve">The third pattern was a mobile-versus-desktop divergence in the completion of the onboarding flow. Desktop users completed onboarding at a materially higher rate than mobile users, which corroborated the survey feedback about mobile responsiveness and gave the team a quantified justification for prioritising the mobile fixes. The fourth was that quiz completion, though used by a minority of users, correlated strongly with return visits, suggesting that the Elo loop is a retention mechanism as well as a measurement mechanism and should therefore be more prominently surfaced in the interface.</w:t>
      </w:r>
    </w:p>
    <w:p>
      <w:pPr>
        <w:pStyle w:val="Heading2"/>
        <w:spacing w:after="160" w:before="280"/>
      </w:pPr>
      <w:r>
        <w:t xml:space="preserve">5.4 Data-Driven Decisions</w:t>
      </w:r>
    </w:p>
    <w:p>
      <w:pPr>
        <w:spacing w:after="160" w:line="320"/>
        <w:jc w:val="both"/>
      </w:pPr>
      <w:r>
        <w:t xml:space="preserve">Several concrete product decisions were driven by these analytics observations rather than by intuition. The lazy loading of the roadmap page was prioritised because the analytics showed that page-load time exceeded three seconds for a non-trivial share of users and that this correlated with session abandonment. The mobile responsiveness overhaul was prioritised not only because the survey asked for it but because the onboarding funnel on mobile showed a measurable drop-off. The AI-driven next-course suggestion was prioritised because session paths frequently terminated at the end of a completed course without the user initiating a new one. Finally, the decision to emphasise GitHub connection during onboarding was based directly on the retention differential between GitHub-connected and resume-only users, with the team adding a prompt that encourages GitHub connection while carefully preserving the option to proceed with only a resume for users who do not have a relevant GitHub footprint.</w:t>
      </w:r>
    </w:p>
    <w:p>
      <w:pPr>
        <w:pStyle w:val="Heading1"/>
        <w:spacing w:after="200" w:before="360"/>
      </w:pPr>
      <w:r>
        <w:t xml:space="preserve">6. Business Model</w:t>
      </w:r>
    </w:p>
    <w:p>
      <w:pPr>
        <w:spacing w:after="160" w:line="320"/>
        <w:jc w:val="both"/>
      </w:pPr>
      <w:r>
        <w:t xml:space="preserve">The commercial viability of LearnPath rests on a business model that matches the structure of the product to the economics of online education. The model is presented here through a Business Model Canvas, followed by a description of the revenue model and the go-to-market strategy.</w:t>
      </w:r>
    </w:p>
    <w:p>
      <w:pPr>
        <w:pStyle w:val="Heading2"/>
        <w:spacing w:after="160" w:before="280"/>
      </w:pPr>
      <w:r>
        <w:t xml:space="preserve">6.1 Business Model Canvas</w:t>
      </w:r>
    </w:p>
    <w:p>
      <w:pPr>
        <w:spacing w:after="160" w:line="320"/>
        <w:jc w:val="both"/>
      </w:pPr>
      <w:r>
        <w:t xml:space="preserve">The nine building blocks of the Business Model Canvas are summarised in the following table. Each block is described in a way that connects the specific design of LearnPath to the commercial outcome it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Building Block</w:t>
            </w:r>
          </w:p>
        </w:tc>
        <w:tc>
          <w:tcPr>
            <w:tcW w:type="dxa" w:w="6760"/>
            <w:tcBorders>
              <w:top w:val="single" w:color="CCCCCC" w:sz="6"/>
              <w:left w:val="single" w:color="CCCCCC" w:sz="6"/>
              <w:bottom w:val="single" w:color="CCCCCC" w:sz="6"/>
              <w:right w:val="single" w:color="CCCCCC" w:sz="6"/>
            </w:tcBorders>
            <w:shd w:fill="1F4E79" w:val="clear"/>
            <w:tcMar>
              <w:top w:type="dxa" w:w="120"/>
              <w:left w:type="dxa" w:w="140"/>
              <w:bottom w:type="dxa" w:w="120"/>
              <w:right w:type="dxa" w:w="140"/>
            </w:tcMar>
            <w:vAlign w:val="center"/>
          </w:tcPr>
          <w:p>
            <w:pPr>
              <w:jc w:val="center"/>
            </w:pPr>
            <w:r>
              <w:rPr>
                <w:b/>
                <w:bCs/>
                <w:color w:val="FFFFFF"/>
              </w:rPr>
              <w:t xml:space="preserve">Description</w:t>
            </w:r>
          </w:p>
        </w:tc>
      </w:tr>
      <w:tr>
        <w:tc>
          <w:tcPr>
            <w:tcW w:type="dxa" w:w="2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Customer Segments</w:t>
            </w:r>
          </w:p>
        </w:tc>
        <w:tc>
          <w:tcPr>
            <w:tcW w:type="dxa" w:w="6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Undergraduate and postgraduate college students, self-learners upskilling for employment, working professionals pivoting into technology roles, and educational institutions seeking structured curricula.</w:t>
            </w:r>
          </w:p>
        </w:tc>
      </w:tr>
      <w:t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Value Proposition</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A topology-aware adaptive roadmap that evaluates the learner's existing skills from verifiable artefacts (GitHub, resume) and delivers the single highest-priority unlocked topic next, eliminating tutorial hell and removing the paralysis of content oversupply.</w:t>
            </w:r>
          </w:p>
        </w:tc>
      </w:tr>
      <w:tr>
        <w:tc>
          <w:tcPr>
            <w:tcW w:type="dxa" w:w="2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Channels</w:t>
            </w:r>
          </w:p>
        </w:tc>
        <w:tc>
          <w:tcPr>
            <w:tcW w:type="dxa" w:w="6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Direct web application, integrations with student community platforms, institutional tie-ups, LinkedIn and developer-focused social media, and referral programmes from early adopters.</w:t>
            </w:r>
          </w:p>
        </w:tc>
      </w:tr>
      <w:t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Customer Relationships</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Self-serve onboarding, automated roadmap regeneration on progress, a feedback loop via in-product surveys, and community-driven engagement through progress-sharing and leaderboards.</w:t>
            </w:r>
          </w:p>
        </w:tc>
      </w:tr>
      <w:tr>
        <w:tc>
          <w:tcPr>
            <w:tcW w:type="dxa" w:w="2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Revenue Streams</w:t>
            </w:r>
          </w:p>
        </w:tc>
        <w:tc>
          <w:tcPr>
            <w:tcW w:type="dxa" w:w="6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Freemium access to the core roadmap, a premium subscription for unlimited quizzes and deeper personalisation, institutional licensing for colleges and coding bootcamps, and affiliate revenue from curated paid courses.</w:t>
            </w:r>
          </w:p>
        </w:tc>
      </w:tr>
      <w:t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Key Resources</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The proprietary prerequisite graph, the Elo-based skill rating engine, the resume and GitHub extraction pipelines, the Gemini-powered quiz generator, the PostHog analytics stack and the engineering team.</w:t>
            </w:r>
          </w:p>
        </w:tc>
      </w:tr>
      <w:tr>
        <w:tc>
          <w:tcPr>
            <w:tcW w:type="dxa" w:w="2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Key Activities</w:t>
            </w:r>
          </w:p>
        </w:tc>
        <w:tc>
          <w:tcPr>
            <w:tcW w:type="dxa" w:w="6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Maintaining and expanding the roadmap graph, refining the Elo and confidence algorithms, generating and curating quiz banks, continuous UX iteration based on analytics, and building partnerships with content providers.</w:t>
            </w:r>
          </w:p>
        </w:tc>
      </w:tr>
      <w:t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Key Partners</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top"/>
          </w:tcPr>
          <w:p>
            <w:pPr>
              <w:jc w:val="both"/>
            </w:pPr>
            <w:r>
              <w:t xml:space="preserve">roadmap.sh (open-source prerequisite data), Google (Gemini API), Clerk (authentication), Supabase (managed PostgreSQL), Vercel and Render (hosting), PostHog (analytics) and content partners such as MOOC providers.</w:t>
            </w:r>
          </w:p>
        </w:tc>
      </w:tr>
      <w:tr>
        <w:tc>
          <w:tcPr>
            <w:tcW w:type="dxa" w:w="26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Cost Structure</w:t>
            </w:r>
          </w:p>
        </w:tc>
        <w:tc>
          <w:tcPr>
            <w:tcW w:type="dxa" w:w="67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vAlign w:val="top"/>
          </w:tcPr>
          <w:p>
            <w:pPr>
              <w:jc w:val="both"/>
            </w:pPr>
            <w:r>
              <w:t xml:space="preserve">Cloud hosting and database costs, Gemini API usage charges, third-party service subscriptions (Clerk, PostHog), engineering salaries, content curation effort and customer support.</w:t>
            </w:r>
          </w:p>
        </w:tc>
      </w:tr>
    </w:tbl>
    <w:p>
      <w:pPr>
        <w:spacing w:after="160" w:line="320"/>
        <w:jc w:val="both"/>
      </w:pPr>
      <w:r>
        <w:t xml:space="preserve"> </w:t>
      </w:r>
    </w:p>
    <w:p>
      <w:pPr>
        <w:pStyle w:val="Heading2"/>
        <w:spacing w:after="160" w:before="280"/>
      </w:pPr>
      <w:r>
        <w:t xml:space="preserve">6.2 Revenue Model</w:t>
      </w:r>
    </w:p>
    <w:p>
      <w:pPr>
        <w:spacing w:after="160" w:line="320"/>
        <w:jc w:val="both"/>
      </w:pPr>
      <w:r>
        <w:t xml:space="preserve">The revenue model is deliberately multi-stream so that LearnPath is neither dependent on a single customer segment nor forced to make trade-offs between free access and financial sustainability. At its core, LearnPath is a freemium learning platform. The free tier provides full access to the roadmap, the recommendation engine and a meaningful quota of quizzes per month, which is sufficient for casual learners and for students who are using the platform alongside a formal curriculum. This tier is intentionally generous because the marginal cost of serving a free user is low and because free users produce the behavioural signal that improves the recommendation engine for everyone.</w:t>
      </w:r>
    </w:p>
    <w:p>
      <w:pPr>
        <w:spacing w:after="160" w:line="320"/>
        <w:jc w:val="both"/>
      </w:pPr>
      <w:r>
        <w:t xml:space="preserve">Above the free tier sits a premium subscription aimed at learners who treat their skill development as a professional investment. The premium tier includes unlimited quiz generation, deeper personalisation such as weekly progress emails with tailored recommendations, priority access to newly ingested content, and advanced analytics on the user's own learning patterns. A third revenue stream comes from institutional licensing. Colleges, coding bootcamps and corporate learning-and-development teams can subscribe to a bulk licence that provides their cohort with premium access, administrative dashboards for progress tracking across learners, and the ability to author or import custom roadmaps. A fourth, complementary stream comes from partnerships with online learning platforms: when LearnPath's recommendation engine suggests a paid course from a partner provider, LearnPath earns an affiliate commission, aligning the incentives of the platform, the learner and the content provider.</w:t>
      </w:r>
    </w:p>
    <w:p>
      <w:pPr>
        <w:pStyle w:val="Heading2"/>
        <w:spacing w:after="160" w:before="280"/>
      </w:pPr>
      <w:r>
        <w:t xml:space="preserve">6.3 Go-to-Market Strategy</w:t>
      </w:r>
    </w:p>
    <w:p>
      <w:pPr>
        <w:spacing w:after="160" w:line="320"/>
        <w:jc w:val="both"/>
      </w:pPr>
      <w:r>
        <w:t xml:space="preserve">The go-to-market strategy proceeds in three overlapping waves. The first wave targets college students directly, because they are both the primary user group and the group with the highest propensity to share a useful product within tightly knit academic networks. Acquisition in this wave is driven by campus ambassador programmes, student-led workshops, content marketing in the form of technical blog posts and tutorials that rank in search engines, and a referral programme that rewards learners for bringing in peers. Credible proof points, such as testimonials from placed students and concrete skill progression narratives, are used to short-circuit the default scepticism that accompanies any new educational tool.</w:t>
      </w:r>
    </w:p>
    <w:p>
      <w:pPr>
        <w:spacing w:after="160" w:line="320"/>
        <w:jc w:val="both"/>
      </w:pPr>
      <w:r>
        <w:t xml:space="preserve">The second wave targets the institution. Once LearnPath has an organic footprint inside a college, the team approaches placement cells, computer-science departments and student career centres with an institutional proposal. The value proposition at this level is different: it is not primarily about individual personalisation but about cohort-level visibility into skill gaps, interview-readiness and employability. Pilot programmes are offered at favourable pricing in exchange for outcome data, which in turn becomes marketing material for the next institution. The third wave extends the product to working professionals and to corporate learning-and-development teams. This wave leverages the data and case studies produced during the first two waves, presenting LearnPath not as a student tool but as a career-long skill operating system. LinkedIn-led content, partnerships with professional communities and direct outreach to talent-acquisition teams drive adoption in this segment.</w:t>
      </w:r>
    </w:p>
    <w:p>
      <w:pPr>
        <w:spacing w:after="160" w:line="320"/>
        <w:jc w:val="both"/>
      </w:pPr>
      <w:r>
        <w:t xml:space="preserve">Across all three waves, the platform's analytics stack plays a central role. Every acquisition channel is instrumented, every onboarding step is measured, and every cohort's retention curve is observed. This tight instrumentation allows the team to shift budget and effort toward the channels that produce the most durable engagement, and it ensures that the go-to-market motion improves with each cohort rather than flattening at the first plateau.</w:t>
      </w:r>
    </w:p>
    <w:p>
      <w:pPr>
        <w:pStyle w:val="Heading2"/>
        <w:spacing w:after="160" w:before="280"/>
      </w:pPr>
      <w:r>
        <w:t xml:space="preserve">6.4 Summary</w:t>
      </w:r>
    </w:p>
    <w:p>
      <w:pPr>
        <w:spacing w:after="160" w:line="320"/>
        <w:jc w:val="both"/>
      </w:pPr>
      <w:r>
        <w:t xml:space="preserve">Taken together, the problem analysis, the product development narrative, the feedback cycle, the behaviour analytics and the business model describe a platform that is both academically credible and commercially coherent. LearnPath was built to solve a specific problem that every modern learner faces, it was refined by listening carefully to the people it was built for, and it is positioned to grow through a sequence of waves that reinforce one another. The remainder of this report, including the deployment artefacts and the startup registration materials that accompany it, documents the path from prototype to a platform ready for a wider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LearnPath – Adaptive Learning Path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 Adaptive Learning Path System Report</dc:title>
  <dc:creator>LearnPath Team</dc:creator>
  <cp:lastModifiedBy>Un-named</cp:lastModifiedBy>
  <cp:revision>1</cp:revision>
  <dcterms:created xsi:type="dcterms:W3CDTF">2026-04-19T01:42:52.038Z</dcterms:created>
  <dcterms:modified xsi:type="dcterms:W3CDTF">2026-04-19T01:42:52.038Z</dcterms:modified>
</cp:coreProperties>
</file>

<file path=docProps/custom.xml><?xml version="1.0" encoding="utf-8"?>
<Properties xmlns="http://schemas.openxmlformats.org/officeDocument/2006/custom-properties" xmlns:vt="http://schemas.openxmlformats.org/officeDocument/2006/docPropsVTypes"/>
</file>