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5" w:name="content"/>
    <w:bookmarkStart w:id="34" w:name="executive-summary"/>
    <w:p>
      <w:pPr>
        <w:pStyle w:val="Heading1"/>
      </w:pPr>
      <w:r>
        <w:t xml:space="preserve">Executive Summary</w:t>
      </w:r>
    </w:p>
    <w:bookmarkStart w:id="23" w:name="key-findings-and-metrics"/>
    <w:p>
      <w:pPr>
        <w:pStyle w:val="Heading2"/>
      </w:pPr>
      <w:r>
        <w:t xml:space="preserve">Key Findings and Metrics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 Calculations:</w:t>
      </w:r>
      <w:r>
        <w:t xml:space="preserve"> </w:t>
      </w:r>
      <w:r>
        <w:t xml:space="preserve">The tool will compute key metrics like</w:t>
      </w:r>
      <w:r>
        <w:t xml:space="preserve"> </w:t>
      </w:r>
      <w:r>
        <w:rPr>
          <w:b/>
          <w:bCs/>
        </w:rPr>
        <w:t xml:space="preserve">Revenue Gap</w:t>
      </w:r>
      <w:r>
        <w:t xml:space="preserve"> </w:t>
      </w:r>
      <w:r>
        <w:t xml:space="preserve">(Approved ARR minus actual revenue), power purchase cost variances, and AT&amp;C losses. For example, if the approved Aggregate Revenue Requirement (ARR) is ₹100 Cr and actual revenue ₹90 Cr, the gap is ₹10 Cr. These metrics align with past KSERC truing-up 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Typical Values:</w:t>
      </w:r>
      <w:r>
        <w:t xml:space="preserve"> </w:t>
      </w:r>
      <w:r>
        <w:t xml:space="preserve">Historical orders show licensee adjustments on the order of tens of lakhs. For instance,</w:t>
      </w:r>
      <w:r>
        <w:t xml:space="preserve"> </w:t>
      </w:r>
      <w:r>
        <w:rPr>
          <w:i/>
          <w:iCs/>
        </w:rPr>
        <w:t xml:space="preserve">M/s Infopark (FY2020-21)</w:t>
      </w:r>
      <w:r>
        <w:t xml:space="preserve"> </w:t>
      </w:r>
      <w:r>
        <w:t xml:space="preserve">had an approved</w:t>
      </w:r>
      <w:r>
        <w:t xml:space="preserve"> </w:t>
      </w:r>
      <w:r>
        <w:rPr>
          <w:b/>
          <w:bCs/>
        </w:rPr>
        <w:t xml:space="preserve">deficit</w:t>
      </w:r>
      <w:r>
        <w:t xml:space="preserve"> </w:t>
      </w:r>
      <w:r>
        <w:t xml:space="preserve">of about ₹60.80 L</w:t>
      </w:r>
      <w:hyperlink r:id="rId21">
        <w:r>
          <w:rPr>
            <w:rStyle w:val="Hyperlink"/>
          </w:rPr>
          <w:t xml:space="preserve">[1]</w:t>
        </w:r>
      </w:hyperlink>
      <w:r>
        <w:t xml:space="preserve">, while</w:t>
      </w:r>
      <w:r>
        <w:t xml:space="preserve"> </w:t>
      </w:r>
      <w:r>
        <w:rPr>
          <w:i/>
          <w:iCs/>
        </w:rPr>
        <w:t xml:space="preserve">Kanan Devan (FY2021-22)</w:t>
      </w:r>
      <w:r>
        <w:t xml:space="preserve"> </w:t>
      </w:r>
      <w:r>
        <w:t xml:space="preserve">received a</w:t>
      </w:r>
      <w:r>
        <w:t xml:space="preserve"> </w:t>
      </w:r>
      <w:r>
        <w:rPr>
          <w:b/>
          <w:bCs/>
        </w:rPr>
        <w:t xml:space="preserve">surplus</w:t>
      </w:r>
      <w:r>
        <w:t xml:space="preserve"> </w:t>
      </w:r>
      <w:r>
        <w:t xml:space="preserve">of ₹58.72 L</w:t>
      </w:r>
      <w:hyperlink r:id="rId22">
        <w:r>
          <w:rPr>
            <w:rStyle w:val="Hyperlink"/>
          </w:rPr>
          <w:t xml:space="preserve">[2]</w:t>
        </w:r>
      </w:hyperlink>
      <w:r>
        <w:t xml:space="preserve">. These benchmarks indicate the scale of data the AI must handle.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Trend Validation:</w:t>
      </w:r>
      <w:r>
        <w:t xml:space="preserve"> </w:t>
      </w:r>
      <w:r>
        <w:t xml:space="preserve">The tool will also flag anomalies (e.g. cost spikes vs. load growth) by comparing year-over-year trends. Known KSERC cases often involve verifying items like distribution loss, power purchase, and employee costs against approved norms.</w:t>
      </w:r>
    </w:p>
    <w:bookmarkEnd w:id="23"/>
    <w:bookmarkStart w:id="29" w:name="historical-outcomes-extreme-cases"/>
    <w:p>
      <w:pPr>
        <w:pStyle w:val="Heading2"/>
      </w:pPr>
      <w:r>
        <w:t xml:space="preserve">Historical Outcomes (Extreme Cases)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Technopark (2020-21):</w:t>
      </w:r>
      <w:r>
        <w:t xml:space="preserve"> </w:t>
      </w:r>
      <w:r>
        <w:t xml:space="preserve">Approved</w:t>
      </w:r>
      <w:r>
        <w:t xml:space="preserve"> </w:t>
      </w:r>
      <w:r>
        <w:rPr>
          <w:b/>
          <w:bCs/>
        </w:rPr>
        <w:t xml:space="preserve">surplus of ₹280.42 L</w:t>
      </w: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(highest observed).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CSEZA (2022-23):</w:t>
      </w:r>
      <w:r>
        <w:t xml:space="preserve"> </w:t>
      </w:r>
      <w:r>
        <w:t xml:space="preserve">Approved</w:t>
      </w:r>
      <w:r>
        <w:t xml:space="preserve"> </w:t>
      </w:r>
      <w:r>
        <w:rPr>
          <w:b/>
          <w:bCs/>
        </w:rPr>
        <w:t xml:space="preserve">surplus of ₹135.14 L</w:t>
      </w:r>
      <w:hyperlink r:id="rId25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Kanan Devan (2022-23):</w:t>
      </w:r>
      <w:r>
        <w:t xml:space="preserve"> </w:t>
      </w:r>
      <w:r>
        <w:t xml:space="preserve">Approved</w:t>
      </w:r>
      <w:r>
        <w:t xml:space="preserve"> </w:t>
      </w:r>
      <w:r>
        <w:rPr>
          <w:b/>
          <w:bCs/>
        </w:rPr>
        <w:t xml:space="preserve">surplus of ₹116.91 L</w:t>
      </w:r>
      <w:hyperlink r:id="rId26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Kanan Devan (2021-22):</w:t>
      </w:r>
      <w:r>
        <w:t xml:space="preserve"> </w:t>
      </w:r>
      <w:r>
        <w:t xml:space="preserve">Approved</w:t>
      </w:r>
      <w:r>
        <w:t xml:space="preserve"> </w:t>
      </w:r>
      <w:r>
        <w:rPr>
          <w:b/>
          <w:bCs/>
        </w:rPr>
        <w:t xml:space="preserve">surplus of ₹58.72 L</w:t>
      </w:r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Infopark (2020-21):</w:t>
      </w:r>
      <w:r>
        <w:t xml:space="preserve"> </w:t>
      </w:r>
      <w:r>
        <w:t xml:space="preserve">Approved</w:t>
      </w:r>
      <w:r>
        <w:t xml:space="preserve"> </w:t>
      </w:r>
      <w:r>
        <w:rPr>
          <w:b/>
          <w:bCs/>
        </w:rPr>
        <w:t xml:space="preserve">deficit of ₹60.80 L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(licensee had asked for ₹76.53 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Infopark (2024-25):</w:t>
      </w:r>
      <w:r>
        <w:t xml:space="preserve"> </w:t>
      </w:r>
      <w:r>
        <w:t xml:space="preserve">Approved</w:t>
      </w:r>
      <w:r>
        <w:t xml:space="preserve"> </w:t>
      </w:r>
      <w:r>
        <w:rPr>
          <w:b/>
          <w:bCs/>
        </w:rPr>
        <w:t xml:space="preserve">deficit of ₹64.72 L</w:t>
      </w: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(licensee had claimed a gap of ₹79.76 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Reversed Outcomes:</w:t>
      </w:r>
      <w:r>
        <w:t xml:space="preserve"> </w:t>
      </w:r>
      <w:r>
        <w:t xml:space="preserve">In some cases KSERC flipped the sign of the result. For example, CSEZA’s FY2023-24 petition asked for a slight deficit (–₹3.42 L) but the Commission approved a</w:t>
      </w:r>
      <w:r>
        <w:t xml:space="preserve"> </w:t>
      </w:r>
      <w:r>
        <w:rPr>
          <w:b/>
          <w:bCs/>
        </w:rPr>
        <w:t xml:space="preserve">surplus of ₹87.85 L</w:t>
      </w:r>
      <w:r>
        <w:t xml:space="preserve"> </w:t>
      </w:r>
      <w:r>
        <w:t xml:space="preserve">(cumulative)</w:t>
      </w:r>
      <w:hyperlink r:id="rId28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FirstParagraph"/>
      </w:pPr>
      <w:r>
        <w:t xml:space="preserve">These data points set the bounds for the AI tool’s outputs: one should expect surpluses or deficits within these historical ranges, and any values far outside them would be unusual.</w:t>
      </w:r>
    </w:p>
    <w:bookmarkEnd w:id="29"/>
    <w:bookmarkStart w:id="32" w:name="recommended-ai-architecture"/>
    <w:p>
      <w:pPr>
        <w:pStyle w:val="Heading2"/>
      </w:pPr>
      <w:r>
        <w:t xml:space="preserve">Recommended AI Architecture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Retrieval-Augmented Generation (RAG):</w:t>
      </w:r>
      <w:r>
        <w:t xml:space="preserve"> </w:t>
      </w:r>
      <w:r>
        <w:t xml:space="preserve">We recommend a hybrid AI using RAG, where a language model (LLM) is fed with relevant regulatory documents and past orders. RAG ensures that model outputs are grounded in actual sources</w:t>
      </w:r>
      <w:hyperlink r:id="rId30">
        <w:r>
          <w:rPr>
            <w:rStyle w:val="Hyperlink"/>
          </w:rPr>
          <w:t xml:space="preserve">[8]</w:t>
        </w:r>
      </w:hyperlink>
      <w:r>
        <w:t xml:space="preserve">. For example, when justifying an expense, the system can cite the specific clause or past order.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Agent Orchestration:</w:t>
      </w:r>
      <w:r>
        <w:t xml:space="preserve"> </w:t>
      </w:r>
      <w:r>
        <w:t xml:space="preserve">A LangChain-like agent framework can orchestrate tasks: parse uploaded filings, retrieve regulatory provisions, compute metrics, and produce a reasoning report. This modular workflow is state-of-the-art for compliance tasks</w:t>
      </w:r>
      <w:hyperlink r:id="rId31">
        <w:r>
          <w:rPr>
            <w:rStyle w:val="Hyperlink"/>
          </w:rPr>
          <w:t xml:space="preserve">[9]</w:t>
        </w:r>
      </w:hyperlink>
      <w:r>
        <w:t xml:space="preserve">. RAG/LangChain approaches have been proven in regulated domains (e.g. pharmaceutical compliance) to improve accuracy and traceability</w:t>
      </w:r>
      <w:hyperlink r:id="rId30">
        <w:r>
          <w:rPr>
            <w:rStyle w:val="Hyperlink"/>
          </w:rPr>
          <w:t xml:space="preserve">[8]</w:t>
        </w:r>
      </w:hyperlink>
      <w:hyperlink r:id="rId31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Transparency and Audit:</w:t>
      </w:r>
      <w:r>
        <w:t xml:space="preserve"> </w:t>
      </w:r>
      <w:r>
        <w:t xml:space="preserve">The architecture will log each decision and its rationale. Since RAG ties answers to source text, KSERC staff can audit the AI’s logic step-by-step.</w:t>
      </w:r>
    </w:p>
    <w:bookmarkEnd w:id="32"/>
    <w:bookmarkStart w:id="3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research establishes how to replicate KSERC’s truing-up analysis in software. The tool will compute revenue gaps, validate costs, and detect anomalies using the above metrics. Historical KSERC orders provide benchmarks (e.g. ₹280 L max surplus, ~₹–60 L max deficit) for sanity checks. A retrieval-based LLM system (RAG) is recommended to emulate the regulator’s reasoning with full traceability</w:t>
      </w:r>
      <w:hyperlink r:id="rId30">
        <w:r>
          <w:rPr>
            <w:rStyle w:val="Hyperlink"/>
          </w:rPr>
          <w:t xml:space="preserve">[8]</w:t>
        </w:r>
      </w:hyperlink>
      <w:hyperlink r:id="rId31">
        <w:r>
          <w:rPr>
            <w:rStyle w:val="Hyperlink"/>
          </w:rPr>
          <w:t xml:space="preserve">[9]</w:t>
        </w:r>
      </w:hyperlink>
      <w:r>
        <w:t xml:space="preserve">. This approach will yield a robust “AI brain” capable of reviewing submissions at the fidelity of KSERC’s own staff.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Official KSERC orders (see citations) and recent AI compliance literature</w:t>
      </w:r>
      <w:hyperlink r:id="rId21">
        <w:r>
          <w:rPr>
            <w:rStyle w:val="Hyperlink"/>
          </w:rPr>
          <w:t xml:space="preserve">[1]</w:t>
        </w:r>
      </w:hyperlink>
      <w:hyperlink r:id="rId24">
        <w:r>
          <w:rPr>
            <w:rStyle w:val="Hyperlink"/>
          </w:rPr>
          <w:t xml:space="preserve">[3]</w:t>
        </w:r>
      </w:hyperlink>
      <w:hyperlink r:id="rId25">
        <w:r>
          <w:rPr>
            <w:rStyle w:val="Hyperlink"/>
          </w:rPr>
          <w:t xml:space="preserve">[4]</w:t>
        </w:r>
      </w:hyperlink>
      <w:hyperlink r:id="rId26">
        <w:r>
          <w:rPr>
            <w:rStyle w:val="Hyperlink"/>
          </w:rPr>
          <w:t xml:space="preserve">[5]</w:t>
        </w:r>
      </w:hyperlink>
      <w:hyperlink r:id="rId22">
        <w:r>
          <w:rPr>
            <w:rStyle w:val="Hyperlink"/>
          </w:rPr>
          <w:t xml:space="preserve">[2]</w:t>
        </w:r>
      </w:hyperlink>
      <w:hyperlink r:id="rId30">
        <w:r>
          <w:rPr>
            <w:rStyle w:val="Hyperlink"/>
          </w:rPr>
          <w:t xml:space="preserve">[8]</w:t>
        </w:r>
      </w:hyperlink>
      <w:hyperlink r:id="rId31">
        <w:r>
          <w:rPr>
            <w:rStyle w:val="Hyperlink"/>
          </w:rPr>
          <w:t xml:space="preserve">[9]</w:t>
        </w:r>
      </w:hyperlink>
      <w:r>
        <w:t xml:space="preserve">.</w:t>
      </w:r>
    </w:p>
    <w:bookmarkEnd w:id="33"/>
    <w:bookmarkEnd w:id="34"/>
    <w:bookmarkEnd w:id="35"/>
    <w:p>
      <w:r>
        <w:pict>
          <v:rect style="width:0;height:1.5pt" o:hralign="center" o:hrstd="t" o:hr="t"/>
        </w:pict>
      </w:r>
    </w:p>
    <w:bookmarkStart w:id="45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dev.erckerala.org</w:t>
      </w:r>
    </w:p>
    <w:p>
      <w:pPr>
        <w:pStyle w:val="BodyText"/>
      </w:pPr>
      <w:hyperlink r:id="rId36">
        <w:r>
          <w:rPr>
            <w:rStyle w:val="Hyperlink"/>
          </w:rPr>
          <w:t xml:space="preserve">https://dev.erckerala.org/api/storage/orders/QQZhGryCScqMXbPNJa5ksS48czijaHKTe6SJK6m5.pdf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dev.erckerala.org</w:t>
      </w:r>
    </w:p>
    <w:p>
      <w:pPr>
        <w:pStyle w:val="BodyText"/>
      </w:pPr>
      <w:hyperlink r:id="rId37">
        <w:r>
          <w:rPr>
            <w:rStyle w:val="Hyperlink"/>
          </w:rPr>
          <w:t xml:space="preserve">https://dev.erckerala.org/api/storage/orders/Plb0Wjc3X5cl5sjFIADBwLqCZKcwTEnK1RosRGpx.pdf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dev.erckerala.org</w:t>
      </w:r>
    </w:p>
    <w:p>
      <w:pPr>
        <w:pStyle w:val="BodyText"/>
      </w:pPr>
      <w:hyperlink r:id="rId38">
        <w:r>
          <w:rPr>
            <w:rStyle w:val="Hyperlink"/>
          </w:rPr>
          <w:t xml:space="preserve">https://dev.erckerala.org/api/storage/orders/OCyFVapgmNx97FxNxT037bxk5E6q4xRLzHTyGouo.pdf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dev.erckerala.org</w:t>
      </w:r>
    </w:p>
    <w:p>
      <w:pPr>
        <w:pStyle w:val="BodyText"/>
      </w:pPr>
      <w:hyperlink r:id="rId39">
        <w:r>
          <w:rPr>
            <w:rStyle w:val="Hyperlink"/>
          </w:rPr>
          <w:t xml:space="preserve">https://dev.erckerala.org/api/storage/orders/BY1ZspW1cmduqw9Ja8rX7IYON1sHoD5MvIdjW0w2.pdf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dev.erckerala.org</w:t>
      </w:r>
    </w:p>
    <w:p>
      <w:pPr>
        <w:pStyle w:val="BodyText"/>
      </w:pPr>
      <w:hyperlink r:id="rId40">
        <w:r>
          <w:rPr>
            <w:rStyle w:val="Hyperlink"/>
          </w:rPr>
          <w:t xml:space="preserve">https://dev.erckerala.org/api/storage/orders/dfjnItm6NJjfwoR5UuCmVVhMP5X0v4kUwbyZv93Y.pdf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dev.erckerala.org</w:t>
      </w:r>
    </w:p>
    <w:p>
      <w:pPr>
        <w:pStyle w:val="BodyText"/>
      </w:pPr>
      <w:hyperlink r:id="rId41">
        <w:r>
          <w:rPr>
            <w:rStyle w:val="Hyperlink"/>
          </w:rPr>
          <w:t xml:space="preserve">https://dev.erckerala.org/api/storage/orders/4oCCQ0wKvD6JXgqSWWX37B1EQDZHhWiAvPSo4EFa.pdf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dev.erckerala.org</w:t>
      </w:r>
    </w:p>
    <w:p>
      <w:pPr>
        <w:pStyle w:val="BodyText"/>
      </w:pPr>
      <w:hyperlink r:id="rId42">
        <w:r>
          <w:rPr>
            <w:rStyle w:val="Hyperlink"/>
          </w:rPr>
          <w:t xml:space="preserve">https://dev.erckerala.org/api/storage/orders/4tJUDAQTbsKpyuIrhKZlLqDecGSn0YlqPmwJU3xq.pdf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 </w:t>
      </w:r>
      <w:r>
        <w:t xml:space="preserve">Retrieval Augmented Generation (RAG) for Evaluating Regulatory Compliance of Drug Information and Clinical Trial Protocols - PMC</w:t>
      </w:r>
      <w:r>
        <w:t xml:space="preserve"> </w:t>
      </w:r>
    </w:p>
    <w:p>
      <w:pPr>
        <w:pStyle w:val="BodyText"/>
      </w:pPr>
      <w:hyperlink r:id="rId43">
        <w:r>
          <w:rPr>
            <w:rStyle w:val="Hyperlink"/>
          </w:rPr>
          <w:t xml:space="preserve">https://pmc.ncbi.nlm.nih.gov/articles/PMC12917324/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RegGuard: AI-Powered Retrieval-Enhanced Assistant for Pharmaceutical Regulatory Compliance</w:t>
      </w:r>
    </w:p>
    <w:p>
      <w:pPr>
        <w:pStyle w:val="BodyText"/>
      </w:pPr>
      <w:hyperlink r:id="rId44">
        <w:r>
          <w:rPr>
            <w:rStyle w:val="Hyperlink"/>
          </w:rPr>
          <w:t xml:space="preserve">https://arxiv.org/html/2601.17826v1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4" Target="https://arxiv.org/html/2601.17826v1" TargetMode="External" /><Relationship Type="http://schemas.openxmlformats.org/officeDocument/2006/relationships/hyperlink" Id="rId31" Target="https://arxiv.org/html/2601.17826v1#:~:text=adapts%20poorly%20to%20rapidly%20evolving,stages%20of%20the%20RAG%20pipeline%E2%80%94chunking" TargetMode="External" /><Relationship Type="http://schemas.openxmlformats.org/officeDocument/2006/relationships/hyperlink" Id="rId41" Target="https://dev.erckerala.org/api/storage/orders/4oCCQ0wKvD6JXgqSWWX37B1EQDZHhWiAvPSo4EFa.pdf" TargetMode="External" /><Relationship Type="http://schemas.openxmlformats.org/officeDocument/2006/relationships/hyperlink" Id="rId27" Target="https://dev.erckerala.org/api/storage/orders/4oCCQ0wKvD6JXgqSWWX37B1EQDZHhWiAvPSo4EFa.pdf#:~:text=Revenue%20Surplus%20%2F%20%28Deficit%29%2013,Accounts%20has%20claimed%20a%20Revenue" TargetMode="External" /><Relationship Type="http://schemas.openxmlformats.org/officeDocument/2006/relationships/hyperlink" Id="rId42" Target="https://dev.erckerala.org/api/storage/orders/4tJUDAQTbsKpyuIrhKZlLqDecGSn0YlqPmwJU3xq.pdf" TargetMode="External" /><Relationship Type="http://schemas.openxmlformats.org/officeDocument/2006/relationships/hyperlink" Id="rId28" Target="https://dev.erckerala.org/api/storage/orders/4tJUDAQTbsKpyuIrhKZlLqDecGSn0YlqPmwJU3xq.pdf#:~:text=Total%20Expenditure%204192,3.41%2087.85" TargetMode="External" /><Relationship Type="http://schemas.openxmlformats.org/officeDocument/2006/relationships/hyperlink" Id="rId39" Target="https://dev.erckerala.org/api/storage/orders/BY1ZspW1cmduqw9Ja8rX7IYON1sHoD5MvIdjW0w2.pdf" TargetMode="External" /><Relationship Type="http://schemas.openxmlformats.org/officeDocument/2006/relationships/hyperlink" Id="rId25" Target="https://dev.erckerala.org/api/storage/orders/BY1ZspW1cmduqw9Ja8rX7IYON1sHoD5MvIdjW0w2.pdf#:~:text=the%20following,However%2C%20the%20licensee%20has%20made" TargetMode="External" /><Relationship Type="http://schemas.openxmlformats.org/officeDocument/2006/relationships/hyperlink" Id="rId38" Target="https://dev.erckerala.org/api/storage/orders/OCyFVapgmNx97FxNxT037bxk5E6q4xRLzHTyGouo.pdf" TargetMode="External" /><Relationship Type="http://schemas.openxmlformats.org/officeDocument/2006/relationships/hyperlink" Id="rId24" Target="https://dev.erckerala.org/api/storage/orders/OCyFVapgmNx97FxNxT037bxk5E6q4xRLzHTyGouo.pdf#:~:text=a%29%20Total%20revenue%20is%20Rs,20%20is%20Rs.2267.07%20lakh" TargetMode="External" /><Relationship Type="http://schemas.openxmlformats.org/officeDocument/2006/relationships/hyperlink" Id="rId37" Target="https://dev.erckerala.org/api/storage/orders/Plb0Wjc3X5cl5sjFIADBwLqCZKcwTEnK1RosRGpx.pdf" TargetMode="External" /><Relationship Type="http://schemas.openxmlformats.org/officeDocument/2006/relationships/hyperlink" Id="rId22" Target="https://dev.erckerala.org/api/storage/orders/Plb0Wjc3X5cl5sjFIADBwLqCZKcwTEnK1RosRGpx.pdf#:~:text=Total%20Income%2FERC%203476,the%20clarifications%20and%20details%20provided" TargetMode="External" /><Relationship Type="http://schemas.openxmlformats.org/officeDocument/2006/relationships/hyperlink" Id="rId36" Target="https://dev.erckerala.org/api/storage/orders/QQZhGryCScqMXbPNJa5ksS48czijaHKTe6SJK6m5.pdf" TargetMode="External" /><Relationship Type="http://schemas.openxmlformats.org/officeDocument/2006/relationships/hyperlink" Id="rId21" Target="https://dev.erckerala.org/api/storage/orders/QQZhGryCScqMXbPNJa5ksS48czijaHKTe6SJK6m5.pdf#:~:text=64,21%20Particulars%20ARR" TargetMode="External" /><Relationship Type="http://schemas.openxmlformats.org/officeDocument/2006/relationships/hyperlink" Id="rId40" Target="https://dev.erckerala.org/api/storage/orders/dfjnItm6NJjfwoR5UuCmVVhMP5X0v4kUwbyZv93Y.pdf" TargetMode="External" /><Relationship Type="http://schemas.openxmlformats.org/officeDocument/2006/relationships/hyperlink" Id="rId26" Target="https://dev.erckerala.org/api/storage/orders/dfjnItm6NJjfwoR5UuCmVVhMP5X0v4kUwbyZv93Y.pdf#:~:text=a%29%20Total%20revenue%20is%20Rs,23%20will%20be%20Rs.1150.99%20lakh" TargetMode="External" /><Relationship Type="http://schemas.openxmlformats.org/officeDocument/2006/relationships/hyperlink" Id="rId43" Target="https://pmc.ncbi.nlm.nih.gov/articles/PMC12917324/" TargetMode="External" /><Relationship Type="http://schemas.openxmlformats.org/officeDocument/2006/relationships/hyperlink" Id="rId30" Target="https://pmc.ncbi.nlm.nih.gov/articles/PMC12917324/#:~:text=Retrieval%E2%80%90augmented%20generation%20,to%20address%20task%E2%80%90specific%20needs%20an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arxiv.org/html/2601.17826v1" TargetMode="External" /><Relationship Type="http://schemas.openxmlformats.org/officeDocument/2006/relationships/hyperlink" Id="rId31" Target="https://arxiv.org/html/2601.17826v1#:~:text=adapts%20poorly%20to%20rapidly%20evolving,stages%20of%20the%20RAG%20pipeline%E2%80%94chunking" TargetMode="External" /><Relationship Type="http://schemas.openxmlformats.org/officeDocument/2006/relationships/hyperlink" Id="rId41" Target="https://dev.erckerala.org/api/storage/orders/4oCCQ0wKvD6JXgqSWWX37B1EQDZHhWiAvPSo4EFa.pdf" TargetMode="External" /><Relationship Type="http://schemas.openxmlformats.org/officeDocument/2006/relationships/hyperlink" Id="rId27" Target="https://dev.erckerala.org/api/storage/orders/4oCCQ0wKvD6JXgqSWWX37B1EQDZHhWiAvPSo4EFa.pdf#:~:text=Revenue%20Surplus%20%2F%20%28Deficit%29%2013,Accounts%20has%20claimed%20a%20Revenue" TargetMode="External" /><Relationship Type="http://schemas.openxmlformats.org/officeDocument/2006/relationships/hyperlink" Id="rId42" Target="https://dev.erckerala.org/api/storage/orders/4tJUDAQTbsKpyuIrhKZlLqDecGSn0YlqPmwJU3xq.pdf" TargetMode="External" /><Relationship Type="http://schemas.openxmlformats.org/officeDocument/2006/relationships/hyperlink" Id="rId28" Target="https://dev.erckerala.org/api/storage/orders/4tJUDAQTbsKpyuIrhKZlLqDecGSn0YlqPmwJU3xq.pdf#:~:text=Total%20Expenditure%204192,3.41%2087.85" TargetMode="External" /><Relationship Type="http://schemas.openxmlformats.org/officeDocument/2006/relationships/hyperlink" Id="rId39" Target="https://dev.erckerala.org/api/storage/orders/BY1ZspW1cmduqw9Ja8rX7IYON1sHoD5MvIdjW0w2.pdf" TargetMode="External" /><Relationship Type="http://schemas.openxmlformats.org/officeDocument/2006/relationships/hyperlink" Id="rId25" Target="https://dev.erckerala.org/api/storage/orders/BY1ZspW1cmduqw9Ja8rX7IYON1sHoD5MvIdjW0w2.pdf#:~:text=the%20following,However%2C%20the%20licensee%20has%20made" TargetMode="External" /><Relationship Type="http://schemas.openxmlformats.org/officeDocument/2006/relationships/hyperlink" Id="rId38" Target="https://dev.erckerala.org/api/storage/orders/OCyFVapgmNx97FxNxT037bxk5E6q4xRLzHTyGouo.pdf" TargetMode="External" /><Relationship Type="http://schemas.openxmlformats.org/officeDocument/2006/relationships/hyperlink" Id="rId24" Target="https://dev.erckerala.org/api/storage/orders/OCyFVapgmNx97FxNxT037bxk5E6q4xRLzHTyGouo.pdf#:~:text=a%29%20Total%20revenue%20is%20Rs,20%20is%20Rs.2267.07%20lakh" TargetMode="External" /><Relationship Type="http://schemas.openxmlformats.org/officeDocument/2006/relationships/hyperlink" Id="rId37" Target="https://dev.erckerala.org/api/storage/orders/Plb0Wjc3X5cl5sjFIADBwLqCZKcwTEnK1RosRGpx.pdf" TargetMode="External" /><Relationship Type="http://schemas.openxmlformats.org/officeDocument/2006/relationships/hyperlink" Id="rId22" Target="https://dev.erckerala.org/api/storage/orders/Plb0Wjc3X5cl5sjFIADBwLqCZKcwTEnK1RosRGpx.pdf#:~:text=Total%20Income%2FERC%203476,the%20clarifications%20and%20details%20provided" TargetMode="External" /><Relationship Type="http://schemas.openxmlformats.org/officeDocument/2006/relationships/hyperlink" Id="rId36" Target="https://dev.erckerala.org/api/storage/orders/QQZhGryCScqMXbPNJa5ksS48czijaHKTe6SJK6m5.pdf" TargetMode="External" /><Relationship Type="http://schemas.openxmlformats.org/officeDocument/2006/relationships/hyperlink" Id="rId21" Target="https://dev.erckerala.org/api/storage/orders/QQZhGryCScqMXbPNJa5ksS48czijaHKTe6SJK6m5.pdf#:~:text=64,21%20Particulars%20ARR" TargetMode="External" /><Relationship Type="http://schemas.openxmlformats.org/officeDocument/2006/relationships/hyperlink" Id="rId40" Target="https://dev.erckerala.org/api/storage/orders/dfjnItm6NJjfwoR5UuCmVVhMP5X0v4kUwbyZv93Y.pdf" TargetMode="External" /><Relationship Type="http://schemas.openxmlformats.org/officeDocument/2006/relationships/hyperlink" Id="rId26" Target="https://dev.erckerala.org/api/storage/orders/dfjnItm6NJjfwoR5UuCmVVhMP5X0v4kUwbyZv93Y.pdf#:~:text=a%29%20Total%20revenue%20is%20Rs,23%20will%20be%20Rs.1150.99%20lakh" TargetMode="External" /><Relationship Type="http://schemas.openxmlformats.org/officeDocument/2006/relationships/hyperlink" Id="rId43" Target="https://pmc.ncbi.nlm.nih.gov/articles/PMC12917324/" TargetMode="External" /><Relationship Type="http://schemas.openxmlformats.org/officeDocument/2006/relationships/hyperlink" Id="rId30" Target="https://pmc.ncbi.nlm.nih.gov/articles/PMC12917324/#:~:text=Retrieval%E2%80%90augmented%20generation%20,to%20address%20task%E2%80%90specific%20needs%20an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2026-02-23T14:43:21Z</dcterms:created>
  <dcterms:modified xsi:type="dcterms:W3CDTF">2026-02-23T14:43:21Z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