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truing-up-calculations-analysis"/>
    <w:p>
      <w:pPr>
        <w:pStyle w:val="Heading1"/>
      </w:pPr>
      <w:r>
        <w:t xml:space="preserve">Truing-Up Calculations &amp; Analysis</w:t>
      </w:r>
    </w:p>
    <w:bookmarkStart w:id="22" w:name="key-metrics-and-formulas"/>
    <w:p>
      <w:pPr>
        <w:pStyle w:val="Heading2"/>
      </w:pPr>
      <w:r>
        <w:t xml:space="preserve">Key Metrics and Formulas</w:t>
      </w:r>
    </w:p>
    <w:p>
      <w:pPr>
        <w:pStyle w:val="Compact"/>
        <w:numPr>
          <w:ilvl w:val="0"/>
          <w:numId w:val="1001"/>
        </w:numPr>
      </w:pPr>
      <w:r>
        <w:rPr>
          <w:b/>
          <w:bCs/>
        </w:rPr>
        <w:t xml:space="preserve">Revenue Gap/Surplus:</w:t>
      </w:r>
      <w:r>
        <w:t xml:space="preserve"> </w:t>
      </w:r>
      <w:r>
        <w:t xml:space="preserve">Calculate as</w:t>
      </w:r>
      <w:r>
        <w:t xml:space="preserve"> </w:t>
      </w:r>
      <w:r>
        <w:rPr>
          <w:b/>
          <w:bCs/>
        </w:rPr>
        <w:t xml:space="preserve">(Approved ARR – Actual Revenue)</w:t>
      </w:r>
      <w:hyperlink r:id="rId21">
        <w:r>
          <w:rPr>
            <w:rStyle w:val="Hyperlink"/>
          </w:rPr>
          <w:t xml:space="preserve">[1]</w:t>
        </w:r>
      </w:hyperlink>
      <w:r>
        <w:t xml:space="preserve">. For example, if approved ARR is ₹100 Cr and actual revenue is ₹90 Cr, the gap is ₹10 Cr. A positive result is a</w:t>
      </w:r>
      <w:r>
        <w:t xml:space="preserve"> </w:t>
      </w:r>
      <w:r>
        <w:rPr>
          <w:i/>
          <w:iCs/>
        </w:rPr>
        <w:t xml:space="preserve">gap</w:t>
      </w:r>
      <w:r>
        <w:t xml:space="preserve">; a negative result is a</w:t>
      </w:r>
      <w:r>
        <w:t xml:space="preserve"> </w:t>
      </w:r>
      <w:r>
        <w:rPr>
          <w:i/>
          <w:iCs/>
        </w:rPr>
        <w:t xml:space="preserve">surplus</w:t>
      </w:r>
      <w:r>
        <w:t xml:space="preserve">.</w:t>
      </w:r>
    </w:p>
    <w:p>
      <w:pPr>
        <w:pStyle w:val="Compact"/>
        <w:numPr>
          <w:ilvl w:val="0"/>
          <w:numId w:val="1001"/>
        </w:numPr>
      </w:pPr>
      <w:r>
        <w:rPr>
          <w:b/>
          <w:bCs/>
        </w:rPr>
        <w:t xml:space="preserve">Power Purchase Validation:</w:t>
      </w:r>
      <w:r>
        <w:t xml:space="preserve"> </w:t>
      </w:r>
      <w:r>
        <w:t xml:space="preserve">Compare</w:t>
      </w:r>
      <w:r>
        <w:t xml:space="preserve"> </w:t>
      </w:r>
      <w:r>
        <w:rPr>
          <w:b/>
          <w:bCs/>
        </w:rPr>
        <w:t xml:space="preserve">actual power purchase cost</w:t>
      </w:r>
      <w:r>
        <w:t xml:space="preserve"> </w:t>
      </w:r>
      <w:r>
        <w:t xml:space="preserve">and per-unit rates against the approved/estimated values. Use ratios and differences to spot anomalies (e.g. cost/unit significantly above norm). Flag large spikes for review.</w:t>
      </w:r>
    </w:p>
    <w:p>
      <w:pPr>
        <w:pStyle w:val="Compact"/>
        <w:numPr>
          <w:ilvl w:val="0"/>
          <w:numId w:val="1001"/>
        </w:numPr>
      </w:pPr>
      <w:r>
        <w:rPr>
          <w:b/>
          <w:bCs/>
        </w:rPr>
        <w:t xml:space="preserve">AT&amp;C Loss:</w:t>
      </w:r>
      <w:r>
        <w:t xml:space="preserve"> </w:t>
      </w:r>
      <w:r>
        <w:t xml:space="preserve">Compute as</w:t>
      </w:r>
      <w:r>
        <w:br/>
      </w:r>
    </w:p>
    <w:p>
      <w:pPr>
        <w:pStyle w:val="Compact"/>
        <w:numPr>
          <w:ilvl w:val="0"/>
          <w:numId w:val="1000"/>
        </w:numPr>
      </w:pPr>
      <m:oMathPara>
        <m:oMathParaPr>
          <m:jc m:val="center"/>
        </m:oMathParaPr>
        <m:oMath>
          <m:r>
            <m:t>A</m:t>
          </m:r>
          <m:r>
            <m:t>T</m:t>
          </m:r>
          <m:r>
            <m:rPr>
              <m:sty m:val="p"/>
            </m:rPr>
            <m:t>&amp;</m:t>
          </m:r>
          <m:r>
            <m:t>C</m:t>
          </m:r>
          <m:r>
            <m:t> </m:t>
          </m:r>
          <m:r>
            <m:t>L</m:t>
          </m:r>
          <m:r>
            <m:t>o</m:t>
          </m:r>
          <m:r>
            <m:t>s</m:t>
          </m:r>
          <m:r>
            <m:t>s</m:t>
          </m:r>
          <m:r>
            <m:rPr>
              <m:sty m:val="p"/>
            </m:rPr>
            <m:t>=</m:t>
          </m:r>
          <m:f>
            <m:fPr>
              <m:type m:val="bar"/>
            </m:fPr>
            <m:num>
              <m:r>
                <m:rPr>
                  <m:nor/>
                  <m:sty m:val="p"/>
                </m:rPr>
                <m:t>Energy Input</m:t>
              </m:r>
              <m:r>
                <m:rPr>
                  <m:sty m:val="p"/>
                </m:rPr>
                <m:t>−</m:t>
              </m:r>
              <m:r>
                <m:rPr>
                  <m:nor/>
                  <m:sty m:val="p"/>
                </m:rPr>
                <m:t>Energy Realized</m:t>
              </m:r>
            </m:num>
            <m:den>
              <m:r>
                <m:rPr>
                  <m:nor/>
                  <m:sty m:val="p"/>
                </m:rPr>
                <m:t>Energy Input</m:t>
              </m:r>
            </m:den>
          </m:f>
          <m:r>
            <m:rPr>
              <m:sty m:val="p"/>
            </m:rPr>
            <m:t>.</m:t>
          </m:r>
        </m:oMath>
      </m:oMathPara>
    </w:p>
    <w:p>
      <w:pPr>
        <w:pStyle w:val="Compact"/>
        <w:numPr>
          <w:ilvl w:val="0"/>
          <w:numId w:val="1000"/>
        </w:numPr>
      </w:pPr>
      <w:r>
        <w:br/>
      </w:r>
      <w:r>
        <w:t xml:space="preserve">Track year-on-year changes. Anomalies (e.g. sudden jump) may indicate metering or reporting issues.</w:t>
      </w:r>
    </w:p>
    <w:p>
      <w:pPr>
        <w:pStyle w:val="Compact"/>
        <w:numPr>
          <w:ilvl w:val="0"/>
          <w:numId w:val="1001"/>
        </w:numPr>
      </w:pPr>
      <w:r>
        <w:rPr>
          <w:b/>
          <w:bCs/>
        </w:rPr>
        <w:t xml:space="preserve">Anomaly Detection:</w:t>
      </w:r>
      <w:r>
        <w:t xml:space="preserve"> </w:t>
      </w:r>
      <w:r>
        <w:t xml:space="preserve">Use statistical methods (e.g. Z-scores, regression) on cost/revenue series. For instance, if</w:t>
      </w:r>
      <w:r>
        <w:t xml:space="preserve"> </w:t>
      </w:r>
      <w:r>
        <w:rPr>
          <w:i/>
          <w:iCs/>
        </w:rPr>
        <w:t xml:space="preserve">employee cost</w:t>
      </w:r>
      <w:r>
        <w:t xml:space="preserve"> </w:t>
      </w:r>
      <w:r>
        <w:t xml:space="preserve">jumps 40% but connected consumers grew 5%, this deviation would be flagged. These methods automate “prudence checks” for each cost element.</w:t>
      </w:r>
    </w:p>
    <w:p>
      <w:pPr>
        <w:pStyle w:val="FirstParagraph"/>
      </w:pPr>
      <w:r>
        <w:t xml:space="preserve">Each metric should be calculated for the truing-up year and compared with historical trends and approved norms. The AI tool would ingest data (audited accounts, ARR orders, past truing-up) and apply these formulas to generate reports.</w:t>
      </w:r>
    </w:p>
    <w:bookmarkEnd w:id="22"/>
    <w:bookmarkStart w:id="30" w:name="Xe90cbd858b66fb9c4f4baeaec034634c4958a17"/>
    <w:p>
      <w:pPr>
        <w:pStyle w:val="Heading2"/>
      </w:pPr>
      <w:r>
        <w:t xml:space="preserve">Historical Extremes (KSERC Truing-Up Cases)</w:t>
      </w:r>
    </w:p>
    <w:p>
      <w:pPr>
        <w:pStyle w:val="FirstParagraph"/>
      </w:pPr>
      <w:r>
        <w:t xml:space="preserve">Looking at past KSERC orders, we see extreme outcomes:</w:t>
      </w:r>
    </w:p>
    <w:p>
      <w:pPr>
        <w:pStyle w:val="Compact"/>
        <w:numPr>
          <w:ilvl w:val="0"/>
          <w:numId w:val="1002"/>
        </w:numPr>
      </w:pPr>
      <w:r>
        <w:rPr>
          <w:b/>
          <w:bCs/>
        </w:rPr>
        <w:t xml:space="preserve">Largest Approved Surpluses:</w:t>
      </w:r>
    </w:p>
    <w:p>
      <w:pPr>
        <w:pStyle w:val="Compact"/>
        <w:numPr>
          <w:ilvl w:val="0"/>
          <w:numId w:val="1002"/>
        </w:numPr>
      </w:pPr>
      <w:r>
        <w:rPr>
          <w:i/>
          <w:iCs/>
        </w:rPr>
        <w:t xml:space="preserve">Technopark (FY2020-21):</w:t>
      </w:r>
      <w:r>
        <w:t xml:space="preserve"> </w:t>
      </w:r>
      <w:r>
        <w:t xml:space="preserve">Commission approved a huge surplus of</w:t>
      </w:r>
      <w:r>
        <w:t xml:space="preserve"> </w:t>
      </w:r>
      <w:r>
        <w:rPr>
          <w:b/>
          <w:bCs/>
        </w:rPr>
        <w:t xml:space="preserve">₹280.42 lakh</w:t>
      </w:r>
      <w:hyperlink r:id="rId23">
        <w:r>
          <w:rPr>
            <w:rStyle w:val="Hyperlink"/>
          </w:rPr>
          <w:t xml:space="preserve">[2]</w:t>
        </w:r>
      </w:hyperlink>
      <w:r>
        <w:t xml:space="preserve">.</w:t>
      </w:r>
    </w:p>
    <w:p>
      <w:pPr>
        <w:pStyle w:val="Compact"/>
        <w:numPr>
          <w:ilvl w:val="0"/>
          <w:numId w:val="1002"/>
        </w:numPr>
      </w:pPr>
      <w:r>
        <w:rPr>
          <w:i/>
          <w:iCs/>
        </w:rPr>
        <w:t xml:space="preserve">CSEZA (FY2022-23):</w:t>
      </w:r>
      <w:r>
        <w:t xml:space="preserve"> </w:t>
      </w:r>
      <w:r>
        <w:t xml:space="preserve">Approved surplus of</w:t>
      </w:r>
      <w:r>
        <w:t xml:space="preserve"> </w:t>
      </w:r>
      <w:r>
        <w:rPr>
          <w:b/>
          <w:bCs/>
        </w:rPr>
        <w:t xml:space="preserve">₹135.14 lakh</w:t>
      </w:r>
      <w:hyperlink r:id="rId24">
        <w:r>
          <w:rPr>
            <w:rStyle w:val="Hyperlink"/>
          </w:rPr>
          <w:t xml:space="preserve">[3]</w:t>
        </w:r>
      </w:hyperlink>
      <w:r>
        <w:t xml:space="preserve">.</w:t>
      </w:r>
    </w:p>
    <w:p>
      <w:pPr>
        <w:pStyle w:val="Compact"/>
        <w:numPr>
          <w:ilvl w:val="0"/>
          <w:numId w:val="1002"/>
        </w:numPr>
      </w:pPr>
      <w:r>
        <w:rPr>
          <w:i/>
          <w:iCs/>
        </w:rPr>
        <w:t xml:space="preserve">Kanan Devan (FY2022-23):</w:t>
      </w:r>
      <w:r>
        <w:t xml:space="preserve"> </w:t>
      </w:r>
      <w:r>
        <w:t xml:space="preserve">Approved surplus</w:t>
      </w:r>
      <w:r>
        <w:t xml:space="preserve"> </w:t>
      </w:r>
      <w:r>
        <w:rPr>
          <w:b/>
          <w:bCs/>
        </w:rPr>
        <w:t xml:space="preserve">₹116.91 lakh</w:t>
      </w:r>
      <w:hyperlink r:id="rId25">
        <w:r>
          <w:rPr>
            <w:rStyle w:val="Hyperlink"/>
          </w:rPr>
          <w:t xml:space="preserve">[4]</w:t>
        </w:r>
      </w:hyperlink>
      <w:r>
        <w:t xml:space="preserve">.</w:t>
      </w:r>
    </w:p>
    <w:p>
      <w:pPr>
        <w:pStyle w:val="Compact"/>
        <w:numPr>
          <w:ilvl w:val="0"/>
          <w:numId w:val="1002"/>
        </w:numPr>
      </w:pPr>
      <w:r>
        <w:rPr>
          <w:b/>
          <w:bCs/>
        </w:rPr>
        <w:t xml:space="preserve">Largest Approved Deficits (Gaps):</w:t>
      </w:r>
    </w:p>
    <w:p>
      <w:pPr>
        <w:pStyle w:val="Compact"/>
        <w:numPr>
          <w:ilvl w:val="0"/>
          <w:numId w:val="1002"/>
        </w:numPr>
      </w:pPr>
      <w:r>
        <w:rPr>
          <w:i/>
          <w:iCs/>
        </w:rPr>
        <w:t xml:space="preserve">Infopark (FY2020-21):</w:t>
      </w:r>
      <w:r>
        <w:t xml:space="preserve"> </w:t>
      </w:r>
      <w:r>
        <w:t xml:space="preserve">Commission approved a gap of</w:t>
      </w:r>
      <w:r>
        <w:t xml:space="preserve"> </w:t>
      </w:r>
      <w:r>
        <w:rPr>
          <w:b/>
          <w:bCs/>
        </w:rPr>
        <w:t xml:space="preserve">₹60.80 lakh</w:t>
      </w:r>
      <w:hyperlink r:id="rId26">
        <w:r>
          <w:rPr>
            <w:rStyle w:val="Hyperlink"/>
          </w:rPr>
          <w:t xml:space="preserve">[5]</w:t>
        </w:r>
      </w:hyperlink>
      <w:r>
        <w:t xml:space="preserve"> </w:t>
      </w:r>
      <w:r>
        <w:t xml:space="preserve">(licensee had asked for ₹76.53 lakh).</w:t>
      </w:r>
    </w:p>
    <w:p>
      <w:pPr>
        <w:pStyle w:val="Compact"/>
        <w:numPr>
          <w:ilvl w:val="0"/>
          <w:numId w:val="1002"/>
        </w:numPr>
      </w:pPr>
      <w:r>
        <w:rPr>
          <w:b/>
          <w:bCs/>
        </w:rPr>
        <w:t xml:space="preserve">Significant Rejections (Disallowances):</w:t>
      </w:r>
      <w:r>
        <w:t xml:space="preserve"> </w:t>
      </w:r>
      <w:r>
        <w:t xml:space="preserve">In many cases the Commission reduced the claimed gap. E.g. Infopark asked for ₹76.53 lakh but was granted only ₹60.80 lakh</w:t>
      </w:r>
      <w:hyperlink r:id="rId26">
        <w:r>
          <w:rPr>
            <w:rStyle w:val="Hyperlink"/>
          </w:rPr>
          <w:t xml:space="preserve">[5]</w:t>
        </w:r>
      </w:hyperlink>
      <w:r>
        <w:t xml:space="preserve">; similarly, Infopark asked ₹79.76 lakh (FY2024-25) and was granted ₹64.72 lakh</w:t>
      </w:r>
      <w:hyperlink r:id="rId27">
        <w:r>
          <w:rPr>
            <w:rStyle w:val="Hyperlink"/>
          </w:rPr>
          <w:t xml:space="preserve">[6]</w:t>
        </w:r>
      </w:hyperlink>
      <w:r>
        <w:t xml:space="preserve">.</w:t>
      </w:r>
    </w:p>
    <w:p>
      <w:pPr>
        <w:pStyle w:val="Compact"/>
        <w:numPr>
          <w:ilvl w:val="0"/>
          <w:numId w:val="1002"/>
        </w:numPr>
      </w:pPr>
      <w:r>
        <w:rPr>
          <w:b/>
          <w:bCs/>
        </w:rPr>
        <w:t xml:space="preserve">“Overshoot” Decisions:</w:t>
      </w:r>
      <w:r>
        <w:t xml:space="preserve"> </w:t>
      </w:r>
      <w:r>
        <w:t xml:space="preserve">Sometimes the Commission granted more than asked. Notably,</w:t>
      </w:r>
      <w:r>
        <w:t xml:space="preserve"> </w:t>
      </w:r>
      <w:r>
        <w:rPr>
          <w:i/>
          <w:iCs/>
        </w:rPr>
        <w:t xml:space="preserve">CSEZA (FY2023-24)</w:t>
      </w:r>
      <w:r>
        <w:t xml:space="preserve">: licensee claimed a</w:t>
      </w:r>
      <w:r>
        <w:t xml:space="preserve"> </w:t>
      </w:r>
      <w:r>
        <w:rPr>
          <w:b/>
          <w:bCs/>
        </w:rPr>
        <w:t xml:space="preserve">small deficit</w:t>
      </w:r>
      <w:r>
        <w:t xml:space="preserve"> </w:t>
      </w:r>
      <w:r>
        <w:t xml:space="preserve">(–₹3.42 lakh) but KSERC approved a</w:t>
      </w:r>
      <w:r>
        <w:t xml:space="preserve"> </w:t>
      </w:r>
      <w:r>
        <w:rPr>
          <w:b/>
          <w:bCs/>
        </w:rPr>
        <w:t xml:space="preserve">large surplus</w:t>
      </w:r>
      <w:r>
        <w:t xml:space="preserve"> </w:t>
      </w:r>
      <w:r>
        <w:t xml:space="preserve">of</w:t>
      </w:r>
      <w:r>
        <w:t xml:space="preserve"> </w:t>
      </w:r>
      <w:r>
        <w:rPr>
          <w:b/>
          <w:bCs/>
        </w:rPr>
        <w:t xml:space="preserve">₹87.85 lakh</w:t>
      </w:r>
      <w:hyperlink r:id="rId28">
        <w:r>
          <w:rPr>
            <w:rStyle w:val="Hyperlink"/>
          </w:rPr>
          <w:t xml:space="preserve">[7]</w:t>
        </w:r>
      </w:hyperlink>
      <w:r>
        <w:t xml:space="preserve">. Likewise,</w:t>
      </w:r>
      <w:r>
        <w:t xml:space="preserve"> </w:t>
      </w:r>
      <w:r>
        <w:rPr>
          <w:i/>
          <w:iCs/>
        </w:rPr>
        <w:t xml:space="preserve">Kanan Devan (FY2021-22)</w:t>
      </w:r>
      <w:r>
        <w:t xml:space="preserve"> </w:t>
      </w:r>
      <w:r>
        <w:t xml:space="preserve">asked for a surplus of ₹13.61 lakh and got</w:t>
      </w:r>
      <w:r>
        <w:t xml:space="preserve"> </w:t>
      </w:r>
      <w:r>
        <w:rPr>
          <w:b/>
          <w:bCs/>
        </w:rPr>
        <w:t xml:space="preserve">₹58.72 lakh</w:t>
      </w:r>
      <w:hyperlink r:id="rId29">
        <w:r>
          <w:rPr>
            <w:rStyle w:val="Hyperlink"/>
          </w:rPr>
          <w:t xml:space="preserve">[8]</w:t>
        </w:r>
      </w:hyperlink>
      <w:r>
        <w:t xml:space="preserve">. These reversals illustrate how the AI must consider both licensee claims and regulatory judgment.</w:t>
      </w:r>
    </w:p>
    <w:p>
      <w:pPr>
        <w:pStyle w:val="FirstParagraph"/>
      </w:pPr>
      <w:r>
        <w:t xml:space="preserve">In summary, the tool’s calculations should be checked against such benchmarks: e.g. no historical surplus exceeded ₹280 lakh, and the largest gaps were on the order of ₹60 lakh. The AI should also learn patterns (e.g. caps on allowed cost items) from past decisions.</w:t>
      </w:r>
    </w:p>
    <w:bookmarkEnd w:id="30"/>
    <w:bookmarkStart w:id="33" w:name="ai-architecture-brain-recommendation"/>
    <w:p>
      <w:pPr>
        <w:pStyle w:val="Heading2"/>
      </w:pPr>
      <w:r>
        <w:t xml:space="preserve">AI Architecture (“Brain”) Recommendation</w:t>
      </w:r>
    </w:p>
    <w:p>
      <w:pPr>
        <w:pStyle w:val="FirstParagraph"/>
      </w:pPr>
      <w:r>
        <w:t xml:space="preserve">For an</w:t>
      </w:r>
      <w:r>
        <w:t xml:space="preserve"> </w:t>
      </w:r>
      <w:r>
        <w:rPr>
          <w:b/>
          <w:bCs/>
        </w:rPr>
        <w:t xml:space="preserve">intelligent truing-up tool</w:t>
      </w:r>
      <w:r>
        <w:t xml:space="preserve">, use a hybrid LLM+retrieval system. In practice, this means a</w:t>
      </w:r>
      <w:r>
        <w:t xml:space="preserve"> </w:t>
      </w:r>
      <w:r>
        <w:rPr>
          <w:b/>
          <w:bCs/>
        </w:rPr>
        <w:t xml:space="preserve">Retrieval-Augmented Generation (RAG)</w:t>
      </w:r>
      <w:r>
        <w:t xml:space="preserve"> </w:t>
      </w:r>
      <w:r>
        <w:t xml:space="preserve">architecture</w:t>
      </w:r>
      <w:hyperlink r:id="rId31">
        <w:r>
          <w:rPr>
            <w:rStyle w:val="Hyperlink"/>
          </w:rPr>
          <w:t xml:space="preserve">[9]</w:t>
        </w:r>
      </w:hyperlink>
      <w:hyperlink r:id="rId32">
        <w:r>
          <w:rPr>
            <w:rStyle w:val="Hyperlink"/>
          </w:rPr>
          <w:t xml:space="preserve">[10]</w:t>
        </w:r>
      </w:hyperlink>
      <w:r>
        <w:t xml:space="preserve">. Steps include:</w:t>
      </w:r>
    </w:p>
    <w:p>
      <w:pPr>
        <w:pStyle w:val="Compact"/>
        <w:numPr>
          <w:ilvl w:val="0"/>
          <w:numId w:val="1003"/>
        </w:numPr>
      </w:pPr>
      <w:r>
        <w:rPr>
          <w:b/>
          <w:bCs/>
        </w:rPr>
        <w:t xml:space="preserve">Knowledge Base:</w:t>
      </w:r>
      <w:r>
        <w:t xml:space="preserve"> </w:t>
      </w:r>
      <w:r>
        <w:t xml:space="preserve">Index all KSERC regulations, tariff orders, past truing-up orders, etc. into a vector database. This anchors reasoning in authoritative text.</w:t>
      </w:r>
    </w:p>
    <w:p>
      <w:pPr>
        <w:pStyle w:val="Compact"/>
        <w:numPr>
          <w:ilvl w:val="0"/>
          <w:numId w:val="1003"/>
        </w:numPr>
      </w:pPr>
      <w:r>
        <w:rPr>
          <w:b/>
          <w:bCs/>
        </w:rPr>
        <w:t xml:space="preserve">Retrieval:</w:t>
      </w:r>
      <w:r>
        <w:t xml:space="preserve"> </w:t>
      </w:r>
      <w:r>
        <w:t xml:space="preserve">For each claim (e.g. a cost item in uploaded accounts), retrieve relevant regulations or past findings. RAG methods ensure outputs are grounded in source documents</w:t>
      </w:r>
      <w:hyperlink r:id="rId31">
        <w:r>
          <w:rPr>
            <w:rStyle w:val="Hyperlink"/>
          </w:rPr>
          <w:t xml:space="preserve">[9]</w:t>
        </w:r>
      </w:hyperlink>
      <w:r>
        <w:t xml:space="preserve">.</w:t>
      </w:r>
    </w:p>
    <w:p>
      <w:pPr>
        <w:pStyle w:val="Compact"/>
        <w:numPr>
          <w:ilvl w:val="0"/>
          <w:numId w:val="1003"/>
        </w:numPr>
      </w:pPr>
      <w:r>
        <w:rPr>
          <w:b/>
          <w:bCs/>
        </w:rPr>
        <w:t xml:space="preserve">Reasoning Module:</w:t>
      </w:r>
      <w:r>
        <w:t xml:space="preserve"> </w:t>
      </w:r>
      <w:r>
        <w:t xml:space="preserve">Use a large language model (LLM) or chain-of-thought prompts (e.g. via LangChain) to apply business rules to the data. For example, the LLM can “reason” that a 50% jump in power purchase cost vs only 10% load growth is suspicious, referencing related clauses.</w:t>
      </w:r>
    </w:p>
    <w:p>
      <w:pPr>
        <w:pStyle w:val="Compact"/>
        <w:numPr>
          <w:ilvl w:val="0"/>
          <w:numId w:val="1003"/>
        </w:numPr>
      </w:pPr>
      <w:r>
        <w:rPr>
          <w:b/>
          <w:bCs/>
        </w:rPr>
        <w:t xml:space="preserve">Traceability:</w:t>
      </w:r>
      <w:r>
        <w:t xml:space="preserve"> </w:t>
      </w:r>
      <w:r>
        <w:t xml:space="preserve">Follow an industrial RAG pattern: each answer cites specific clauses/order excerpts</w:t>
      </w:r>
      <w:hyperlink r:id="rId31">
        <w:r>
          <w:rPr>
            <w:rStyle w:val="Hyperlink"/>
          </w:rPr>
          <w:t xml:space="preserve">[9]</w:t>
        </w:r>
      </w:hyperlink>
      <w:hyperlink r:id="rId32">
        <w:r>
          <w:rPr>
            <w:rStyle w:val="Hyperlink"/>
          </w:rPr>
          <w:t xml:space="preserve">[10]</w:t>
        </w:r>
      </w:hyperlink>
      <w:r>
        <w:t xml:space="preserve">. This mirrors a regulator’s analysis and allows auditing.</w:t>
      </w:r>
    </w:p>
    <w:p>
      <w:pPr>
        <w:pStyle w:val="FirstParagraph"/>
      </w:pPr>
      <w:r>
        <w:t xml:space="preserve">Studies confirm RAG is the state-of-art for regulatory compliance tasks: it “grounds model outputs in authoritative sources” and mitigates hallucinations</w:t>
      </w:r>
      <w:hyperlink r:id="rId32">
        <w:r>
          <w:rPr>
            <w:rStyle w:val="Hyperlink"/>
          </w:rPr>
          <w:t xml:space="preserve">[10]</w:t>
        </w:r>
      </w:hyperlink>
      <w:r>
        <w:t xml:space="preserve">. A lightweight open LLM (like LLaMA2, Mistral, or an openGPT) can be used with vector retrieval. Optionally, an agent framework (e.g. LangChain) can orchestrate reading the PDF filings, retrieving rules, and computing checks. This AI “brain” thus emulates KSERC’s prudence checks in a scalable way, using learned logic from historical decisions to automatically approve or flag each line item</w:t>
      </w:r>
      <w:hyperlink r:id="rId31">
        <w:r>
          <w:rPr>
            <w:rStyle w:val="Hyperlink"/>
          </w:rPr>
          <w:t xml:space="preserve">[9]</w:t>
        </w:r>
      </w:hyperlink>
      <w:hyperlink r:id="rId32">
        <w:r>
          <w:rPr>
            <w:rStyle w:val="Hyperlink"/>
          </w:rPr>
          <w:t xml:space="preserve">[10]</w:t>
        </w:r>
      </w:hyperlink>
      <w:r>
        <w:t xml:space="preserve">.</w:t>
      </w:r>
    </w:p>
    <w:p>
      <w:pPr>
        <w:pStyle w:val="BodyText"/>
      </w:pPr>
      <w:r>
        <w:rPr>
          <w:b/>
          <w:bCs/>
        </w:rPr>
        <w:t xml:space="preserve">Sources:</w:t>
      </w:r>
      <w:r>
        <w:t xml:space="preserve"> </w:t>
      </w:r>
      <w:r>
        <w:t xml:space="preserve">Official KSERC tariff and truing-up orders (see citations) and AI literature on RAG</w:t>
      </w:r>
      <w:hyperlink r:id="rId31">
        <w:r>
          <w:rPr>
            <w:rStyle w:val="Hyperlink"/>
          </w:rPr>
          <w:t xml:space="preserve">[9]</w:t>
        </w:r>
      </w:hyperlink>
      <w:hyperlink r:id="rId32">
        <w:r>
          <w:rPr>
            <w:rStyle w:val="Hyperlink"/>
          </w:rPr>
          <w:t xml:space="preserve">[10]</w:t>
        </w:r>
      </w:hyperlink>
      <w:r>
        <w:t xml:space="preserve">.</w:t>
      </w:r>
    </w:p>
    <w:bookmarkEnd w:id="33"/>
    <w:bookmarkEnd w:id="34"/>
    <w:bookmarkEnd w:id="35"/>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r>
        <w:t xml:space="preserve">dev.erckerala.org</w:t>
      </w:r>
    </w:p>
    <w:p>
      <w:pPr>
        <w:pStyle w:val="BodyText"/>
      </w:pPr>
      <w:hyperlink r:id="rId36">
        <w:r>
          <w:rPr>
            <w:rStyle w:val="Hyperlink"/>
          </w:rPr>
          <w:t xml:space="preserve">https://dev.erckerala.org/api/storage/orders/4oCCQ0wKvD6JXgqSWWX37B1EQDZHhWiAvPSo4EFa.pdf</w:t>
        </w:r>
      </w:hyperlink>
    </w:p>
    <w:p>
      <w:pPr>
        <w:pStyle w:val="BodyText"/>
      </w:pPr>
      <w:hyperlink r:id="rId23">
        <w:r>
          <w:rPr>
            <w:rStyle w:val="Hyperlink"/>
          </w:rPr>
          <w:t xml:space="preserve">[2]</w:t>
        </w:r>
      </w:hyperlink>
      <w:r>
        <w:t xml:space="preserve"> </w:t>
      </w:r>
      <w:r>
        <w:t xml:space="preserve">dev.erckerala.org</w:t>
      </w:r>
    </w:p>
    <w:p>
      <w:pPr>
        <w:pStyle w:val="BodyText"/>
      </w:pPr>
      <w:hyperlink r:id="rId37">
        <w:r>
          <w:rPr>
            <w:rStyle w:val="Hyperlink"/>
          </w:rPr>
          <w:t xml:space="preserve">https://dev.erckerala.org/api/storage/orders/OCyFVapgmNx97FxNxT037bxk5E6q4xRLzHTyGouo.pdf</w:t>
        </w:r>
      </w:hyperlink>
    </w:p>
    <w:p>
      <w:pPr>
        <w:pStyle w:val="BodyText"/>
      </w:pPr>
      <w:hyperlink r:id="rId24">
        <w:r>
          <w:rPr>
            <w:rStyle w:val="Hyperlink"/>
          </w:rPr>
          <w:t xml:space="preserve">[3]</w:t>
        </w:r>
      </w:hyperlink>
      <w:r>
        <w:t xml:space="preserve"> </w:t>
      </w:r>
      <w:r>
        <w:t xml:space="preserve">dev.erckerala.org</w:t>
      </w:r>
    </w:p>
    <w:p>
      <w:pPr>
        <w:pStyle w:val="BodyText"/>
      </w:pPr>
      <w:hyperlink r:id="rId38">
        <w:r>
          <w:rPr>
            <w:rStyle w:val="Hyperlink"/>
          </w:rPr>
          <w:t xml:space="preserve">https://dev.erckerala.org/api/storage/orders/BY1ZspW1cmduqw9Ja8rX7IYON1sHoD5MvIdjW0w2.pdf</w:t>
        </w:r>
      </w:hyperlink>
    </w:p>
    <w:p>
      <w:pPr>
        <w:pStyle w:val="BodyText"/>
      </w:pPr>
      <w:hyperlink r:id="rId25">
        <w:r>
          <w:rPr>
            <w:rStyle w:val="Hyperlink"/>
          </w:rPr>
          <w:t xml:space="preserve">[4]</w:t>
        </w:r>
      </w:hyperlink>
      <w:r>
        <w:t xml:space="preserve"> </w:t>
      </w:r>
      <w:r>
        <w:t xml:space="preserve">dev.erckerala.org</w:t>
      </w:r>
    </w:p>
    <w:p>
      <w:pPr>
        <w:pStyle w:val="BodyText"/>
      </w:pPr>
      <w:hyperlink r:id="rId39">
        <w:r>
          <w:rPr>
            <w:rStyle w:val="Hyperlink"/>
          </w:rPr>
          <w:t xml:space="preserve">https://dev.erckerala.org/api/storage/orders/dfjnItm6NJjfwoR5UuCmVVhMP5X0v4kUwbyZv93Y.pdf</w:t>
        </w:r>
      </w:hyperlink>
    </w:p>
    <w:p>
      <w:pPr>
        <w:pStyle w:val="BodyText"/>
      </w:pPr>
      <w:hyperlink r:id="rId26">
        <w:r>
          <w:rPr>
            <w:rStyle w:val="Hyperlink"/>
          </w:rPr>
          <w:t xml:space="preserve">[5]</w:t>
        </w:r>
      </w:hyperlink>
      <w:r>
        <w:t xml:space="preserve"> </w:t>
      </w:r>
      <w:r>
        <w:t xml:space="preserve">dev.erckerala.org</w:t>
      </w:r>
    </w:p>
    <w:p>
      <w:pPr>
        <w:pStyle w:val="BodyText"/>
      </w:pPr>
      <w:hyperlink r:id="rId40">
        <w:r>
          <w:rPr>
            <w:rStyle w:val="Hyperlink"/>
          </w:rPr>
          <w:t xml:space="preserve">https://dev.erckerala.org/api/storage/orders/QQZhGryCScqMXbPNJa5ksS48czijaHKTe6SJK6m5.pdf</w:t>
        </w:r>
      </w:hyperlink>
    </w:p>
    <w:p>
      <w:pPr>
        <w:pStyle w:val="BodyText"/>
      </w:pPr>
      <w:hyperlink r:id="rId28">
        <w:r>
          <w:rPr>
            <w:rStyle w:val="Hyperlink"/>
          </w:rPr>
          <w:t xml:space="preserve">[7]</w:t>
        </w:r>
      </w:hyperlink>
      <w:r>
        <w:t xml:space="preserve"> </w:t>
      </w:r>
      <w:r>
        <w:t xml:space="preserve">dev.erckerala.org</w:t>
      </w:r>
    </w:p>
    <w:p>
      <w:pPr>
        <w:pStyle w:val="BodyText"/>
      </w:pPr>
      <w:hyperlink r:id="rId41">
        <w:r>
          <w:rPr>
            <w:rStyle w:val="Hyperlink"/>
          </w:rPr>
          <w:t xml:space="preserve">https://dev.erckerala.org/api/storage/orders/4tJUDAQTbsKpyuIrhKZlLqDecGSn0YlqPmwJU3xq.pdf</w:t>
        </w:r>
      </w:hyperlink>
    </w:p>
    <w:p>
      <w:pPr>
        <w:pStyle w:val="BodyText"/>
      </w:pPr>
      <w:hyperlink r:id="rId29">
        <w:r>
          <w:rPr>
            <w:rStyle w:val="Hyperlink"/>
          </w:rPr>
          <w:t xml:space="preserve">[8]</w:t>
        </w:r>
      </w:hyperlink>
      <w:r>
        <w:t xml:space="preserve"> </w:t>
      </w:r>
      <w:r>
        <w:t xml:space="preserve">dev.erckerala.org</w:t>
      </w:r>
    </w:p>
    <w:p>
      <w:pPr>
        <w:pStyle w:val="BodyText"/>
      </w:pPr>
      <w:hyperlink r:id="rId42">
        <w:r>
          <w:rPr>
            <w:rStyle w:val="Hyperlink"/>
          </w:rPr>
          <w:t xml:space="preserve">https://dev.erckerala.org/api/storage/orders/Plb0Wjc3X5cl5sjFIADBwLqCZKcwTEnK1RosRGpx.pdf</w:t>
        </w:r>
      </w:hyperlink>
    </w:p>
    <w:p>
      <w:pPr>
        <w:pStyle w:val="BodyText"/>
      </w:pPr>
      <w:hyperlink r:id="rId31">
        <w:r>
          <w:rPr>
            <w:rStyle w:val="Hyperlink"/>
          </w:rPr>
          <w:t xml:space="preserve">[9]</w:t>
        </w:r>
      </w:hyperlink>
      <w:r>
        <w:t xml:space="preserve"> </w:t>
      </w:r>
      <w:r>
        <w:t xml:space="preserve"> </w:t>
      </w:r>
      <w:r>
        <w:t xml:space="preserve">Retrieval Augmented Generation (RAG) for Evaluating Regulatory Compliance of Drug Information and Clinical Trial Protocols - PMC</w:t>
      </w:r>
      <w:r>
        <w:t xml:space="preserve"> </w:t>
      </w:r>
    </w:p>
    <w:p>
      <w:pPr>
        <w:pStyle w:val="BodyText"/>
      </w:pPr>
      <w:hyperlink r:id="rId43">
        <w:r>
          <w:rPr>
            <w:rStyle w:val="Hyperlink"/>
          </w:rPr>
          <w:t xml:space="preserve">https://pmc.ncbi.nlm.nih.gov/articles/PMC12917324/</w:t>
        </w:r>
      </w:hyperlink>
    </w:p>
    <w:p>
      <w:pPr>
        <w:pStyle w:val="BodyText"/>
      </w:pPr>
      <w:hyperlink r:id="rId32">
        <w:r>
          <w:rPr>
            <w:rStyle w:val="Hyperlink"/>
          </w:rPr>
          <w:t xml:space="preserve">[10]</w:t>
        </w:r>
      </w:hyperlink>
      <w:r>
        <w:t xml:space="preserve"> </w:t>
      </w:r>
      <w:r>
        <w:t xml:space="preserve">RegGuard: AI-Powered Retrieval-Enhanced Assistant for Pharmaceutical Regulatory Compliance</w:t>
      </w:r>
    </w:p>
    <w:p>
      <w:pPr>
        <w:pStyle w:val="BodyText"/>
      </w:pPr>
      <w:hyperlink r:id="rId44">
        <w:r>
          <w:rPr>
            <w:rStyle w:val="Hyperlink"/>
          </w:rPr>
          <w:t xml:space="preserve">https://arxiv.org/html/2601.17826v1</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arxiv.org/html/2601.17826v1" TargetMode="External" /><Relationship Type="http://schemas.openxmlformats.org/officeDocument/2006/relationships/hyperlink" Id="rId32" Target="https://arxiv.org/html/2601.17826v1#:~:text=adapts%20poorly%20to%20rapidly%20evolving,stages%20of%20the%20RAG%20pipeline%E2%80%94chunking" TargetMode="External" /><Relationship Type="http://schemas.openxmlformats.org/officeDocument/2006/relationships/hyperlink" Id="rId36" Target="https://dev.erckerala.org/api/storage/orders/4oCCQ0wKvD6JXgqSWWX37B1EQDZHhWiAvPSo4EFa.pdf" TargetMode="External" /><Relationship Type="http://schemas.openxmlformats.org/officeDocument/2006/relationships/hyperlink" Id="rId21" Target="https://dev.erckerala.org/api/storage/orders/4oCCQ0wKvD6JXgqSWWX37B1EQDZHhWiAvPSo4EFa.pdf#:~:text=Carrying%20cost%20for%20past%20revenue,62" TargetMode="External" /><Relationship Type="http://schemas.openxmlformats.org/officeDocument/2006/relationships/hyperlink" Id="rId27" Target="https://dev.erckerala.org/api/storage/orders/4oCCQ0wKvD6JXgqSWWX37B1EQDZHhWiAvPSo4EFa.pdf#:~:text=Total%20Revenue%2FERC%20792,accounts%20is%20as%20shown%20below" TargetMode="External" /><Relationship Type="http://schemas.openxmlformats.org/officeDocument/2006/relationships/hyperlink" Id="rId41" Target="https://dev.erckerala.org/api/storage/orders/4tJUDAQTbsKpyuIrhKZlLqDecGSn0YlqPmwJU3xq.pdf" TargetMode="External" /><Relationship Type="http://schemas.openxmlformats.org/officeDocument/2006/relationships/hyperlink" Id="rId28" Target="https://dev.erckerala.org/api/storage/orders/4tJUDAQTbsKpyuIrhKZlLqDecGSn0YlqPmwJU3xq.pdf#:~:text=Total%20Expenditure%204192,3.41%2087.85" TargetMode="External" /><Relationship Type="http://schemas.openxmlformats.org/officeDocument/2006/relationships/hyperlink" Id="rId38" Target="https://dev.erckerala.org/api/storage/orders/BY1ZspW1cmduqw9Ja8rX7IYON1sHoD5MvIdjW0w2.pdf" TargetMode="External" /><Relationship Type="http://schemas.openxmlformats.org/officeDocument/2006/relationships/hyperlink" Id="rId24" Target="https://dev.erckerala.org/api/storage/orders/BY1ZspW1cmduqw9Ja8rX7IYON1sHoD5MvIdjW0w2.pdf#:~:text=the%20following,However%2C%20the%20licensee%20has%20made" TargetMode="External" /><Relationship Type="http://schemas.openxmlformats.org/officeDocument/2006/relationships/hyperlink" Id="rId37" Target="https://dev.erckerala.org/api/storage/orders/OCyFVapgmNx97FxNxT037bxk5E6q4xRLzHTyGouo.pdf" TargetMode="External" /><Relationship Type="http://schemas.openxmlformats.org/officeDocument/2006/relationships/hyperlink" Id="rId23" Target="https://dev.erckerala.org/api/storage/orders/OCyFVapgmNx97FxNxT037bxk5E6q4xRLzHTyGouo.pdf#:~:text=a%29%20Total%20revenue%20is%20Rs,20%20is%20Rs.2267.07%20lakh" TargetMode="External" /><Relationship Type="http://schemas.openxmlformats.org/officeDocument/2006/relationships/hyperlink" Id="rId42" Target="https://dev.erckerala.org/api/storage/orders/Plb0Wjc3X5cl5sjFIADBwLqCZKcwTEnK1RosRGpx.pdf" TargetMode="External" /><Relationship Type="http://schemas.openxmlformats.org/officeDocument/2006/relationships/hyperlink" Id="rId29" Target="https://dev.erckerala.org/api/storage/orders/Plb0Wjc3X5cl5sjFIADBwLqCZKcwTEnK1RosRGpx.pdf#:~:text=Total%20Income%2FERC%203476,the%20clarifications%20and%20details%20provided" TargetMode="External" /><Relationship Type="http://schemas.openxmlformats.org/officeDocument/2006/relationships/hyperlink" Id="rId40" Target="https://dev.erckerala.org/api/storage/orders/QQZhGryCScqMXbPNJa5ksS48czijaHKTe6SJK6m5.pdf" TargetMode="External" /><Relationship Type="http://schemas.openxmlformats.org/officeDocument/2006/relationships/hyperlink" Id="rId26" Target="https://dev.erckerala.org/api/storage/orders/QQZhGryCScqMXbPNJa5ksS48czijaHKTe6SJK6m5.pdf#:~:text=64,21%20Particulars%20ARR" TargetMode="External" /><Relationship Type="http://schemas.openxmlformats.org/officeDocument/2006/relationships/hyperlink" Id="rId39" Target="https://dev.erckerala.org/api/storage/orders/dfjnItm6NJjfwoR5UuCmVVhMP5X0v4kUwbyZv93Y.pdf" TargetMode="External" /><Relationship Type="http://schemas.openxmlformats.org/officeDocument/2006/relationships/hyperlink" Id="rId25" Target="https://dev.erckerala.org/api/storage/orders/dfjnItm6NJjfwoR5UuCmVVhMP5X0v4kUwbyZv93Y.pdf#:~:text=a%29%20Total%20revenue%20is%20Rs,23%20will%20be%20Rs.1150.99%20lakh" TargetMode="External" /><Relationship Type="http://schemas.openxmlformats.org/officeDocument/2006/relationships/hyperlink" Id="rId43" Target="https://pmc.ncbi.nlm.nih.gov/articles/PMC12917324/" TargetMode="External" /><Relationship Type="http://schemas.openxmlformats.org/officeDocument/2006/relationships/hyperlink" Id="rId31" Target="https://pmc.ncbi.nlm.nih.gov/articles/PMC12917324/#:~:text=Retrieval%E2%80%90augmented%20generation%20,to%20address%20task%E2%80%90specific%20needs%20and" TargetMode="External" /></Relationships>
</file>

<file path=word/_rels/footnotes.xml.rels><?xml version="1.0" encoding="UTF-8"?><Relationships xmlns="http://schemas.openxmlformats.org/package/2006/relationships"><Relationship Type="http://schemas.openxmlformats.org/officeDocument/2006/relationships/hyperlink" Id="rId44" Target="https://arxiv.org/html/2601.17826v1" TargetMode="External" /><Relationship Type="http://schemas.openxmlformats.org/officeDocument/2006/relationships/hyperlink" Id="rId32" Target="https://arxiv.org/html/2601.17826v1#:~:text=adapts%20poorly%20to%20rapidly%20evolving,stages%20of%20the%20RAG%20pipeline%E2%80%94chunking" TargetMode="External" /><Relationship Type="http://schemas.openxmlformats.org/officeDocument/2006/relationships/hyperlink" Id="rId36" Target="https://dev.erckerala.org/api/storage/orders/4oCCQ0wKvD6JXgqSWWX37B1EQDZHhWiAvPSo4EFa.pdf" TargetMode="External" /><Relationship Type="http://schemas.openxmlformats.org/officeDocument/2006/relationships/hyperlink" Id="rId21" Target="https://dev.erckerala.org/api/storage/orders/4oCCQ0wKvD6JXgqSWWX37B1EQDZHhWiAvPSo4EFa.pdf#:~:text=Carrying%20cost%20for%20past%20revenue,62" TargetMode="External" /><Relationship Type="http://schemas.openxmlformats.org/officeDocument/2006/relationships/hyperlink" Id="rId27" Target="https://dev.erckerala.org/api/storage/orders/4oCCQ0wKvD6JXgqSWWX37B1EQDZHhWiAvPSo4EFa.pdf#:~:text=Total%20Revenue%2FERC%20792,accounts%20is%20as%20shown%20below" TargetMode="External" /><Relationship Type="http://schemas.openxmlformats.org/officeDocument/2006/relationships/hyperlink" Id="rId41" Target="https://dev.erckerala.org/api/storage/orders/4tJUDAQTbsKpyuIrhKZlLqDecGSn0YlqPmwJU3xq.pdf" TargetMode="External" /><Relationship Type="http://schemas.openxmlformats.org/officeDocument/2006/relationships/hyperlink" Id="rId28" Target="https://dev.erckerala.org/api/storage/orders/4tJUDAQTbsKpyuIrhKZlLqDecGSn0YlqPmwJU3xq.pdf#:~:text=Total%20Expenditure%204192,3.41%2087.85" TargetMode="External" /><Relationship Type="http://schemas.openxmlformats.org/officeDocument/2006/relationships/hyperlink" Id="rId38" Target="https://dev.erckerala.org/api/storage/orders/BY1ZspW1cmduqw9Ja8rX7IYON1sHoD5MvIdjW0w2.pdf" TargetMode="External" /><Relationship Type="http://schemas.openxmlformats.org/officeDocument/2006/relationships/hyperlink" Id="rId24" Target="https://dev.erckerala.org/api/storage/orders/BY1ZspW1cmduqw9Ja8rX7IYON1sHoD5MvIdjW0w2.pdf#:~:text=the%20following,However%2C%20the%20licensee%20has%20made" TargetMode="External" /><Relationship Type="http://schemas.openxmlformats.org/officeDocument/2006/relationships/hyperlink" Id="rId37" Target="https://dev.erckerala.org/api/storage/orders/OCyFVapgmNx97FxNxT037bxk5E6q4xRLzHTyGouo.pdf" TargetMode="External" /><Relationship Type="http://schemas.openxmlformats.org/officeDocument/2006/relationships/hyperlink" Id="rId23" Target="https://dev.erckerala.org/api/storage/orders/OCyFVapgmNx97FxNxT037bxk5E6q4xRLzHTyGouo.pdf#:~:text=a%29%20Total%20revenue%20is%20Rs,20%20is%20Rs.2267.07%20lakh" TargetMode="External" /><Relationship Type="http://schemas.openxmlformats.org/officeDocument/2006/relationships/hyperlink" Id="rId42" Target="https://dev.erckerala.org/api/storage/orders/Plb0Wjc3X5cl5sjFIADBwLqCZKcwTEnK1RosRGpx.pdf" TargetMode="External" /><Relationship Type="http://schemas.openxmlformats.org/officeDocument/2006/relationships/hyperlink" Id="rId29" Target="https://dev.erckerala.org/api/storage/orders/Plb0Wjc3X5cl5sjFIADBwLqCZKcwTEnK1RosRGpx.pdf#:~:text=Total%20Income%2FERC%203476,the%20clarifications%20and%20details%20provided" TargetMode="External" /><Relationship Type="http://schemas.openxmlformats.org/officeDocument/2006/relationships/hyperlink" Id="rId40" Target="https://dev.erckerala.org/api/storage/orders/QQZhGryCScqMXbPNJa5ksS48czijaHKTe6SJK6m5.pdf" TargetMode="External" /><Relationship Type="http://schemas.openxmlformats.org/officeDocument/2006/relationships/hyperlink" Id="rId26" Target="https://dev.erckerala.org/api/storage/orders/QQZhGryCScqMXbPNJa5ksS48czijaHKTe6SJK6m5.pdf#:~:text=64,21%20Particulars%20ARR" TargetMode="External" /><Relationship Type="http://schemas.openxmlformats.org/officeDocument/2006/relationships/hyperlink" Id="rId39" Target="https://dev.erckerala.org/api/storage/orders/dfjnItm6NJjfwoR5UuCmVVhMP5X0v4kUwbyZv93Y.pdf" TargetMode="External" /><Relationship Type="http://schemas.openxmlformats.org/officeDocument/2006/relationships/hyperlink" Id="rId25" Target="https://dev.erckerala.org/api/storage/orders/dfjnItm6NJjfwoR5UuCmVVhMP5X0v4kUwbyZv93Y.pdf#:~:text=a%29%20Total%20revenue%20is%20Rs,23%20will%20be%20Rs.1150.99%20lakh" TargetMode="External" /><Relationship Type="http://schemas.openxmlformats.org/officeDocument/2006/relationships/hyperlink" Id="rId43" Target="https://pmc.ncbi.nlm.nih.gov/articles/PMC12917324/" TargetMode="External" /><Relationship Type="http://schemas.openxmlformats.org/officeDocument/2006/relationships/hyperlink" Id="rId31" Target="https://pmc.ncbi.nlm.nih.gov/articles/PMC12917324/#:~:text=Retrieval%E2%80%90augmented%20generation%20,to%20address%20task%E2%80%90specific%20needs%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2026-02-23T14:05:18Z</dcterms:created>
  <dcterms:modified xsi:type="dcterms:W3CDTF">2026-02-23T14:05:18Z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