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108FD8" w14:textId="77777777" w:rsidR="00C411DF" w:rsidRPr="00801480" w:rsidRDefault="00C411DF" w:rsidP="00C411DF">
      <w:pPr>
        <w:jc w:val="both"/>
        <w:rPr>
          <w:rFonts w:ascii="Times New Roman" w:hAnsi="Times New Roman" w:cs="Times New Roman"/>
          <w:sz w:val="24"/>
          <w:szCs w:val="24"/>
        </w:rPr>
      </w:pPr>
      <w:bookmarkStart w:id="0" w:name="_GoBack"/>
      <w:bookmarkEnd w:id="0"/>
      <w:r w:rsidRPr="00801480">
        <w:rPr>
          <w:rFonts w:ascii="Times New Roman" w:hAnsi="Times New Roman" w:cs="Times New Roman"/>
          <w:noProof/>
          <w:sz w:val="24"/>
          <w:szCs w:val="24"/>
          <w:lang w:eastAsia="en-IN"/>
        </w:rPr>
        <w:drawing>
          <wp:anchor distT="0" distB="0" distL="114300" distR="114300" simplePos="0" relativeHeight="251659264" behindDoc="0" locked="0" layoutInCell="1" allowOverlap="1" wp14:anchorId="00F06BED" wp14:editId="2269129B">
            <wp:simplePos x="0" y="0"/>
            <wp:positionH relativeFrom="margin">
              <wp:align>center</wp:align>
            </wp:positionH>
            <wp:positionV relativeFrom="paragraph">
              <wp:posOffset>231</wp:posOffset>
            </wp:positionV>
            <wp:extent cx="1487170" cy="2753995"/>
            <wp:effectExtent l="0" t="0" r="0" b="8255"/>
            <wp:wrapTopAndBottom/>
            <wp:docPr id="2" name="Picture 2" descr="Our Brand Identity » PES University">
              <a:extLst xmlns:a="http://schemas.openxmlformats.org/drawingml/2006/main">
                <a:ext uri="{FF2B5EF4-FFF2-40B4-BE49-F238E27FC236}">
                  <a16:creationId xmlns:a16="http://schemas.microsoft.com/office/drawing/2014/main" id="{4C27B3F4-654C-E082-EC0A-ACB0F01F22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ur Brand Identity » PES University">
                      <a:extLst>
                        <a:ext uri="{FF2B5EF4-FFF2-40B4-BE49-F238E27FC236}">
                          <a16:creationId xmlns:a16="http://schemas.microsoft.com/office/drawing/2014/main" id="{4C27B3F4-654C-E082-EC0A-ACB0F01F22CB}"/>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87170" cy="2753995"/>
                    </a:xfrm>
                    <a:prstGeom prst="rect">
                      <a:avLst/>
                    </a:prstGeom>
                    <a:noFill/>
                    <a:extLst/>
                  </pic:spPr>
                </pic:pic>
              </a:graphicData>
            </a:graphic>
            <wp14:sizeRelH relativeFrom="margin">
              <wp14:pctWidth>0</wp14:pctWidth>
            </wp14:sizeRelH>
            <wp14:sizeRelV relativeFrom="margin">
              <wp14:pctHeight>0</wp14:pctHeight>
            </wp14:sizeRelV>
          </wp:anchor>
        </w:drawing>
      </w:r>
    </w:p>
    <w:p w14:paraId="676B13C7" w14:textId="77777777" w:rsidR="00C411DF" w:rsidRDefault="00C411DF" w:rsidP="00C411DF">
      <w:pPr>
        <w:jc w:val="both"/>
        <w:rPr>
          <w:rFonts w:ascii="Times New Roman" w:hAnsi="Times New Roman" w:cs="Times New Roman"/>
          <w:sz w:val="24"/>
          <w:szCs w:val="24"/>
        </w:rPr>
      </w:pPr>
    </w:p>
    <w:p w14:paraId="11E2AFFC" w14:textId="6262630B" w:rsidR="00C411DF" w:rsidRPr="001C5C9B" w:rsidRDefault="00C411DF" w:rsidP="00C411DF">
      <w:pPr>
        <w:jc w:val="center"/>
        <w:rPr>
          <w:rFonts w:ascii="Times New Roman" w:hAnsi="Times New Roman" w:cs="Times New Roman"/>
          <w:b/>
          <w:sz w:val="32"/>
          <w:szCs w:val="24"/>
        </w:rPr>
      </w:pPr>
      <w:r>
        <w:rPr>
          <w:rFonts w:ascii="Times New Roman" w:hAnsi="Times New Roman" w:cs="Times New Roman"/>
          <w:b/>
          <w:sz w:val="32"/>
          <w:szCs w:val="24"/>
        </w:rPr>
        <w:t xml:space="preserve">Subject: </w:t>
      </w:r>
      <w:r>
        <w:rPr>
          <w:rFonts w:ascii="Times New Roman" w:hAnsi="Times New Roman" w:cs="Times New Roman"/>
          <w:b/>
          <w:sz w:val="32"/>
          <w:szCs w:val="24"/>
        </w:rPr>
        <w:t>Investment Management</w:t>
      </w:r>
    </w:p>
    <w:p w14:paraId="4085FF3C" w14:textId="6EEBD028" w:rsidR="00C411DF" w:rsidRPr="00A676E2" w:rsidRDefault="00C411DF" w:rsidP="00C411DF">
      <w:pPr>
        <w:pStyle w:val="Header"/>
        <w:jc w:val="center"/>
        <w:rPr>
          <w:b/>
        </w:rPr>
      </w:pPr>
      <w:r w:rsidRPr="001C5C9B">
        <w:rPr>
          <w:rFonts w:ascii="Times New Roman" w:hAnsi="Times New Roman" w:cs="Times New Roman"/>
          <w:b/>
          <w:sz w:val="32"/>
          <w:szCs w:val="24"/>
        </w:rPr>
        <w:t>Topic:</w:t>
      </w:r>
      <w:r w:rsidRPr="00056E75">
        <w:rPr>
          <w:rFonts w:ascii="Times New Roman" w:hAnsi="Times New Roman" w:cs="Times New Roman"/>
          <w:b/>
          <w:sz w:val="40"/>
          <w:szCs w:val="24"/>
        </w:rPr>
        <w:t xml:space="preserve"> </w:t>
      </w:r>
      <w:r w:rsidRPr="00C411DF">
        <w:rPr>
          <w:rFonts w:ascii="Times New Roman" w:eastAsia="Times New Roman" w:hAnsi="Times New Roman" w:cs="Times New Roman"/>
          <w:b/>
          <w:bCs/>
          <w:sz w:val="32"/>
          <w:szCs w:val="24"/>
          <w:lang w:eastAsia="en-IN"/>
        </w:rPr>
        <w:t>Investment Attributes and Portfolio Performance: An Empirical Analysis</w:t>
      </w:r>
    </w:p>
    <w:p w14:paraId="6F9D6C79" w14:textId="77777777" w:rsidR="00C411DF" w:rsidRPr="00801480" w:rsidRDefault="00C411DF" w:rsidP="00C411DF">
      <w:pPr>
        <w:rPr>
          <w:rFonts w:ascii="Times New Roman" w:hAnsi="Times New Roman" w:cs="Times New Roman"/>
          <w:sz w:val="24"/>
          <w:szCs w:val="24"/>
        </w:rPr>
      </w:pPr>
    </w:p>
    <w:p w14:paraId="05574955" w14:textId="77777777" w:rsidR="00C411DF" w:rsidRPr="00801480" w:rsidRDefault="00C411DF" w:rsidP="00C411DF">
      <w:pPr>
        <w:jc w:val="center"/>
        <w:rPr>
          <w:rFonts w:ascii="Times New Roman" w:hAnsi="Times New Roman" w:cs="Times New Roman"/>
          <w:sz w:val="24"/>
          <w:szCs w:val="24"/>
        </w:rPr>
      </w:pPr>
    </w:p>
    <w:p w14:paraId="00A50099" w14:textId="77777777" w:rsidR="00C411DF" w:rsidRPr="001C5C9B" w:rsidRDefault="00C411DF" w:rsidP="00C411DF">
      <w:pPr>
        <w:jc w:val="center"/>
        <w:rPr>
          <w:rFonts w:ascii="Times New Roman" w:hAnsi="Times New Roman" w:cs="Times New Roman"/>
          <w:b/>
          <w:sz w:val="28"/>
          <w:szCs w:val="24"/>
        </w:rPr>
      </w:pPr>
      <w:r w:rsidRPr="001C5C9B">
        <w:rPr>
          <w:rFonts w:ascii="Times New Roman" w:hAnsi="Times New Roman" w:cs="Times New Roman"/>
          <w:b/>
          <w:sz w:val="28"/>
          <w:szCs w:val="24"/>
        </w:rPr>
        <w:t>Submitted By,</w:t>
      </w:r>
    </w:p>
    <w:p w14:paraId="5514A255" w14:textId="77777777" w:rsidR="00C411DF" w:rsidRPr="001C5C9B" w:rsidRDefault="00C411DF" w:rsidP="00C411DF">
      <w:pPr>
        <w:jc w:val="center"/>
        <w:rPr>
          <w:rFonts w:ascii="Times New Roman" w:hAnsi="Times New Roman" w:cs="Times New Roman"/>
          <w:b/>
          <w:sz w:val="28"/>
          <w:szCs w:val="24"/>
        </w:rPr>
      </w:pPr>
      <w:r w:rsidRPr="001C5C9B">
        <w:rPr>
          <w:rFonts w:ascii="Times New Roman" w:hAnsi="Times New Roman" w:cs="Times New Roman"/>
          <w:b/>
          <w:sz w:val="28"/>
          <w:szCs w:val="24"/>
        </w:rPr>
        <w:t>PRAKALYA GANESH</w:t>
      </w:r>
    </w:p>
    <w:p w14:paraId="13A46BED" w14:textId="77777777" w:rsidR="00C411DF" w:rsidRPr="001C5C9B" w:rsidRDefault="00C411DF" w:rsidP="00C411DF">
      <w:pPr>
        <w:jc w:val="center"/>
        <w:rPr>
          <w:rFonts w:ascii="Times New Roman" w:hAnsi="Times New Roman" w:cs="Times New Roman"/>
          <w:b/>
          <w:sz w:val="28"/>
          <w:szCs w:val="24"/>
        </w:rPr>
      </w:pPr>
      <w:r w:rsidRPr="001C5C9B">
        <w:rPr>
          <w:rFonts w:ascii="Times New Roman" w:hAnsi="Times New Roman" w:cs="Times New Roman"/>
          <w:b/>
          <w:sz w:val="28"/>
          <w:szCs w:val="24"/>
        </w:rPr>
        <w:t>PES1PG25MB383</w:t>
      </w:r>
    </w:p>
    <w:p w14:paraId="25CD2842" w14:textId="34BF2811" w:rsidR="00C411DF" w:rsidRPr="001C5C9B" w:rsidRDefault="00C411DF" w:rsidP="00C411DF">
      <w:pPr>
        <w:jc w:val="center"/>
        <w:rPr>
          <w:rFonts w:ascii="Times New Roman" w:hAnsi="Times New Roman" w:cs="Times New Roman"/>
          <w:b/>
          <w:sz w:val="28"/>
          <w:szCs w:val="24"/>
        </w:rPr>
      </w:pPr>
      <w:r>
        <w:rPr>
          <w:rFonts w:ascii="Times New Roman" w:hAnsi="Times New Roman" w:cs="Times New Roman"/>
          <w:b/>
          <w:sz w:val="28"/>
          <w:szCs w:val="24"/>
        </w:rPr>
        <w:t>TRIMISTER 3</w:t>
      </w:r>
    </w:p>
    <w:p w14:paraId="4A8E388E" w14:textId="77777777" w:rsidR="00C411DF" w:rsidRPr="001C5C9B" w:rsidRDefault="00C411DF" w:rsidP="00C411DF">
      <w:pPr>
        <w:jc w:val="center"/>
        <w:rPr>
          <w:rFonts w:ascii="Times New Roman" w:hAnsi="Times New Roman" w:cs="Times New Roman"/>
          <w:b/>
          <w:sz w:val="28"/>
          <w:szCs w:val="24"/>
        </w:rPr>
      </w:pPr>
      <w:r w:rsidRPr="001C5C9B">
        <w:rPr>
          <w:rFonts w:ascii="Times New Roman" w:hAnsi="Times New Roman" w:cs="Times New Roman"/>
          <w:b/>
          <w:sz w:val="28"/>
          <w:szCs w:val="24"/>
        </w:rPr>
        <w:t>DEPARTMENT OF MBA</w:t>
      </w:r>
    </w:p>
    <w:p w14:paraId="4D1C6B7D" w14:textId="77777777" w:rsidR="00C411DF" w:rsidRPr="00801480" w:rsidRDefault="00C411DF" w:rsidP="00C411DF">
      <w:pPr>
        <w:jc w:val="center"/>
        <w:rPr>
          <w:rFonts w:ascii="Times New Roman" w:hAnsi="Times New Roman" w:cs="Times New Roman"/>
          <w:sz w:val="24"/>
          <w:szCs w:val="24"/>
        </w:rPr>
      </w:pPr>
    </w:p>
    <w:p w14:paraId="56547453" w14:textId="77777777" w:rsidR="00C411DF" w:rsidRPr="00801480" w:rsidRDefault="00C411DF" w:rsidP="00C411DF">
      <w:pPr>
        <w:rPr>
          <w:rFonts w:ascii="Times New Roman" w:hAnsi="Times New Roman" w:cs="Times New Roman"/>
          <w:sz w:val="24"/>
          <w:szCs w:val="24"/>
        </w:rPr>
      </w:pPr>
    </w:p>
    <w:p w14:paraId="00FF6CCC" w14:textId="77777777" w:rsidR="00C411DF" w:rsidRPr="001C5C9B" w:rsidRDefault="00C411DF" w:rsidP="00C411DF">
      <w:pPr>
        <w:jc w:val="center"/>
        <w:rPr>
          <w:rFonts w:ascii="Times New Roman" w:hAnsi="Times New Roman" w:cs="Times New Roman"/>
          <w:b/>
          <w:sz w:val="28"/>
          <w:szCs w:val="24"/>
        </w:rPr>
      </w:pPr>
      <w:r w:rsidRPr="001C5C9B">
        <w:rPr>
          <w:rFonts w:ascii="Times New Roman" w:hAnsi="Times New Roman" w:cs="Times New Roman"/>
          <w:b/>
          <w:sz w:val="28"/>
          <w:szCs w:val="24"/>
        </w:rPr>
        <w:t>Submitted To,</w:t>
      </w:r>
    </w:p>
    <w:p w14:paraId="61FD7D03" w14:textId="5A991817" w:rsidR="00C411DF" w:rsidRPr="001C5C9B" w:rsidRDefault="00C411DF" w:rsidP="00C411DF">
      <w:pPr>
        <w:jc w:val="center"/>
        <w:rPr>
          <w:rFonts w:ascii="Times New Roman" w:hAnsi="Times New Roman" w:cs="Times New Roman"/>
          <w:b/>
          <w:sz w:val="28"/>
          <w:szCs w:val="24"/>
        </w:rPr>
      </w:pPr>
      <w:proofErr w:type="gramStart"/>
      <w:r w:rsidRPr="001C5C9B">
        <w:rPr>
          <w:rFonts w:ascii="Times New Roman" w:hAnsi="Times New Roman" w:cs="Times New Roman"/>
          <w:b/>
          <w:sz w:val="28"/>
          <w:szCs w:val="24"/>
        </w:rPr>
        <w:t>Prof .</w:t>
      </w:r>
      <w:proofErr w:type="gramEnd"/>
      <w:r w:rsidRPr="001C5C9B">
        <w:rPr>
          <w:rFonts w:ascii="Times New Roman" w:hAnsi="Times New Roman" w:cs="Times New Roman"/>
          <w:b/>
          <w:sz w:val="28"/>
          <w:szCs w:val="24"/>
        </w:rPr>
        <w:t xml:space="preserve"> </w:t>
      </w:r>
      <w:r>
        <w:rPr>
          <w:rFonts w:ascii="Times New Roman" w:hAnsi="Times New Roman" w:cs="Times New Roman"/>
          <w:b/>
          <w:sz w:val="28"/>
          <w:szCs w:val="24"/>
        </w:rPr>
        <w:t>ABHILASH R</w:t>
      </w:r>
    </w:p>
    <w:p w14:paraId="54B1D10E" w14:textId="77777777" w:rsidR="00C411DF" w:rsidRPr="001C5C9B" w:rsidRDefault="00C411DF" w:rsidP="00C411DF">
      <w:pPr>
        <w:jc w:val="center"/>
        <w:rPr>
          <w:rFonts w:ascii="Times New Roman" w:hAnsi="Times New Roman" w:cs="Times New Roman"/>
          <w:b/>
          <w:sz w:val="28"/>
          <w:szCs w:val="24"/>
        </w:rPr>
      </w:pPr>
      <w:r w:rsidRPr="001C5C9B">
        <w:rPr>
          <w:rFonts w:ascii="Times New Roman" w:hAnsi="Times New Roman" w:cs="Times New Roman"/>
          <w:b/>
          <w:sz w:val="28"/>
          <w:szCs w:val="24"/>
        </w:rPr>
        <w:t>DEPARTMENT OF MBA</w:t>
      </w:r>
    </w:p>
    <w:p w14:paraId="44ADD9C8" w14:textId="77777777" w:rsidR="00C411DF" w:rsidRDefault="00C411DF" w:rsidP="00C411DF">
      <w:pPr>
        <w:jc w:val="center"/>
        <w:rPr>
          <w:rFonts w:ascii="Times New Roman" w:hAnsi="Times New Roman" w:cs="Times New Roman"/>
          <w:b/>
          <w:sz w:val="28"/>
          <w:szCs w:val="24"/>
        </w:rPr>
      </w:pPr>
      <w:r w:rsidRPr="001C5C9B">
        <w:rPr>
          <w:rFonts w:ascii="Times New Roman" w:hAnsi="Times New Roman" w:cs="Times New Roman"/>
          <w:b/>
          <w:sz w:val="28"/>
          <w:szCs w:val="24"/>
        </w:rPr>
        <w:t>PES UNIVERSITY.</w:t>
      </w:r>
    </w:p>
    <w:p w14:paraId="7E153C7F" w14:textId="1D46C8E7" w:rsidR="00C411DF" w:rsidRPr="00C411DF" w:rsidRDefault="00C411DF" w:rsidP="00C411DF">
      <w:pPr>
        <w:pStyle w:val="NormalWeb"/>
        <w:spacing w:line="360" w:lineRule="auto"/>
        <w:jc w:val="both"/>
        <w:rPr>
          <w:b/>
          <w:sz w:val="28"/>
        </w:rPr>
      </w:pPr>
    </w:p>
    <w:p w14:paraId="02F66207" w14:textId="4D3B7C1D" w:rsidR="00411509" w:rsidRPr="00C5265D" w:rsidRDefault="00411509" w:rsidP="00C5265D">
      <w:pPr>
        <w:pStyle w:val="Heading2"/>
        <w:jc w:val="both"/>
        <w:rPr>
          <w:sz w:val="28"/>
          <w:szCs w:val="24"/>
        </w:rPr>
      </w:pPr>
      <w:r w:rsidRPr="00C5265D">
        <w:rPr>
          <w:sz w:val="28"/>
          <w:szCs w:val="24"/>
        </w:rPr>
        <w:lastRenderedPageBreak/>
        <w:t>1. Introduction</w:t>
      </w:r>
    </w:p>
    <w:p w14:paraId="411B66AF" w14:textId="77777777" w:rsidR="00411509" w:rsidRPr="00C5265D" w:rsidRDefault="00411509" w:rsidP="00C5265D">
      <w:pPr>
        <w:pStyle w:val="NormalWeb"/>
        <w:jc w:val="both"/>
      </w:pPr>
      <w:r w:rsidRPr="00C5265D">
        <w:t xml:space="preserve">Investors and portfolio managers have long sought simple, measurable characteristics that can reliably predict returns — a pursuit that has produced some of the most influential ideas in modern finance, from the Capital Asset Pricing Model's risk-return </w:t>
      </w:r>
      <w:proofErr w:type="spellStart"/>
      <w:r w:rsidRPr="00C5265D">
        <w:t>tradeoff</w:t>
      </w:r>
      <w:proofErr w:type="spellEnd"/>
      <w:r w:rsidRPr="00C5265D">
        <w:t xml:space="preserve"> to the size and value anomalies documented by </w:t>
      </w:r>
      <w:proofErr w:type="spellStart"/>
      <w:r w:rsidRPr="00C5265D">
        <w:t>Banz</w:t>
      </w:r>
      <w:proofErr w:type="spellEnd"/>
      <w:r w:rsidRPr="00C5265D">
        <w:t xml:space="preserve"> (1981), </w:t>
      </w:r>
      <w:proofErr w:type="spellStart"/>
      <w:r w:rsidRPr="00C5265D">
        <w:t>Basu</w:t>
      </w:r>
      <w:proofErr w:type="spellEnd"/>
      <w:r w:rsidRPr="00C5265D">
        <w:t xml:space="preserve"> (1977), and </w:t>
      </w:r>
      <w:proofErr w:type="spellStart"/>
      <w:r w:rsidRPr="00C5265D">
        <w:t>Fama</w:t>
      </w:r>
      <w:proofErr w:type="spellEnd"/>
      <w:r w:rsidRPr="00C5265D">
        <w:t xml:space="preserve"> and French (1992). Despite decades of research, debate persists over whether these attributes still hold explanatory power, particularly in emerging markets and more recent market regimes shaped by momentum-driven growth investing.</w:t>
      </w:r>
    </w:p>
    <w:p w14:paraId="533F0DA2" w14:textId="77777777" w:rsidR="00411509" w:rsidRPr="00C5265D" w:rsidRDefault="00411509" w:rsidP="00C5265D">
      <w:pPr>
        <w:pStyle w:val="NormalWeb"/>
        <w:jc w:val="both"/>
      </w:pPr>
      <w:r w:rsidRPr="00C5265D">
        <w:t xml:space="preserve">This paper empirically examines whether three widely used investment attributes — </w:t>
      </w:r>
      <w:r w:rsidRPr="00C5265D">
        <w:rPr>
          <w:rStyle w:val="Strong"/>
        </w:rPr>
        <w:t>market capitalization (size), beta (systematic risk), and P/E ratio (valuation)</w:t>
      </w:r>
      <w:r w:rsidRPr="00C5265D">
        <w:t xml:space="preserve"> — explain portfolio performance in the Indian equity market. Using a sample of 39 non-financial Nifty constituents over a ten-year period (2016–2025), the study constructs </w:t>
      </w:r>
      <w:proofErr w:type="spellStart"/>
      <w:r w:rsidRPr="00C5265D">
        <w:t>tercile</w:t>
      </w:r>
      <w:proofErr w:type="spellEnd"/>
      <w:r w:rsidRPr="00C5265D">
        <w:t xml:space="preserve">-sorted portfolios on each attribute and evaluates their risk-adjusted performance using Sharpe ratios and Jensen's alpha, supplemented by </w:t>
      </w:r>
      <w:proofErr w:type="spellStart"/>
      <w:r w:rsidRPr="00C5265D">
        <w:t>Fama-MacBeth</w:t>
      </w:r>
      <w:proofErr w:type="spellEnd"/>
      <w:r w:rsidRPr="00C5265D">
        <w:t xml:space="preserve"> cross-sectional regressions to test the joint significance of all three attributes simultaneously.</w:t>
      </w:r>
    </w:p>
    <w:p w14:paraId="34FAEA53" w14:textId="77777777" w:rsidR="00411509" w:rsidRPr="00C5265D" w:rsidRDefault="00411509" w:rsidP="00C5265D">
      <w:pPr>
        <w:pStyle w:val="NormalWeb"/>
        <w:jc w:val="both"/>
      </w:pPr>
      <w:r w:rsidRPr="00C5265D">
        <w:t xml:space="preserve">Specifically, the paper tests three hypotheses: </w:t>
      </w:r>
      <w:r w:rsidRPr="00C5265D">
        <w:rPr>
          <w:rStyle w:val="Strong"/>
        </w:rPr>
        <w:t>(H1)</w:t>
      </w:r>
      <w:r w:rsidRPr="00C5265D">
        <w:t xml:space="preserve"> that small-cap portfolios outperform large-cap portfolios on a risk-adjusted basis; </w:t>
      </w:r>
      <w:r w:rsidRPr="00C5265D">
        <w:rPr>
          <w:rStyle w:val="Strong"/>
        </w:rPr>
        <w:t>(H2)</w:t>
      </w:r>
      <w:r w:rsidRPr="00C5265D">
        <w:t xml:space="preserve"> that high-beta portfolios do not proportionally outperform low-beta portfolios, consistent with the low-volatility anomaly; and </w:t>
      </w:r>
      <w:r w:rsidRPr="00C5265D">
        <w:rPr>
          <w:rStyle w:val="Strong"/>
        </w:rPr>
        <w:t>(H3)</w:t>
      </w:r>
      <w:r w:rsidRPr="00C5265D">
        <w:t xml:space="preserve"> that low P/E (value) portfolios outperform high P/E (growth) portfolios. Beyond testing these classical anomalies in a contemporary Indian context, the study also compares the reliability of two distinct empirical approaches — simple bucket-based portfolio comparisons versus pooled cross-sectional regression — highlighting how methodological choice can materially affect the strength of evidence for or against a given factor.</w:t>
      </w:r>
    </w:p>
    <w:p w14:paraId="229FF993" w14:textId="6B8BFB00" w:rsidR="00411509" w:rsidRPr="00C5265D" w:rsidRDefault="00411509" w:rsidP="00C5265D">
      <w:pPr>
        <w:spacing w:after="0" w:line="240" w:lineRule="auto"/>
        <w:jc w:val="both"/>
        <w:rPr>
          <w:rFonts w:ascii="Times New Roman" w:eastAsia="Times New Roman" w:hAnsi="Times New Roman" w:cs="Times New Roman"/>
          <w:sz w:val="24"/>
          <w:szCs w:val="24"/>
          <w:lang w:eastAsia="en-IN"/>
        </w:rPr>
      </w:pPr>
    </w:p>
    <w:p w14:paraId="6E365112" w14:textId="77777777" w:rsidR="00411509" w:rsidRPr="00C5265D" w:rsidRDefault="00411509" w:rsidP="00C5265D">
      <w:pPr>
        <w:spacing w:before="100" w:beforeAutospacing="1" w:after="100" w:afterAutospacing="1" w:line="240" w:lineRule="auto"/>
        <w:jc w:val="both"/>
        <w:outlineLvl w:val="1"/>
        <w:rPr>
          <w:rFonts w:ascii="Times New Roman" w:eastAsia="Times New Roman" w:hAnsi="Times New Roman" w:cs="Times New Roman"/>
          <w:b/>
          <w:bCs/>
          <w:sz w:val="28"/>
          <w:szCs w:val="24"/>
          <w:lang w:eastAsia="en-IN"/>
        </w:rPr>
      </w:pPr>
      <w:r w:rsidRPr="00C5265D">
        <w:rPr>
          <w:rFonts w:ascii="Times New Roman" w:eastAsia="Times New Roman" w:hAnsi="Times New Roman" w:cs="Times New Roman"/>
          <w:b/>
          <w:bCs/>
          <w:sz w:val="28"/>
          <w:szCs w:val="24"/>
          <w:lang w:eastAsia="en-IN"/>
        </w:rPr>
        <w:t>2. Measuring Investment Attributes</w:t>
      </w:r>
    </w:p>
    <w:p w14:paraId="34D1031F"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 xml:space="preserve">This study examines three investment attributes commonly used in empirical asset pricing and practical portfolio construction: market capitalization, beta, and P/E ratio. Each attribute was computed annually for every stock in the sample, based on data available at the start of the calendar year, and used to sort stocks into equal-weighted </w:t>
      </w:r>
      <w:proofErr w:type="spellStart"/>
      <w:r w:rsidRPr="00C5265D">
        <w:rPr>
          <w:rFonts w:ascii="Times New Roman" w:eastAsia="Times New Roman" w:hAnsi="Times New Roman" w:cs="Times New Roman"/>
          <w:sz w:val="24"/>
          <w:szCs w:val="24"/>
          <w:lang w:eastAsia="en-IN"/>
        </w:rPr>
        <w:t>tercile</w:t>
      </w:r>
      <w:proofErr w:type="spellEnd"/>
      <w:r w:rsidRPr="00C5265D">
        <w:rPr>
          <w:rFonts w:ascii="Times New Roman" w:eastAsia="Times New Roman" w:hAnsi="Times New Roman" w:cs="Times New Roman"/>
          <w:sz w:val="24"/>
          <w:szCs w:val="24"/>
          <w:lang w:eastAsia="en-IN"/>
        </w:rPr>
        <w:t xml:space="preserve"> portfolios (Low/Medium/High) that were rebalanced yearly.</w:t>
      </w:r>
    </w:p>
    <w:p w14:paraId="51717F2C" w14:textId="77777777" w:rsidR="00411509" w:rsidRPr="00C5265D" w:rsidRDefault="00411509" w:rsidP="00C5265D">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5265D">
        <w:rPr>
          <w:rFonts w:ascii="Times New Roman" w:eastAsia="Times New Roman" w:hAnsi="Times New Roman" w:cs="Times New Roman"/>
          <w:b/>
          <w:bCs/>
          <w:sz w:val="24"/>
          <w:szCs w:val="24"/>
          <w:lang w:eastAsia="en-IN"/>
        </w:rPr>
        <w:t>2.1 Market Capitalization (Size)</w:t>
      </w:r>
    </w:p>
    <w:p w14:paraId="0A289CB2"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 xml:space="preserve">Market capitalization reflects a firm's total equity value (share price × shares outstanding) and is the classical proxy for firm size. Smaller firms are generally considered riskier — facing greater information asymmetry, lower liquidity, and higher business risk — and, according to </w:t>
      </w:r>
      <w:proofErr w:type="spellStart"/>
      <w:r w:rsidRPr="00C5265D">
        <w:rPr>
          <w:rFonts w:ascii="Times New Roman" w:eastAsia="Times New Roman" w:hAnsi="Times New Roman" w:cs="Times New Roman"/>
          <w:sz w:val="24"/>
          <w:szCs w:val="24"/>
          <w:lang w:eastAsia="en-IN"/>
        </w:rPr>
        <w:t>Banz's</w:t>
      </w:r>
      <w:proofErr w:type="spellEnd"/>
      <w:r w:rsidRPr="00C5265D">
        <w:rPr>
          <w:rFonts w:ascii="Times New Roman" w:eastAsia="Times New Roman" w:hAnsi="Times New Roman" w:cs="Times New Roman"/>
          <w:sz w:val="24"/>
          <w:szCs w:val="24"/>
          <w:lang w:eastAsia="en-IN"/>
        </w:rPr>
        <w:t xml:space="preserve"> (1981) size effect and the </w:t>
      </w:r>
      <w:proofErr w:type="spellStart"/>
      <w:r w:rsidRPr="00C5265D">
        <w:rPr>
          <w:rFonts w:ascii="Times New Roman" w:eastAsia="Times New Roman" w:hAnsi="Times New Roman" w:cs="Times New Roman"/>
          <w:sz w:val="24"/>
          <w:szCs w:val="24"/>
          <w:lang w:eastAsia="en-IN"/>
        </w:rPr>
        <w:t>Fama</w:t>
      </w:r>
      <w:proofErr w:type="spellEnd"/>
      <w:r w:rsidRPr="00C5265D">
        <w:rPr>
          <w:rFonts w:ascii="Times New Roman" w:eastAsia="Times New Roman" w:hAnsi="Times New Roman" w:cs="Times New Roman"/>
          <w:sz w:val="24"/>
          <w:szCs w:val="24"/>
          <w:lang w:eastAsia="en-IN"/>
        </w:rPr>
        <w:t xml:space="preserve">-French SMB factor, have historically earned a return premium over larger firms to compensate for this additional risk. In this study, size was measured as the </w:t>
      </w:r>
      <w:r w:rsidRPr="00C5265D">
        <w:rPr>
          <w:rFonts w:ascii="Times New Roman" w:eastAsia="Times New Roman" w:hAnsi="Times New Roman" w:cs="Times New Roman"/>
          <w:b/>
          <w:bCs/>
          <w:sz w:val="24"/>
          <w:szCs w:val="24"/>
          <w:lang w:eastAsia="en-IN"/>
        </w:rPr>
        <w:t>natural logarithm of market capitalization</w:t>
      </w:r>
      <w:r w:rsidRPr="00C5265D">
        <w:rPr>
          <w:rFonts w:ascii="Times New Roman" w:eastAsia="Times New Roman" w:hAnsi="Times New Roman" w:cs="Times New Roman"/>
          <w:sz w:val="24"/>
          <w:szCs w:val="24"/>
          <w:lang w:eastAsia="en-IN"/>
        </w:rPr>
        <w:t xml:space="preserve">, </w:t>
      </w:r>
      <w:proofErr w:type="gramStart"/>
      <w:r w:rsidRPr="00C5265D">
        <w:rPr>
          <w:rFonts w:ascii="Times New Roman" w:eastAsia="Times New Roman" w:hAnsi="Times New Roman" w:cs="Times New Roman"/>
          <w:sz w:val="24"/>
          <w:szCs w:val="24"/>
          <w:lang w:eastAsia="en-IN"/>
        </w:rPr>
        <w:t>ln(</w:t>
      </w:r>
      <w:proofErr w:type="gramEnd"/>
      <w:r w:rsidRPr="00C5265D">
        <w:rPr>
          <w:rFonts w:ascii="Times New Roman" w:eastAsia="Times New Roman" w:hAnsi="Times New Roman" w:cs="Times New Roman"/>
          <w:sz w:val="24"/>
          <w:szCs w:val="24"/>
          <w:lang w:eastAsia="en-IN"/>
        </w:rPr>
        <w:t>Market Cap), recorded at the start of each year to reduce the influence of extreme values and align with standard practice in cross-sectional asset pricing regressions.</w:t>
      </w:r>
    </w:p>
    <w:p w14:paraId="531006BE"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H1 (Size Effect):</w:t>
      </w:r>
      <w:r w:rsidRPr="00C5265D">
        <w:rPr>
          <w:rFonts w:ascii="Times New Roman" w:eastAsia="Times New Roman" w:hAnsi="Times New Roman" w:cs="Times New Roman"/>
          <w:sz w:val="24"/>
          <w:szCs w:val="24"/>
          <w:lang w:eastAsia="en-IN"/>
        </w:rPr>
        <w:t xml:space="preserve"> Small-cap portfolios generate higher risk-adjusted returns than large-cap portfolios.</w:t>
      </w:r>
    </w:p>
    <w:p w14:paraId="28DF9C10" w14:textId="77777777" w:rsidR="00411509" w:rsidRPr="00C5265D" w:rsidRDefault="00411509" w:rsidP="00C5265D">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5265D">
        <w:rPr>
          <w:rFonts w:ascii="Times New Roman" w:eastAsia="Times New Roman" w:hAnsi="Times New Roman" w:cs="Times New Roman"/>
          <w:b/>
          <w:bCs/>
          <w:sz w:val="24"/>
          <w:szCs w:val="24"/>
          <w:lang w:eastAsia="en-IN"/>
        </w:rPr>
        <w:lastRenderedPageBreak/>
        <w:t>2.2 Beta (Systematic Risk)</w:t>
      </w:r>
    </w:p>
    <w:p w14:paraId="53AA494F" w14:textId="77777777" w:rsidR="00DD10DA"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 xml:space="preserve">Beta measures a stock's sensitivity to overall market movements and is the central risk measure in the Capital Asset Pricing Model (CAPM), which predicts that expected returns should rise linearly with systematic risk. Beta was estimated for each stock via OLS regression of monthly excess stock returns on excess benchmark returns, using a rolling 36–60 month historical window: </w:t>
      </w:r>
    </w:p>
    <w:p w14:paraId="1DC98B17" w14:textId="0782F11B" w:rsidR="00DD10DA" w:rsidRPr="00C5265D" w:rsidRDefault="00DD10DA" w:rsidP="00C5265D">
      <w:pPr>
        <w:spacing w:before="100" w:beforeAutospacing="1" w:after="100" w:afterAutospacing="1" w:line="240" w:lineRule="auto"/>
        <w:jc w:val="center"/>
        <w:rPr>
          <w:rFonts w:ascii="Times New Roman" w:hAnsi="Times New Roman" w:cs="Times New Roman"/>
          <w:sz w:val="24"/>
          <w:szCs w:val="24"/>
        </w:rPr>
      </w:pPr>
      <w:r w:rsidRPr="00C5265D">
        <w:rPr>
          <w:rFonts w:ascii="Times New Roman" w:hAnsi="Times New Roman" w:cs="Times New Roman"/>
          <w:sz w:val="24"/>
          <w:szCs w:val="24"/>
        </w:rPr>
        <w:t>(</w:t>
      </w:r>
      <w:proofErr w:type="spellStart"/>
      <w:r w:rsidRPr="00C5265D">
        <w:rPr>
          <w:rFonts w:ascii="Times New Roman" w:hAnsi="Times New Roman" w:cs="Times New Roman"/>
          <w:sz w:val="24"/>
          <w:szCs w:val="24"/>
        </w:rPr>
        <w:t>R</w:t>
      </w:r>
      <w:r w:rsidRPr="00C5265D">
        <w:rPr>
          <w:rFonts w:ascii="Times New Roman" w:hAnsi="Times New Roman" w:cs="Times New Roman"/>
          <w:sz w:val="24"/>
          <w:szCs w:val="24"/>
          <w:vertAlign w:val="subscript"/>
        </w:rPr>
        <w:t>i</w:t>
      </w:r>
      <w:proofErr w:type="gramStart"/>
      <w:r w:rsidRPr="00C5265D">
        <w:rPr>
          <w:rFonts w:ascii="Times New Roman" w:hAnsi="Times New Roman" w:cs="Times New Roman"/>
          <w:sz w:val="24"/>
          <w:szCs w:val="24"/>
          <w:vertAlign w:val="subscript"/>
        </w:rPr>
        <w:t>,t</w:t>
      </w:r>
      <w:proofErr w:type="spellEnd"/>
      <w:proofErr w:type="gramEnd"/>
      <w:r w:rsidRPr="00C5265D">
        <w:rPr>
          <w:rFonts w:ascii="Times New Roman" w:hAnsi="Times New Roman" w:cs="Times New Roman"/>
          <w:sz w:val="24"/>
          <w:szCs w:val="24"/>
        </w:rPr>
        <w:t>​</w:t>
      </w:r>
      <w:r w:rsidR="00C5265D">
        <w:rPr>
          <w:rFonts w:ascii="Times New Roman" w:hAnsi="Times New Roman" w:cs="Times New Roman"/>
          <w:sz w:val="24"/>
          <w:szCs w:val="24"/>
        </w:rPr>
        <w:t xml:space="preserve"> </w:t>
      </w:r>
      <w:r w:rsidRPr="00C5265D">
        <w:rPr>
          <w:rFonts w:ascii="Times New Roman" w:hAnsi="Times New Roman" w:cs="Times New Roman"/>
          <w:sz w:val="24"/>
          <w:szCs w:val="24"/>
        </w:rPr>
        <w:t>−</w:t>
      </w:r>
      <w:r w:rsidR="00C5265D">
        <w:rPr>
          <w:rFonts w:ascii="Times New Roman" w:hAnsi="Times New Roman" w:cs="Times New Roman"/>
          <w:sz w:val="24"/>
          <w:szCs w:val="24"/>
        </w:rPr>
        <w:t xml:space="preserve"> </w:t>
      </w:r>
      <w:proofErr w:type="spellStart"/>
      <w:r w:rsidRPr="00C5265D">
        <w:rPr>
          <w:rFonts w:ascii="Times New Roman" w:hAnsi="Times New Roman" w:cs="Times New Roman"/>
          <w:sz w:val="24"/>
          <w:szCs w:val="24"/>
        </w:rPr>
        <w:t>R</w:t>
      </w:r>
      <w:r w:rsidRPr="00C5265D">
        <w:rPr>
          <w:rFonts w:ascii="Times New Roman" w:hAnsi="Times New Roman" w:cs="Times New Roman"/>
          <w:sz w:val="24"/>
          <w:szCs w:val="24"/>
          <w:vertAlign w:val="subscript"/>
        </w:rPr>
        <w:t>f,t</w:t>
      </w:r>
      <w:proofErr w:type="spellEnd"/>
      <w:r w:rsidRPr="00C5265D">
        <w:rPr>
          <w:rFonts w:ascii="Times New Roman" w:hAnsi="Times New Roman" w:cs="Times New Roman"/>
          <w:sz w:val="24"/>
          <w:szCs w:val="24"/>
        </w:rPr>
        <w:t>​)</w:t>
      </w:r>
      <w:r w:rsidR="00C5265D">
        <w:rPr>
          <w:rFonts w:ascii="Times New Roman" w:hAnsi="Times New Roman" w:cs="Times New Roman"/>
          <w:sz w:val="24"/>
          <w:szCs w:val="24"/>
        </w:rPr>
        <w:t xml:space="preserve"> </w:t>
      </w:r>
      <w:r w:rsidRPr="00C5265D">
        <w:rPr>
          <w:rFonts w:ascii="Times New Roman" w:hAnsi="Times New Roman" w:cs="Times New Roman"/>
          <w:sz w:val="24"/>
          <w:szCs w:val="24"/>
        </w:rPr>
        <w:t>=</w:t>
      </w:r>
      <w:r w:rsidR="00C5265D">
        <w:rPr>
          <w:rFonts w:ascii="Times New Roman" w:hAnsi="Times New Roman" w:cs="Times New Roman"/>
          <w:sz w:val="24"/>
          <w:szCs w:val="24"/>
        </w:rPr>
        <w:t xml:space="preserve"> </w:t>
      </w:r>
      <w:r w:rsidRPr="00C5265D">
        <w:rPr>
          <w:rFonts w:ascii="Times New Roman" w:hAnsi="Times New Roman" w:cs="Times New Roman"/>
          <w:sz w:val="24"/>
          <w:szCs w:val="24"/>
        </w:rPr>
        <w:t>α</w:t>
      </w:r>
      <w:r w:rsidR="00C5265D">
        <w:rPr>
          <w:rFonts w:ascii="Times New Roman" w:hAnsi="Times New Roman" w:cs="Times New Roman"/>
          <w:sz w:val="24"/>
          <w:szCs w:val="24"/>
        </w:rPr>
        <w:t xml:space="preserve"> </w:t>
      </w:r>
      <w:r w:rsidRPr="00C5265D">
        <w:rPr>
          <w:rFonts w:ascii="Times New Roman" w:hAnsi="Times New Roman" w:cs="Times New Roman"/>
          <w:sz w:val="24"/>
          <w:szCs w:val="24"/>
        </w:rPr>
        <w:t>+</w:t>
      </w:r>
      <w:r w:rsidR="00C5265D">
        <w:rPr>
          <w:rFonts w:ascii="Times New Roman" w:hAnsi="Times New Roman" w:cs="Times New Roman"/>
          <w:sz w:val="24"/>
          <w:szCs w:val="24"/>
        </w:rPr>
        <w:t xml:space="preserve"> </w:t>
      </w:r>
      <w:proofErr w:type="gramStart"/>
      <w:r w:rsidRPr="00C5265D">
        <w:rPr>
          <w:rFonts w:ascii="Times New Roman" w:hAnsi="Times New Roman" w:cs="Times New Roman"/>
          <w:sz w:val="24"/>
          <w:szCs w:val="24"/>
        </w:rPr>
        <w:t>β</w:t>
      </w:r>
      <w:proofErr w:type="spellStart"/>
      <w:r w:rsidRPr="00C5265D">
        <w:rPr>
          <w:rFonts w:ascii="Times New Roman" w:hAnsi="Times New Roman" w:cs="Times New Roman"/>
          <w:sz w:val="24"/>
          <w:szCs w:val="24"/>
          <w:vertAlign w:val="subscript"/>
        </w:rPr>
        <w:t>i</w:t>
      </w:r>
      <w:proofErr w:type="spellEnd"/>
      <w:r w:rsidR="00C5265D">
        <w:rPr>
          <w:rFonts w:ascii="Times New Roman" w:hAnsi="Times New Roman" w:cs="Times New Roman"/>
          <w:sz w:val="24"/>
          <w:szCs w:val="24"/>
        </w:rPr>
        <w:t xml:space="preserve"> </w:t>
      </w:r>
      <w:r w:rsidRPr="00C5265D">
        <w:rPr>
          <w:rFonts w:ascii="Times New Roman" w:hAnsi="Times New Roman" w:cs="Times New Roman"/>
          <w:sz w:val="24"/>
          <w:szCs w:val="24"/>
        </w:rPr>
        <w:t>​(</w:t>
      </w:r>
      <w:proofErr w:type="spellStart"/>
      <w:proofErr w:type="gramEnd"/>
      <w:r w:rsidRPr="00C5265D">
        <w:rPr>
          <w:rFonts w:ascii="Times New Roman" w:hAnsi="Times New Roman" w:cs="Times New Roman"/>
          <w:sz w:val="24"/>
          <w:szCs w:val="24"/>
        </w:rPr>
        <w:t>R</w:t>
      </w:r>
      <w:r w:rsidRPr="00C5265D">
        <w:rPr>
          <w:rFonts w:ascii="Times New Roman" w:hAnsi="Times New Roman" w:cs="Times New Roman"/>
          <w:sz w:val="24"/>
          <w:szCs w:val="24"/>
          <w:vertAlign w:val="subscript"/>
        </w:rPr>
        <w:t>m,t</w:t>
      </w:r>
      <w:proofErr w:type="spellEnd"/>
      <w:r w:rsidR="00C5265D">
        <w:rPr>
          <w:rFonts w:ascii="Times New Roman" w:hAnsi="Times New Roman" w:cs="Times New Roman"/>
          <w:sz w:val="24"/>
          <w:szCs w:val="24"/>
        </w:rPr>
        <w:t xml:space="preserve"> </w:t>
      </w:r>
      <w:r w:rsidRPr="00C5265D">
        <w:rPr>
          <w:rFonts w:ascii="Times New Roman" w:hAnsi="Times New Roman" w:cs="Times New Roman"/>
          <w:sz w:val="24"/>
          <w:szCs w:val="24"/>
        </w:rPr>
        <w:t>​−</w:t>
      </w:r>
      <w:r w:rsidR="00C5265D">
        <w:rPr>
          <w:rFonts w:ascii="Times New Roman" w:hAnsi="Times New Roman" w:cs="Times New Roman"/>
          <w:sz w:val="24"/>
          <w:szCs w:val="24"/>
        </w:rPr>
        <w:t xml:space="preserve"> </w:t>
      </w:r>
      <w:proofErr w:type="spellStart"/>
      <w:r w:rsidRPr="00C5265D">
        <w:rPr>
          <w:rFonts w:ascii="Times New Roman" w:hAnsi="Times New Roman" w:cs="Times New Roman"/>
          <w:sz w:val="24"/>
          <w:szCs w:val="24"/>
        </w:rPr>
        <w:t>R</w:t>
      </w:r>
      <w:r w:rsidRPr="00C5265D">
        <w:rPr>
          <w:rFonts w:ascii="Times New Roman" w:hAnsi="Times New Roman" w:cs="Times New Roman"/>
          <w:sz w:val="24"/>
          <w:szCs w:val="24"/>
          <w:vertAlign w:val="subscript"/>
        </w:rPr>
        <w:t>f,t</w:t>
      </w:r>
      <w:proofErr w:type="spellEnd"/>
      <w:r w:rsidRPr="00C5265D">
        <w:rPr>
          <w:rFonts w:ascii="Times New Roman" w:hAnsi="Times New Roman" w:cs="Times New Roman"/>
          <w:sz w:val="24"/>
          <w:szCs w:val="24"/>
          <w:vertAlign w:val="subscript"/>
        </w:rPr>
        <w:t>​</w:t>
      </w:r>
      <w:r w:rsidRPr="00C5265D">
        <w:rPr>
          <w:rFonts w:ascii="Times New Roman" w:hAnsi="Times New Roman" w:cs="Times New Roman"/>
          <w:sz w:val="24"/>
          <w:szCs w:val="24"/>
        </w:rPr>
        <w:t>)</w:t>
      </w:r>
      <w:r w:rsidR="00C5265D">
        <w:rPr>
          <w:rFonts w:ascii="Times New Roman" w:hAnsi="Times New Roman" w:cs="Times New Roman"/>
          <w:sz w:val="24"/>
          <w:szCs w:val="24"/>
        </w:rPr>
        <w:t xml:space="preserve"> </w:t>
      </w:r>
      <w:r w:rsidRPr="00C5265D">
        <w:rPr>
          <w:rFonts w:ascii="Times New Roman" w:hAnsi="Times New Roman" w:cs="Times New Roman"/>
          <w:sz w:val="24"/>
          <w:szCs w:val="24"/>
        </w:rPr>
        <w:t>+</w:t>
      </w:r>
      <w:r w:rsidR="00C5265D">
        <w:rPr>
          <w:rFonts w:ascii="Times New Roman" w:hAnsi="Times New Roman" w:cs="Times New Roman"/>
          <w:sz w:val="24"/>
          <w:szCs w:val="24"/>
        </w:rPr>
        <w:t xml:space="preserve"> </w:t>
      </w:r>
      <w:proofErr w:type="spellStart"/>
      <w:r w:rsidRPr="00C5265D">
        <w:rPr>
          <w:rFonts w:ascii="Times New Roman" w:hAnsi="Times New Roman" w:cs="Times New Roman"/>
          <w:sz w:val="24"/>
          <w:szCs w:val="24"/>
        </w:rPr>
        <w:t>ε</w:t>
      </w:r>
      <w:r w:rsidRPr="00C5265D">
        <w:rPr>
          <w:rFonts w:ascii="Times New Roman" w:hAnsi="Times New Roman" w:cs="Times New Roman"/>
          <w:sz w:val="24"/>
          <w:szCs w:val="24"/>
          <w:vertAlign w:val="subscript"/>
        </w:rPr>
        <w:t>t</w:t>
      </w:r>
      <w:proofErr w:type="spellEnd"/>
    </w:p>
    <w:p w14:paraId="2572E103" w14:textId="3BFA734E"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The</w:t>
      </w:r>
      <w:r w:rsidR="00DD10DA" w:rsidRPr="00C5265D">
        <w:rPr>
          <w:rFonts w:ascii="Times New Roman" w:eastAsia="Times New Roman" w:hAnsi="Times New Roman" w:cs="Times New Roman"/>
          <w:sz w:val="24"/>
          <w:szCs w:val="24"/>
          <w:lang w:eastAsia="en-IN"/>
        </w:rPr>
        <w:t xml:space="preserve"> resulting slope coefficient, β</w:t>
      </w:r>
      <w:proofErr w:type="spellStart"/>
      <w:r w:rsidRPr="00C5265D">
        <w:rPr>
          <w:rFonts w:ascii="Times New Roman" w:eastAsia="Times New Roman" w:hAnsi="Times New Roman" w:cs="Times New Roman"/>
          <w:sz w:val="24"/>
          <w:szCs w:val="24"/>
          <w:vertAlign w:val="subscript"/>
          <w:lang w:eastAsia="en-IN"/>
        </w:rPr>
        <w:t>i</w:t>
      </w:r>
      <w:proofErr w:type="spellEnd"/>
      <w:r w:rsidRPr="00C5265D">
        <w:rPr>
          <w:rFonts w:ascii="Times New Roman" w:eastAsia="Times New Roman" w:hAnsi="Times New Roman" w:cs="Times New Roman"/>
          <w:sz w:val="24"/>
          <w:szCs w:val="24"/>
          <w:lang w:eastAsia="en-IN"/>
        </w:rPr>
        <w:t xml:space="preserve">, was used to sort stocks into Low, Medium, and High beta </w:t>
      </w:r>
      <w:proofErr w:type="spellStart"/>
      <w:r w:rsidRPr="00C5265D">
        <w:rPr>
          <w:rFonts w:ascii="Times New Roman" w:eastAsia="Times New Roman" w:hAnsi="Times New Roman" w:cs="Times New Roman"/>
          <w:sz w:val="24"/>
          <w:szCs w:val="24"/>
          <w:lang w:eastAsia="en-IN"/>
        </w:rPr>
        <w:t>terciles</w:t>
      </w:r>
      <w:proofErr w:type="spellEnd"/>
      <w:r w:rsidRPr="00C5265D">
        <w:rPr>
          <w:rFonts w:ascii="Times New Roman" w:eastAsia="Times New Roman" w:hAnsi="Times New Roman" w:cs="Times New Roman"/>
          <w:sz w:val="24"/>
          <w:szCs w:val="24"/>
          <w:lang w:eastAsia="en-IN"/>
        </w:rPr>
        <w:t xml:space="preserve"> annually. If markets are efficient and CAPM holds strictly, high-beta stocks should generate proportionally higher returns; however, a growing body of literature (Black, Jensen &amp; Scholes, 1972; </w:t>
      </w:r>
      <w:proofErr w:type="spellStart"/>
      <w:r w:rsidRPr="00C5265D">
        <w:rPr>
          <w:rFonts w:ascii="Times New Roman" w:eastAsia="Times New Roman" w:hAnsi="Times New Roman" w:cs="Times New Roman"/>
          <w:sz w:val="24"/>
          <w:szCs w:val="24"/>
          <w:lang w:eastAsia="en-IN"/>
        </w:rPr>
        <w:t>Frazzini</w:t>
      </w:r>
      <w:proofErr w:type="spellEnd"/>
      <w:r w:rsidRPr="00C5265D">
        <w:rPr>
          <w:rFonts w:ascii="Times New Roman" w:eastAsia="Times New Roman" w:hAnsi="Times New Roman" w:cs="Times New Roman"/>
          <w:sz w:val="24"/>
          <w:szCs w:val="24"/>
          <w:lang w:eastAsia="en-IN"/>
        </w:rPr>
        <w:t xml:space="preserve"> &amp; Pedersen, 2014) documents a "low-volatility anomaly," where this relationship breaks down in practice.</w:t>
      </w:r>
    </w:p>
    <w:p w14:paraId="432F09B4"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H2 (Low-Beta Anomaly):</w:t>
      </w:r>
      <w:r w:rsidRPr="00C5265D">
        <w:rPr>
          <w:rFonts w:ascii="Times New Roman" w:eastAsia="Times New Roman" w:hAnsi="Times New Roman" w:cs="Times New Roman"/>
          <w:sz w:val="24"/>
          <w:szCs w:val="24"/>
          <w:lang w:eastAsia="en-IN"/>
        </w:rPr>
        <w:t xml:space="preserve"> High-beta portfolios do not generate proportionally higher risk-adjusted returns than low-beta portfolios, contradicting a strict CAPM prediction.</w:t>
      </w:r>
    </w:p>
    <w:p w14:paraId="7E942184" w14:textId="77777777" w:rsidR="00411509" w:rsidRPr="00C5265D" w:rsidRDefault="00411509" w:rsidP="00C5265D">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5265D">
        <w:rPr>
          <w:rFonts w:ascii="Times New Roman" w:eastAsia="Times New Roman" w:hAnsi="Times New Roman" w:cs="Times New Roman"/>
          <w:b/>
          <w:bCs/>
          <w:sz w:val="24"/>
          <w:szCs w:val="24"/>
          <w:lang w:eastAsia="en-IN"/>
        </w:rPr>
        <w:t>2.3 Price-to-Earnings Ratio (Valuation)</w:t>
      </w:r>
    </w:p>
    <w:p w14:paraId="13D6D112"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 xml:space="preserve">The P/E ratio captures how expensively or cheaply a stock is priced relative to its earnings and is the most widely used valuation heuristic in both academic research and industry practice. Following </w:t>
      </w:r>
      <w:proofErr w:type="spellStart"/>
      <w:r w:rsidRPr="00C5265D">
        <w:rPr>
          <w:rFonts w:ascii="Times New Roman" w:eastAsia="Times New Roman" w:hAnsi="Times New Roman" w:cs="Times New Roman"/>
          <w:sz w:val="24"/>
          <w:szCs w:val="24"/>
          <w:lang w:eastAsia="en-IN"/>
        </w:rPr>
        <w:t>Basu</w:t>
      </w:r>
      <w:proofErr w:type="spellEnd"/>
      <w:r w:rsidRPr="00C5265D">
        <w:rPr>
          <w:rFonts w:ascii="Times New Roman" w:eastAsia="Times New Roman" w:hAnsi="Times New Roman" w:cs="Times New Roman"/>
          <w:sz w:val="24"/>
          <w:szCs w:val="24"/>
          <w:lang w:eastAsia="en-IN"/>
        </w:rPr>
        <w:t xml:space="preserve"> (1977) and the value-investing literature, low P/E ("value") stocks are theorized to outperform high P/E ("growth") stocks, either because they are </w:t>
      </w:r>
      <w:proofErr w:type="spellStart"/>
      <w:r w:rsidRPr="00C5265D">
        <w:rPr>
          <w:rFonts w:ascii="Times New Roman" w:eastAsia="Times New Roman" w:hAnsi="Times New Roman" w:cs="Times New Roman"/>
          <w:sz w:val="24"/>
          <w:szCs w:val="24"/>
          <w:lang w:eastAsia="en-IN"/>
        </w:rPr>
        <w:t>underpriced</w:t>
      </w:r>
      <w:proofErr w:type="spellEnd"/>
      <w:r w:rsidRPr="00C5265D">
        <w:rPr>
          <w:rFonts w:ascii="Times New Roman" w:eastAsia="Times New Roman" w:hAnsi="Times New Roman" w:cs="Times New Roman"/>
          <w:sz w:val="24"/>
          <w:szCs w:val="24"/>
          <w:lang w:eastAsia="en-IN"/>
        </w:rPr>
        <w:t xml:space="preserve"> relative to fundamentals or because they carry additional risk (e.g., distress risk) that is compensated with higher expected returns. For consistency with standard cross-sectional regression practice, valuation was expressed as </w:t>
      </w:r>
      <w:r w:rsidRPr="00C5265D">
        <w:rPr>
          <w:rFonts w:ascii="Times New Roman" w:eastAsia="Times New Roman" w:hAnsi="Times New Roman" w:cs="Times New Roman"/>
          <w:b/>
          <w:bCs/>
          <w:sz w:val="24"/>
          <w:szCs w:val="24"/>
          <w:lang w:eastAsia="en-IN"/>
        </w:rPr>
        <w:t>earnings yield (E/P)</w:t>
      </w:r>
      <w:r w:rsidRPr="00C5265D">
        <w:rPr>
          <w:rFonts w:ascii="Times New Roman" w:eastAsia="Times New Roman" w:hAnsi="Times New Roman" w:cs="Times New Roman"/>
          <w:sz w:val="24"/>
          <w:szCs w:val="24"/>
          <w:lang w:eastAsia="en-IN"/>
        </w:rPr>
        <w:t xml:space="preserve">, the inverse of trailing P/E, when used as a continuous variable in regression testing, and as raw P/E </w:t>
      </w:r>
      <w:proofErr w:type="spellStart"/>
      <w:r w:rsidRPr="00C5265D">
        <w:rPr>
          <w:rFonts w:ascii="Times New Roman" w:eastAsia="Times New Roman" w:hAnsi="Times New Roman" w:cs="Times New Roman"/>
          <w:sz w:val="24"/>
          <w:szCs w:val="24"/>
          <w:lang w:eastAsia="en-IN"/>
        </w:rPr>
        <w:t>terciles</w:t>
      </w:r>
      <w:proofErr w:type="spellEnd"/>
      <w:r w:rsidRPr="00C5265D">
        <w:rPr>
          <w:rFonts w:ascii="Times New Roman" w:eastAsia="Times New Roman" w:hAnsi="Times New Roman" w:cs="Times New Roman"/>
          <w:sz w:val="24"/>
          <w:szCs w:val="24"/>
          <w:lang w:eastAsia="en-IN"/>
        </w:rPr>
        <w:t xml:space="preserve"> for portfolio sorting.</w:t>
      </w:r>
    </w:p>
    <w:p w14:paraId="331F6CCB"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H3 (Value Effect):</w:t>
      </w:r>
      <w:r w:rsidRPr="00C5265D">
        <w:rPr>
          <w:rFonts w:ascii="Times New Roman" w:eastAsia="Times New Roman" w:hAnsi="Times New Roman" w:cs="Times New Roman"/>
          <w:sz w:val="24"/>
          <w:szCs w:val="24"/>
          <w:lang w:eastAsia="en-IN"/>
        </w:rPr>
        <w:t xml:space="preserve"> Low P/E (value) portfolios outperform high P/E (growth) portfolios on a risk-adjusted basis.</w:t>
      </w:r>
    </w:p>
    <w:p w14:paraId="579D65A3" w14:textId="12265BF8" w:rsidR="00411509" w:rsidRPr="00C5265D" w:rsidRDefault="00411509" w:rsidP="00C5265D">
      <w:pPr>
        <w:spacing w:after="0" w:line="240" w:lineRule="auto"/>
        <w:jc w:val="both"/>
        <w:rPr>
          <w:rFonts w:ascii="Times New Roman" w:eastAsia="Times New Roman" w:hAnsi="Times New Roman" w:cs="Times New Roman"/>
          <w:sz w:val="24"/>
          <w:szCs w:val="24"/>
          <w:lang w:eastAsia="en-IN"/>
        </w:rPr>
      </w:pPr>
    </w:p>
    <w:p w14:paraId="4C50F967" w14:textId="77777777" w:rsidR="00411509" w:rsidRPr="00C5265D" w:rsidRDefault="00411509" w:rsidP="00C5265D">
      <w:pPr>
        <w:spacing w:before="100" w:beforeAutospacing="1" w:after="100" w:afterAutospacing="1" w:line="240" w:lineRule="auto"/>
        <w:jc w:val="both"/>
        <w:outlineLvl w:val="1"/>
        <w:rPr>
          <w:rFonts w:ascii="Times New Roman" w:eastAsia="Times New Roman" w:hAnsi="Times New Roman" w:cs="Times New Roman"/>
          <w:b/>
          <w:bCs/>
          <w:sz w:val="28"/>
          <w:szCs w:val="24"/>
          <w:lang w:eastAsia="en-IN"/>
        </w:rPr>
      </w:pPr>
      <w:r w:rsidRPr="00C5265D">
        <w:rPr>
          <w:rFonts w:ascii="Times New Roman" w:eastAsia="Times New Roman" w:hAnsi="Times New Roman" w:cs="Times New Roman"/>
          <w:b/>
          <w:bCs/>
          <w:sz w:val="28"/>
          <w:szCs w:val="24"/>
          <w:lang w:eastAsia="en-IN"/>
        </w:rPr>
        <w:t>3. Portfolio Performance Metrics</w:t>
      </w:r>
    </w:p>
    <w:p w14:paraId="597CC06E"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To evaluate whether the three attributes translate into meaningful differences in investment outcomes, portfolio performance was assessed using a combination of return, risk, and risk-adjusted metrics, consistent with standard practice in empirical portfolio performance studies.</w:t>
      </w:r>
    </w:p>
    <w:p w14:paraId="21EF17E6" w14:textId="77777777" w:rsidR="00411509" w:rsidRPr="00C5265D" w:rsidRDefault="00411509" w:rsidP="00C5265D">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5265D">
        <w:rPr>
          <w:rFonts w:ascii="Times New Roman" w:eastAsia="Times New Roman" w:hAnsi="Times New Roman" w:cs="Times New Roman"/>
          <w:b/>
          <w:bCs/>
          <w:sz w:val="24"/>
          <w:szCs w:val="24"/>
          <w:lang w:eastAsia="en-IN"/>
        </w:rPr>
        <w:t>3.1 Return and Risk Measures</w:t>
      </w:r>
    </w:p>
    <w:p w14:paraId="6C74A785" w14:textId="77777777" w:rsidR="00411509" w:rsidRPr="00C5265D" w:rsidRDefault="00411509" w:rsidP="00C5265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Annualized Return</w:t>
      </w:r>
      <w:r w:rsidRPr="00C5265D">
        <w:rPr>
          <w:rFonts w:ascii="Times New Roman" w:eastAsia="Times New Roman" w:hAnsi="Times New Roman" w:cs="Times New Roman"/>
          <w:sz w:val="24"/>
          <w:szCs w:val="24"/>
          <w:lang w:eastAsia="en-IN"/>
        </w:rPr>
        <w:t>: the average monthly portfolio return, annualized by multiplying by 12, capturing the raw reward generated by each attribute-sorted portfolio.</w:t>
      </w:r>
    </w:p>
    <w:p w14:paraId="524B98C5" w14:textId="77777777" w:rsidR="00411509" w:rsidRPr="00C5265D" w:rsidRDefault="00411509" w:rsidP="00C5265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Annualized Volatility (Standard Deviation)</w:t>
      </w:r>
      <w:r w:rsidRPr="00C5265D">
        <w:rPr>
          <w:rFonts w:ascii="Times New Roman" w:eastAsia="Times New Roman" w:hAnsi="Times New Roman" w:cs="Times New Roman"/>
          <w:sz w:val="24"/>
          <w:szCs w:val="24"/>
          <w:lang w:eastAsia="en-IN"/>
        </w:rPr>
        <w:t>: the standard deviation of monthly portfolio returns, annualized by multiplying by √12, capturing total risk (both systematic and idiosyncratic).</w:t>
      </w:r>
    </w:p>
    <w:p w14:paraId="3930965B" w14:textId="77777777" w:rsidR="00411509" w:rsidRPr="00C5265D" w:rsidRDefault="00411509" w:rsidP="00C5265D">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5265D">
        <w:rPr>
          <w:rFonts w:ascii="Times New Roman" w:eastAsia="Times New Roman" w:hAnsi="Times New Roman" w:cs="Times New Roman"/>
          <w:b/>
          <w:bCs/>
          <w:sz w:val="24"/>
          <w:szCs w:val="24"/>
          <w:lang w:eastAsia="en-IN"/>
        </w:rPr>
        <w:lastRenderedPageBreak/>
        <w:t>3.2 Risk-Adjusted Performance Measures</w:t>
      </w:r>
    </w:p>
    <w:p w14:paraId="0ADED493" w14:textId="77777777" w:rsidR="00DD10DA" w:rsidRPr="00C5265D" w:rsidRDefault="00411509" w:rsidP="00C5265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Sharpe Ratio</w:t>
      </w:r>
      <w:r w:rsidRPr="00C5265D">
        <w:rPr>
          <w:rFonts w:ascii="Times New Roman" w:eastAsia="Times New Roman" w:hAnsi="Times New Roman" w:cs="Times New Roman"/>
          <w:sz w:val="24"/>
          <w:szCs w:val="24"/>
          <w:lang w:eastAsia="en-IN"/>
        </w:rPr>
        <w:t xml:space="preserve">: measures excess return per unit of total risk, </w:t>
      </w:r>
    </w:p>
    <w:p w14:paraId="2CD8E16D" w14:textId="5904B0AD" w:rsidR="00DD10DA" w:rsidRPr="00C5265D" w:rsidRDefault="00DD10DA" w:rsidP="00C5265D">
      <w:pPr>
        <w:spacing w:before="100" w:beforeAutospacing="1" w:after="100" w:afterAutospacing="1" w:line="240" w:lineRule="auto"/>
        <w:ind w:left="720"/>
        <w:jc w:val="center"/>
        <w:rPr>
          <w:rFonts w:ascii="Times New Roman" w:hAnsi="Times New Roman" w:cs="Times New Roman"/>
          <w:sz w:val="24"/>
          <w:szCs w:val="24"/>
        </w:rPr>
      </w:pPr>
      <w:r w:rsidRPr="00C5265D">
        <w:rPr>
          <w:rFonts w:ascii="Times New Roman" w:hAnsi="Times New Roman" w:cs="Times New Roman"/>
          <w:sz w:val="24"/>
          <w:szCs w:val="24"/>
        </w:rPr>
        <w:t>Sharpe Ratio = (R̄ₚ</w:t>
      </w:r>
      <w:proofErr w:type="gramStart"/>
      <w:r w:rsidRPr="00C5265D">
        <w:rPr>
          <w:rFonts w:ascii="Times New Roman" w:hAnsi="Times New Roman" w:cs="Times New Roman"/>
          <w:sz w:val="24"/>
          <w:szCs w:val="24"/>
        </w:rPr>
        <w:t>,</w:t>
      </w:r>
      <w:r w:rsidRPr="00C5265D">
        <w:rPr>
          <w:rFonts w:ascii="Times New Roman" w:hAnsi="Times New Roman" w:cs="Times New Roman"/>
          <w:sz w:val="24"/>
          <w:szCs w:val="24"/>
          <w:vertAlign w:val="subscript"/>
        </w:rPr>
        <w:t>annual</w:t>
      </w:r>
      <w:proofErr w:type="gramEnd"/>
      <w:r w:rsidRPr="00C5265D">
        <w:rPr>
          <w:rFonts w:ascii="Times New Roman" w:hAnsi="Times New Roman" w:cs="Times New Roman"/>
          <w:sz w:val="24"/>
          <w:szCs w:val="24"/>
        </w:rPr>
        <w:t xml:space="preserve"> − </w:t>
      </w:r>
      <w:proofErr w:type="spellStart"/>
      <w:r w:rsidRPr="00C5265D">
        <w:rPr>
          <w:rFonts w:ascii="Times New Roman" w:hAnsi="Times New Roman" w:cs="Times New Roman"/>
          <w:sz w:val="24"/>
          <w:szCs w:val="24"/>
        </w:rPr>
        <w:t>R</w:t>
      </w:r>
      <w:r w:rsidRPr="00C5265D">
        <w:rPr>
          <w:rFonts w:ascii="Times New Roman" w:hAnsi="Times New Roman" w:cs="Times New Roman"/>
          <w:sz w:val="24"/>
          <w:szCs w:val="24"/>
          <w:vertAlign w:val="subscript"/>
        </w:rPr>
        <w:t>ƒ,annual</w:t>
      </w:r>
      <w:proofErr w:type="spellEnd"/>
      <w:r w:rsidRPr="00C5265D">
        <w:rPr>
          <w:rFonts w:ascii="Times New Roman" w:hAnsi="Times New Roman" w:cs="Times New Roman"/>
          <w:sz w:val="24"/>
          <w:szCs w:val="24"/>
        </w:rPr>
        <w:t xml:space="preserve">) / </w:t>
      </w:r>
      <w:proofErr w:type="spellStart"/>
      <w:r w:rsidRPr="00C5265D">
        <w:rPr>
          <w:rFonts w:ascii="Times New Roman" w:hAnsi="Times New Roman" w:cs="Times New Roman"/>
          <w:sz w:val="24"/>
          <w:szCs w:val="24"/>
        </w:rPr>
        <w:t>σ</w:t>
      </w:r>
      <w:r w:rsidRPr="00C5265D">
        <w:rPr>
          <w:rFonts w:ascii="Times New Roman" w:hAnsi="Times New Roman" w:cs="Times New Roman"/>
          <w:sz w:val="24"/>
          <w:szCs w:val="24"/>
          <w:vertAlign w:val="subscript"/>
        </w:rPr>
        <w:t>ₚ,annual</w:t>
      </w:r>
      <w:proofErr w:type="spellEnd"/>
    </w:p>
    <w:p w14:paraId="18050444" w14:textId="2BFD3B4E" w:rsidR="00411509" w:rsidRPr="00C5265D" w:rsidRDefault="00411509" w:rsidP="00C5265D">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 xml:space="preserve">This is the primary metric used to compare portfolios across attribute buckets, since it accounts for the different risk levels each </w:t>
      </w:r>
      <w:proofErr w:type="spellStart"/>
      <w:r w:rsidRPr="00C5265D">
        <w:rPr>
          <w:rFonts w:ascii="Times New Roman" w:eastAsia="Times New Roman" w:hAnsi="Times New Roman" w:cs="Times New Roman"/>
          <w:sz w:val="24"/>
          <w:szCs w:val="24"/>
          <w:lang w:eastAsia="en-IN"/>
        </w:rPr>
        <w:t>tercile</w:t>
      </w:r>
      <w:proofErr w:type="spellEnd"/>
      <w:r w:rsidRPr="00C5265D">
        <w:rPr>
          <w:rFonts w:ascii="Times New Roman" w:eastAsia="Times New Roman" w:hAnsi="Times New Roman" w:cs="Times New Roman"/>
          <w:sz w:val="24"/>
          <w:szCs w:val="24"/>
          <w:lang w:eastAsia="en-IN"/>
        </w:rPr>
        <w:t xml:space="preserve"> carries — critical given that, for instance, small-cap and high-beta portfolios are expected to carry higher volatility than their counterparts.</w:t>
      </w:r>
    </w:p>
    <w:p w14:paraId="64EBC7D9" w14:textId="77777777" w:rsidR="00DD10DA" w:rsidRPr="00C5265D" w:rsidRDefault="00411509" w:rsidP="00C5265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Jensen's Alpha</w:t>
      </w:r>
      <w:r w:rsidRPr="00C5265D">
        <w:rPr>
          <w:rFonts w:ascii="Times New Roman" w:eastAsia="Times New Roman" w:hAnsi="Times New Roman" w:cs="Times New Roman"/>
          <w:sz w:val="24"/>
          <w:szCs w:val="24"/>
          <w:lang w:eastAsia="en-IN"/>
        </w:rPr>
        <w:t>: estimated via time-series OLS regression of each portfolio's monthly excess returns against the market's excess returns over the full 120-month period,</w:t>
      </w:r>
    </w:p>
    <w:p w14:paraId="5B268ACD" w14:textId="08F132FA" w:rsidR="00DD10DA" w:rsidRPr="00C5265D" w:rsidRDefault="00DD10DA" w:rsidP="00C5265D">
      <w:pPr>
        <w:spacing w:before="100" w:beforeAutospacing="1" w:after="100" w:afterAutospacing="1" w:line="240" w:lineRule="auto"/>
        <w:ind w:left="720"/>
        <w:jc w:val="center"/>
        <w:rPr>
          <w:rFonts w:ascii="Times New Roman" w:hAnsi="Times New Roman" w:cs="Times New Roman"/>
          <w:sz w:val="24"/>
          <w:szCs w:val="24"/>
        </w:rPr>
      </w:pPr>
      <w:r w:rsidRPr="00C5265D">
        <w:rPr>
          <w:rFonts w:ascii="Times New Roman" w:hAnsi="Times New Roman" w:cs="Times New Roman"/>
          <w:sz w:val="24"/>
          <w:szCs w:val="24"/>
        </w:rPr>
        <w:t>(</w:t>
      </w:r>
      <w:proofErr w:type="spellStart"/>
      <w:r w:rsidRPr="00C5265D">
        <w:rPr>
          <w:rFonts w:ascii="Times New Roman" w:hAnsi="Times New Roman" w:cs="Times New Roman"/>
          <w:sz w:val="24"/>
          <w:szCs w:val="24"/>
        </w:rPr>
        <w:t>R</w:t>
      </w:r>
      <w:r w:rsidRPr="00C5265D">
        <w:rPr>
          <w:rFonts w:ascii="Times New Roman" w:hAnsi="Times New Roman" w:cs="Times New Roman"/>
          <w:sz w:val="24"/>
          <w:szCs w:val="24"/>
          <w:vertAlign w:val="subscript"/>
        </w:rPr>
        <w:t>p</w:t>
      </w:r>
      <w:proofErr w:type="gramStart"/>
      <w:r w:rsidRPr="00C5265D">
        <w:rPr>
          <w:rFonts w:ascii="Times New Roman" w:hAnsi="Times New Roman" w:cs="Times New Roman"/>
          <w:sz w:val="24"/>
          <w:szCs w:val="24"/>
          <w:vertAlign w:val="subscript"/>
        </w:rPr>
        <w:t>,t</w:t>
      </w:r>
      <w:proofErr w:type="spellEnd"/>
      <w:proofErr w:type="gramEnd"/>
      <w:r w:rsidR="00C5265D">
        <w:rPr>
          <w:rFonts w:ascii="Times New Roman" w:hAnsi="Times New Roman" w:cs="Times New Roman"/>
          <w:sz w:val="24"/>
          <w:szCs w:val="24"/>
          <w:vertAlign w:val="subscript"/>
        </w:rPr>
        <w:t xml:space="preserve"> </w:t>
      </w:r>
      <w:r w:rsidRPr="00C5265D">
        <w:rPr>
          <w:rFonts w:ascii="Times New Roman" w:hAnsi="Times New Roman" w:cs="Times New Roman"/>
          <w:sz w:val="24"/>
          <w:szCs w:val="24"/>
        </w:rPr>
        <w:t>​−</w:t>
      </w:r>
      <w:r w:rsidR="00C5265D">
        <w:rPr>
          <w:rFonts w:ascii="Times New Roman" w:hAnsi="Times New Roman" w:cs="Times New Roman"/>
          <w:sz w:val="24"/>
          <w:szCs w:val="24"/>
        </w:rPr>
        <w:t xml:space="preserve"> </w:t>
      </w:r>
      <w:proofErr w:type="spellStart"/>
      <w:r w:rsidRPr="00C5265D">
        <w:rPr>
          <w:rFonts w:ascii="Times New Roman" w:hAnsi="Times New Roman" w:cs="Times New Roman"/>
          <w:sz w:val="24"/>
          <w:szCs w:val="24"/>
        </w:rPr>
        <w:t>R</w:t>
      </w:r>
      <w:r w:rsidRPr="00C5265D">
        <w:rPr>
          <w:rFonts w:ascii="Times New Roman" w:hAnsi="Times New Roman" w:cs="Times New Roman"/>
          <w:sz w:val="24"/>
          <w:szCs w:val="24"/>
          <w:vertAlign w:val="subscript"/>
        </w:rPr>
        <w:t>f,t</w:t>
      </w:r>
      <w:proofErr w:type="spellEnd"/>
      <w:r w:rsidRPr="00C5265D">
        <w:rPr>
          <w:rFonts w:ascii="Times New Roman" w:hAnsi="Times New Roman" w:cs="Times New Roman"/>
          <w:sz w:val="24"/>
          <w:szCs w:val="24"/>
        </w:rPr>
        <w:t>​)</w:t>
      </w:r>
      <w:r w:rsidR="00C5265D">
        <w:rPr>
          <w:rFonts w:ascii="Times New Roman" w:hAnsi="Times New Roman" w:cs="Times New Roman"/>
          <w:sz w:val="24"/>
          <w:szCs w:val="24"/>
        </w:rPr>
        <w:t xml:space="preserve"> </w:t>
      </w:r>
      <w:r w:rsidRPr="00C5265D">
        <w:rPr>
          <w:rFonts w:ascii="Times New Roman" w:hAnsi="Times New Roman" w:cs="Times New Roman"/>
          <w:sz w:val="24"/>
          <w:szCs w:val="24"/>
        </w:rPr>
        <w:t>=</w:t>
      </w:r>
      <w:r w:rsidR="00C5265D">
        <w:rPr>
          <w:rFonts w:ascii="Times New Roman" w:hAnsi="Times New Roman" w:cs="Times New Roman"/>
          <w:sz w:val="24"/>
          <w:szCs w:val="24"/>
        </w:rPr>
        <w:t xml:space="preserve"> </w:t>
      </w:r>
      <w:r w:rsidRPr="00C5265D">
        <w:rPr>
          <w:rFonts w:ascii="Times New Roman" w:hAnsi="Times New Roman" w:cs="Times New Roman"/>
          <w:sz w:val="24"/>
          <w:szCs w:val="24"/>
        </w:rPr>
        <w:t>α</w:t>
      </w:r>
      <w:r w:rsidRPr="00C5265D">
        <w:rPr>
          <w:rFonts w:ascii="Times New Roman" w:hAnsi="Times New Roman" w:cs="Times New Roman"/>
          <w:sz w:val="24"/>
          <w:szCs w:val="24"/>
          <w:vertAlign w:val="subscript"/>
        </w:rPr>
        <w:t>p</w:t>
      </w:r>
      <w:proofErr w:type="gramStart"/>
      <w:r w:rsidRPr="00C5265D">
        <w:rPr>
          <w:rFonts w:ascii="Times New Roman" w:hAnsi="Times New Roman" w:cs="Times New Roman"/>
          <w:sz w:val="24"/>
          <w:szCs w:val="24"/>
        </w:rPr>
        <w:t>​</w:t>
      </w:r>
      <w:r w:rsidR="00C5265D">
        <w:rPr>
          <w:rFonts w:ascii="Times New Roman" w:hAnsi="Times New Roman" w:cs="Times New Roman"/>
          <w:sz w:val="24"/>
          <w:szCs w:val="24"/>
        </w:rPr>
        <w:t xml:space="preserve"> </w:t>
      </w:r>
      <w:r w:rsidRPr="00C5265D">
        <w:rPr>
          <w:rFonts w:ascii="Times New Roman" w:hAnsi="Times New Roman" w:cs="Times New Roman"/>
          <w:sz w:val="24"/>
          <w:szCs w:val="24"/>
        </w:rPr>
        <w:t>+</w:t>
      </w:r>
      <w:proofErr w:type="gramEnd"/>
      <w:r w:rsidR="00C5265D">
        <w:rPr>
          <w:rFonts w:ascii="Times New Roman" w:hAnsi="Times New Roman" w:cs="Times New Roman"/>
          <w:sz w:val="24"/>
          <w:szCs w:val="24"/>
        </w:rPr>
        <w:t xml:space="preserve"> </w:t>
      </w:r>
      <w:r w:rsidRPr="00C5265D">
        <w:rPr>
          <w:rFonts w:ascii="Times New Roman" w:hAnsi="Times New Roman" w:cs="Times New Roman"/>
          <w:sz w:val="24"/>
          <w:szCs w:val="24"/>
        </w:rPr>
        <w:t>β</w:t>
      </w:r>
      <w:r w:rsidRPr="00C5265D">
        <w:rPr>
          <w:rFonts w:ascii="Times New Roman" w:hAnsi="Times New Roman" w:cs="Times New Roman"/>
          <w:sz w:val="24"/>
          <w:szCs w:val="24"/>
          <w:vertAlign w:val="subscript"/>
        </w:rPr>
        <w:t>p</w:t>
      </w:r>
      <w:r w:rsidRPr="00C5265D">
        <w:rPr>
          <w:rFonts w:ascii="Times New Roman" w:hAnsi="Times New Roman" w:cs="Times New Roman"/>
          <w:sz w:val="24"/>
          <w:szCs w:val="24"/>
        </w:rPr>
        <w:t>​</w:t>
      </w:r>
      <w:r w:rsidR="00C5265D">
        <w:rPr>
          <w:rFonts w:ascii="Times New Roman" w:hAnsi="Times New Roman" w:cs="Times New Roman"/>
          <w:sz w:val="24"/>
          <w:szCs w:val="24"/>
        </w:rPr>
        <w:t xml:space="preserve"> </w:t>
      </w:r>
      <w:r w:rsidRPr="00C5265D">
        <w:rPr>
          <w:rFonts w:ascii="Times New Roman" w:hAnsi="Times New Roman" w:cs="Times New Roman"/>
          <w:sz w:val="24"/>
          <w:szCs w:val="24"/>
        </w:rPr>
        <w:t>(</w:t>
      </w:r>
      <w:proofErr w:type="spellStart"/>
      <w:r w:rsidRPr="00C5265D">
        <w:rPr>
          <w:rFonts w:ascii="Times New Roman" w:hAnsi="Times New Roman" w:cs="Times New Roman"/>
          <w:sz w:val="24"/>
          <w:szCs w:val="24"/>
        </w:rPr>
        <w:t>R</w:t>
      </w:r>
      <w:r w:rsidRPr="00C5265D">
        <w:rPr>
          <w:rFonts w:ascii="Times New Roman" w:hAnsi="Times New Roman" w:cs="Times New Roman"/>
          <w:sz w:val="24"/>
          <w:szCs w:val="24"/>
          <w:vertAlign w:val="subscript"/>
        </w:rPr>
        <w:t>m,t</w:t>
      </w:r>
      <w:proofErr w:type="spellEnd"/>
      <w:r w:rsidR="00C5265D">
        <w:rPr>
          <w:rFonts w:ascii="Times New Roman" w:hAnsi="Times New Roman" w:cs="Times New Roman"/>
          <w:sz w:val="24"/>
          <w:szCs w:val="24"/>
          <w:vertAlign w:val="subscript"/>
        </w:rPr>
        <w:t xml:space="preserve"> </w:t>
      </w:r>
      <w:r w:rsidRPr="00C5265D">
        <w:rPr>
          <w:rFonts w:ascii="Times New Roman" w:hAnsi="Times New Roman" w:cs="Times New Roman"/>
          <w:sz w:val="24"/>
          <w:szCs w:val="24"/>
        </w:rPr>
        <w:t>​−</w:t>
      </w:r>
      <w:r w:rsidR="00C5265D">
        <w:rPr>
          <w:rFonts w:ascii="Times New Roman" w:hAnsi="Times New Roman" w:cs="Times New Roman"/>
          <w:sz w:val="24"/>
          <w:szCs w:val="24"/>
        </w:rPr>
        <w:t xml:space="preserve"> </w:t>
      </w:r>
      <w:proofErr w:type="spellStart"/>
      <w:r w:rsidRPr="00C5265D">
        <w:rPr>
          <w:rFonts w:ascii="Times New Roman" w:hAnsi="Times New Roman" w:cs="Times New Roman"/>
          <w:sz w:val="24"/>
          <w:szCs w:val="24"/>
        </w:rPr>
        <w:t>R</w:t>
      </w:r>
      <w:r w:rsidRPr="00C5265D">
        <w:rPr>
          <w:rFonts w:ascii="Times New Roman" w:hAnsi="Times New Roman" w:cs="Times New Roman"/>
          <w:sz w:val="24"/>
          <w:szCs w:val="24"/>
          <w:vertAlign w:val="subscript"/>
        </w:rPr>
        <w:t>f,t</w:t>
      </w:r>
      <w:proofErr w:type="spellEnd"/>
      <w:r w:rsidRPr="00C5265D">
        <w:rPr>
          <w:rFonts w:ascii="Times New Roman" w:hAnsi="Times New Roman" w:cs="Times New Roman"/>
          <w:sz w:val="24"/>
          <w:szCs w:val="24"/>
        </w:rPr>
        <w:t>​)</w:t>
      </w:r>
      <w:r w:rsidR="00C5265D">
        <w:rPr>
          <w:rFonts w:ascii="Times New Roman" w:hAnsi="Times New Roman" w:cs="Times New Roman"/>
          <w:sz w:val="24"/>
          <w:szCs w:val="24"/>
        </w:rPr>
        <w:t xml:space="preserve"> </w:t>
      </w:r>
      <w:r w:rsidRPr="00C5265D">
        <w:rPr>
          <w:rFonts w:ascii="Times New Roman" w:hAnsi="Times New Roman" w:cs="Times New Roman"/>
          <w:sz w:val="24"/>
          <w:szCs w:val="24"/>
        </w:rPr>
        <w:t>+</w:t>
      </w:r>
      <w:r w:rsidR="00C5265D">
        <w:rPr>
          <w:rFonts w:ascii="Times New Roman" w:hAnsi="Times New Roman" w:cs="Times New Roman"/>
          <w:sz w:val="24"/>
          <w:szCs w:val="24"/>
        </w:rPr>
        <w:t xml:space="preserve"> </w:t>
      </w:r>
      <w:proofErr w:type="spellStart"/>
      <w:r w:rsidRPr="00C5265D">
        <w:rPr>
          <w:rFonts w:ascii="Times New Roman" w:hAnsi="Times New Roman" w:cs="Times New Roman"/>
          <w:sz w:val="24"/>
          <w:szCs w:val="24"/>
        </w:rPr>
        <w:t>ε</w:t>
      </w:r>
      <w:r w:rsidRPr="00C5265D">
        <w:rPr>
          <w:rFonts w:ascii="Times New Roman" w:hAnsi="Times New Roman" w:cs="Times New Roman"/>
          <w:sz w:val="24"/>
          <w:szCs w:val="24"/>
          <w:vertAlign w:val="subscript"/>
        </w:rPr>
        <w:t>t</w:t>
      </w:r>
      <w:proofErr w:type="spellEnd"/>
      <w:r w:rsidRPr="00C5265D">
        <w:rPr>
          <w:rFonts w:ascii="Times New Roman" w:hAnsi="Times New Roman" w:cs="Times New Roman"/>
          <w:sz w:val="24"/>
          <w:szCs w:val="24"/>
        </w:rPr>
        <w:t>​</w:t>
      </w:r>
    </w:p>
    <w:p w14:paraId="13816B10" w14:textId="709166A2" w:rsidR="00411509" w:rsidRPr="00C5265D" w:rsidRDefault="00411509" w:rsidP="00C5265D">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Alpha captures the risk-adjusted excess return a portfolio generates beyond what its m</w:t>
      </w:r>
      <w:r w:rsidR="00DD10DA" w:rsidRPr="00C5265D">
        <w:rPr>
          <w:rFonts w:ascii="Times New Roman" w:eastAsia="Times New Roman" w:hAnsi="Times New Roman" w:cs="Times New Roman"/>
          <w:sz w:val="24"/>
          <w:szCs w:val="24"/>
          <w:lang w:eastAsia="en-IN"/>
        </w:rPr>
        <w:t>arket exposure (β</w:t>
      </w:r>
      <w:r w:rsidRPr="00C5265D">
        <w:rPr>
          <w:rFonts w:ascii="Times New Roman" w:eastAsia="Times New Roman" w:hAnsi="Times New Roman" w:cs="Times New Roman"/>
          <w:sz w:val="24"/>
          <w:szCs w:val="24"/>
          <w:vertAlign w:val="subscript"/>
          <w:lang w:eastAsia="en-IN"/>
        </w:rPr>
        <w:t>p</w:t>
      </w:r>
      <w:r w:rsidRPr="00C5265D">
        <w:rPr>
          <w:rFonts w:ascii="Times New Roman" w:eastAsia="Times New Roman" w:hAnsi="Times New Roman" w:cs="Times New Roman"/>
          <w:sz w:val="24"/>
          <w:szCs w:val="24"/>
          <w:lang w:eastAsia="en-IN"/>
        </w:rPr>
        <w:t>) alone would predict, directly testing whether an attribute-based strategy adds value beyond simple market risk exposure.</w:t>
      </w:r>
    </w:p>
    <w:p w14:paraId="66F50DCA" w14:textId="77777777" w:rsidR="00411509" w:rsidRPr="00C5265D" w:rsidRDefault="00411509" w:rsidP="00C5265D">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5265D">
        <w:rPr>
          <w:rFonts w:ascii="Times New Roman" w:eastAsia="Times New Roman" w:hAnsi="Times New Roman" w:cs="Times New Roman"/>
          <w:b/>
          <w:bCs/>
          <w:sz w:val="24"/>
          <w:szCs w:val="24"/>
          <w:lang w:eastAsia="en-IN"/>
        </w:rPr>
        <w:t>3.3 Statistical Significance Testing</w:t>
      </w:r>
    </w:p>
    <w:p w14:paraId="621EFB70"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Two complementary statistical tests were used to assess whether performance differences across attribute buckets were meaningful rather than due to chance:</w:t>
      </w:r>
    </w:p>
    <w:p w14:paraId="59A0D798" w14:textId="77777777" w:rsidR="00411509" w:rsidRPr="00C5265D" w:rsidRDefault="00411509" w:rsidP="00C5265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Two-sample t-tests</w:t>
      </w:r>
      <w:r w:rsidRPr="00C5265D">
        <w:rPr>
          <w:rFonts w:ascii="Times New Roman" w:eastAsia="Times New Roman" w:hAnsi="Times New Roman" w:cs="Times New Roman"/>
          <w:sz w:val="24"/>
          <w:szCs w:val="24"/>
          <w:lang w:eastAsia="en-IN"/>
        </w:rPr>
        <w:t xml:space="preserve"> on High-minus-Low bucket excess returns, testing whether the extreme </w:t>
      </w:r>
      <w:proofErr w:type="spellStart"/>
      <w:r w:rsidRPr="00C5265D">
        <w:rPr>
          <w:rFonts w:ascii="Times New Roman" w:eastAsia="Times New Roman" w:hAnsi="Times New Roman" w:cs="Times New Roman"/>
          <w:sz w:val="24"/>
          <w:szCs w:val="24"/>
          <w:lang w:eastAsia="en-IN"/>
        </w:rPr>
        <w:t>terciles</w:t>
      </w:r>
      <w:proofErr w:type="spellEnd"/>
      <w:r w:rsidRPr="00C5265D">
        <w:rPr>
          <w:rFonts w:ascii="Times New Roman" w:eastAsia="Times New Roman" w:hAnsi="Times New Roman" w:cs="Times New Roman"/>
          <w:sz w:val="24"/>
          <w:szCs w:val="24"/>
          <w:lang w:eastAsia="en-IN"/>
        </w:rPr>
        <w:t xml:space="preserve"> differ significantly in mean monthly return.</w:t>
      </w:r>
    </w:p>
    <w:p w14:paraId="0A7BCF3E" w14:textId="77777777" w:rsidR="00411509" w:rsidRPr="00C5265D" w:rsidRDefault="00411509" w:rsidP="00C5265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C5265D">
        <w:rPr>
          <w:rFonts w:ascii="Times New Roman" w:eastAsia="Times New Roman" w:hAnsi="Times New Roman" w:cs="Times New Roman"/>
          <w:b/>
          <w:bCs/>
          <w:sz w:val="24"/>
          <w:szCs w:val="24"/>
          <w:lang w:eastAsia="en-IN"/>
        </w:rPr>
        <w:t>Fama-MacBeth</w:t>
      </w:r>
      <w:proofErr w:type="spellEnd"/>
      <w:r w:rsidRPr="00C5265D">
        <w:rPr>
          <w:rFonts w:ascii="Times New Roman" w:eastAsia="Times New Roman" w:hAnsi="Times New Roman" w:cs="Times New Roman"/>
          <w:b/>
          <w:bCs/>
          <w:sz w:val="24"/>
          <w:szCs w:val="24"/>
          <w:lang w:eastAsia="en-IN"/>
        </w:rPr>
        <w:t xml:space="preserve"> (1973) cross-sectional regressions</w:t>
      </w:r>
      <w:r w:rsidRPr="00C5265D">
        <w:rPr>
          <w:rFonts w:ascii="Times New Roman" w:eastAsia="Times New Roman" w:hAnsi="Times New Roman" w:cs="Times New Roman"/>
          <w:sz w:val="24"/>
          <w:szCs w:val="24"/>
          <w:lang w:eastAsia="en-IN"/>
        </w:rPr>
        <w:t>, run separately for each of the 120 months across all individual stocks, with the resulting monthly coefficients averaged and tested for statistical significance over time. This approach tests all three attributes jointly and uses the full cross-section of stocks each month, offering a more statistically powerful test than the bucket-based comparison alone.</w:t>
      </w:r>
    </w:p>
    <w:p w14:paraId="4ACA3C03" w14:textId="77777777" w:rsidR="00411509" w:rsidRPr="00C5265D" w:rsidRDefault="00411509" w:rsidP="00C5265D">
      <w:pPr>
        <w:spacing w:after="0" w:line="240" w:lineRule="auto"/>
        <w:jc w:val="both"/>
        <w:rPr>
          <w:rFonts w:ascii="Times New Roman" w:eastAsia="Times New Roman" w:hAnsi="Times New Roman" w:cs="Times New Roman"/>
          <w:sz w:val="24"/>
          <w:szCs w:val="24"/>
          <w:lang w:eastAsia="en-IN"/>
        </w:rPr>
      </w:pPr>
    </w:p>
    <w:p w14:paraId="4B6D2BA9" w14:textId="77777777" w:rsidR="00411509" w:rsidRPr="00C5265D" w:rsidRDefault="00411509" w:rsidP="00C5265D">
      <w:pPr>
        <w:spacing w:before="100" w:beforeAutospacing="1" w:after="100" w:afterAutospacing="1" w:line="240" w:lineRule="auto"/>
        <w:jc w:val="both"/>
        <w:outlineLvl w:val="1"/>
        <w:rPr>
          <w:rFonts w:ascii="Times New Roman" w:eastAsia="Times New Roman" w:hAnsi="Times New Roman" w:cs="Times New Roman"/>
          <w:b/>
          <w:bCs/>
          <w:sz w:val="28"/>
          <w:szCs w:val="24"/>
          <w:lang w:eastAsia="en-IN"/>
        </w:rPr>
      </w:pPr>
      <w:r w:rsidRPr="00C5265D">
        <w:rPr>
          <w:rFonts w:ascii="Times New Roman" w:eastAsia="Times New Roman" w:hAnsi="Times New Roman" w:cs="Times New Roman"/>
          <w:b/>
          <w:bCs/>
          <w:sz w:val="28"/>
          <w:szCs w:val="24"/>
          <w:lang w:eastAsia="en-IN"/>
        </w:rPr>
        <w:t>4. Empirical Analysis</w:t>
      </w:r>
    </w:p>
    <w:p w14:paraId="3630D3CD" w14:textId="77777777" w:rsidR="00411509" w:rsidRPr="00C5265D" w:rsidRDefault="00411509" w:rsidP="00C5265D">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5265D">
        <w:rPr>
          <w:rFonts w:ascii="Times New Roman" w:eastAsia="Times New Roman" w:hAnsi="Times New Roman" w:cs="Times New Roman"/>
          <w:b/>
          <w:bCs/>
          <w:sz w:val="24"/>
          <w:szCs w:val="24"/>
          <w:lang w:eastAsia="en-IN"/>
        </w:rPr>
        <w:t>4.1 Data and Sample</w:t>
      </w:r>
    </w:p>
    <w:p w14:paraId="0A3A3E69" w14:textId="30AD3DAD"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The empirical analysis draws on a sample of 39 non-financia</w:t>
      </w:r>
      <w:r w:rsidR="00DD10DA" w:rsidRPr="00C5265D">
        <w:rPr>
          <w:rFonts w:ascii="Times New Roman" w:eastAsia="Times New Roman" w:hAnsi="Times New Roman" w:cs="Times New Roman"/>
          <w:sz w:val="24"/>
          <w:szCs w:val="24"/>
          <w:lang w:eastAsia="en-IN"/>
        </w:rPr>
        <w:t xml:space="preserve">l constituents of the Nifty 50, </w:t>
      </w:r>
      <w:r w:rsidRPr="00C5265D">
        <w:rPr>
          <w:rFonts w:ascii="Times New Roman" w:eastAsia="Times New Roman" w:hAnsi="Times New Roman" w:cs="Times New Roman"/>
          <w:sz w:val="24"/>
          <w:szCs w:val="24"/>
          <w:lang w:eastAsia="en-IN"/>
        </w:rPr>
        <w:t xml:space="preserve">with banks and NBFCs excluded due to differing accounting and leverage structures. Monthly stock price data spans 2013–2025, with attribute construction beginning in 2016 to allow a 36–60 month lookback window for beta estimation. Portfolio tracking covers 2016–2025, yielding 120 monthly return observations per portfolio bucket. Market capitalization and trailing P/E data were sourced manually from </w:t>
      </w:r>
      <w:proofErr w:type="spellStart"/>
      <w:r w:rsidRPr="00C5265D">
        <w:rPr>
          <w:rFonts w:ascii="Times New Roman" w:eastAsia="Times New Roman" w:hAnsi="Times New Roman" w:cs="Times New Roman"/>
          <w:sz w:val="24"/>
          <w:szCs w:val="24"/>
          <w:lang w:eastAsia="en-IN"/>
        </w:rPr>
        <w:t>Capitaline</w:t>
      </w:r>
      <w:proofErr w:type="spellEnd"/>
      <w:r w:rsidRPr="00C5265D">
        <w:rPr>
          <w:rFonts w:ascii="Times New Roman" w:eastAsia="Times New Roman" w:hAnsi="Times New Roman" w:cs="Times New Roman"/>
          <w:sz w:val="24"/>
          <w:szCs w:val="24"/>
          <w:lang w:eastAsia="en-IN"/>
        </w:rPr>
        <w:t xml:space="preserve"> at the start of each calendar year.</w:t>
      </w:r>
    </w:p>
    <w:p w14:paraId="7778FAF0" w14:textId="77777777" w:rsidR="00411509" w:rsidRPr="00C5265D" w:rsidRDefault="00411509" w:rsidP="00C5265D">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5265D">
        <w:rPr>
          <w:rFonts w:ascii="Times New Roman" w:eastAsia="Times New Roman" w:hAnsi="Times New Roman" w:cs="Times New Roman"/>
          <w:b/>
          <w:bCs/>
          <w:sz w:val="24"/>
          <w:szCs w:val="24"/>
          <w:lang w:eastAsia="en-IN"/>
        </w:rPr>
        <w:t>4.2 Methodology</w:t>
      </w:r>
    </w:p>
    <w:p w14:paraId="773FBD40"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 xml:space="preserve">Three attributes — Beta (36–60 month rolling OLS estimate), Size (log market capitalization), and Value (earnings yield, E/P) — were computed annually for each stock. Stocks were </w:t>
      </w:r>
      <w:r w:rsidRPr="00C5265D">
        <w:rPr>
          <w:rFonts w:ascii="Times New Roman" w:eastAsia="Times New Roman" w:hAnsi="Times New Roman" w:cs="Times New Roman"/>
          <w:sz w:val="24"/>
          <w:szCs w:val="24"/>
          <w:lang w:eastAsia="en-IN"/>
        </w:rPr>
        <w:lastRenderedPageBreak/>
        <w:t xml:space="preserve">independently sorted into </w:t>
      </w:r>
      <w:proofErr w:type="spellStart"/>
      <w:r w:rsidRPr="00C5265D">
        <w:rPr>
          <w:rFonts w:ascii="Times New Roman" w:eastAsia="Times New Roman" w:hAnsi="Times New Roman" w:cs="Times New Roman"/>
          <w:sz w:val="24"/>
          <w:szCs w:val="24"/>
          <w:lang w:eastAsia="en-IN"/>
        </w:rPr>
        <w:t>terciles</w:t>
      </w:r>
      <w:proofErr w:type="spellEnd"/>
      <w:r w:rsidRPr="00C5265D">
        <w:rPr>
          <w:rFonts w:ascii="Times New Roman" w:eastAsia="Times New Roman" w:hAnsi="Times New Roman" w:cs="Times New Roman"/>
          <w:sz w:val="24"/>
          <w:szCs w:val="24"/>
          <w:lang w:eastAsia="en-IN"/>
        </w:rPr>
        <w:t xml:space="preserve"> (Low/Medium/High) on each attribute and formed into equal-weighted portfolios, rebalanced annually. Portfolio performance was assessed via annualized return, annualized volatility, Sharpe ratio, and Jensen's alpha (time-series OLS regression of portfolio excess returns on market excess returns across all 120 months). Two-sample t-tests were conducted on High-minus-Low bucket monthly excess return differentials. A </w:t>
      </w:r>
      <w:proofErr w:type="spellStart"/>
      <w:r w:rsidRPr="00C5265D">
        <w:rPr>
          <w:rFonts w:ascii="Times New Roman" w:eastAsia="Times New Roman" w:hAnsi="Times New Roman" w:cs="Times New Roman"/>
          <w:sz w:val="24"/>
          <w:szCs w:val="24"/>
          <w:lang w:eastAsia="en-IN"/>
        </w:rPr>
        <w:t>Fama-MacBeth</w:t>
      </w:r>
      <w:proofErr w:type="spellEnd"/>
      <w:r w:rsidRPr="00C5265D">
        <w:rPr>
          <w:rFonts w:ascii="Times New Roman" w:eastAsia="Times New Roman" w:hAnsi="Times New Roman" w:cs="Times New Roman"/>
          <w:sz w:val="24"/>
          <w:szCs w:val="24"/>
          <w:lang w:eastAsia="en-IN"/>
        </w:rPr>
        <w:t xml:space="preserve"> (1973) two-stage cross-sectional regression was additionally run across all 120 months to test the joint explanatory power of the three attributes on individual stock returns.</w:t>
      </w:r>
    </w:p>
    <w:p w14:paraId="634C2806" w14:textId="77777777" w:rsidR="00411509" w:rsidRPr="00C5265D" w:rsidRDefault="00411509" w:rsidP="00C5265D">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5265D">
        <w:rPr>
          <w:rFonts w:ascii="Times New Roman" w:eastAsia="Times New Roman" w:hAnsi="Times New Roman" w:cs="Times New Roman"/>
          <w:b/>
          <w:bCs/>
          <w:sz w:val="24"/>
          <w:szCs w:val="24"/>
          <w:lang w:eastAsia="en-IN"/>
        </w:rPr>
        <w:t>4.3 Results</w:t>
      </w:r>
    </w:p>
    <w:p w14:paraId="7BA85E0B"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Table 2: Portfolio Performance and Risk Characteristics (2016–2025)</w:t>
      </w:r>
    </w:p>
    <w:tbl>
      <w:tblPr>
        <w:tblStyle w:val="GridTable3-Accent6"/>
        <w:tblW w:w="0" w:type="auto"/>
        <w:jc w:val="center"/>
        <w:tblLook w:val="04A0" w:firstRow="1" w:lastRow="0" w:firstColumn="1" w:lastColumn="0" w:noHBand="0" w:noVBand="1"/>
      </w:tblPr>
      <w:tblGrid>
        <w:gridCol w:w="1098"/>
        <w:gridCol w:w="1030"/>
        <w:gridCol w:w="1020"/>
        <w:gridCol w:w="1240"/>
        <w:gridCol w:w="1021"/>
        <w:gridCol w:w="1149"/>
        <w:gridCol w:w="1183"/>
        <w:gridCol w:w="1285"/>
      </w:tblGrid>
      <w:tr w:rsidR="00411509" w:rsidRPr="00C5265D" w14:paraId="61704AF6" w14:textId="77777777" w:rsidTr="00DD10D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052CD378" w14:textId="77777777" w:rsidR="00411509" w:rsidRPr="00C5265D" w:rsidRDefault="00411509" w:rsidP="002B7A45">
            <w:pPr>
              <w:jc w:val="center"/>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Attribute</w:t>
            </w:r>
          </w:p>
        </w:tc>
        <w:tc>
          <w:tcPr>
            <w:tcW w:w="0" w:type="auto"/>
            <w:hideMark/>
          </w:tcPr>
          <w:p w14:paraId="23B965A8" w14:textId="77777777" w:rsidR="00411509" w:rsidRPr="00C5265D" w:rsidRDefault="00411509" w:rsidP="002B7A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proofErr w:type="spellStart"/>
            <w:r w:rsidRPr="00C5265D">
              <w:rPr>
                <w:rFonts w:ascii="Times New Roman" w:eastAsia="Times New Roman" w:hAnsi="Times New Roman" w:cs="Times New Roman"/>
                <w:sz w:val="24"/>
                <w:szCs w:val="24"/>
                <w:lang w:eastAsia="en-IN"/>
              </w:rPr>
              <w:t>Tercile</w:t>
            </w:r>
            <w:proofErr w:type="spellEnd"/>
          </w:p>
        </w:tc>
        <w:tc>
          <w:tcPr>
            <w:tcW w:w="0" w:type="auto"/>
            <w:hideMark/>
          </w:tcPr>
          <w:p w14:paraId="1A7DA750" w14:textId="77777777" w:rsidR="00411509" w:rsidRPr="00C5265D" w:rsidRDefault="00411509" w:rsidP="002B7A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Ann. Return</w:t>
            </w:r>
          </w:p>
        </w:tc>
        <w:tc>
          <w:tcPr>
            <w:tcW w:w="0" w:type="auto"/>
            <w:hideMark/>
          </w:tcPr>
          <w:p w14:paraId="61887443" w14:textId="77777777" w:rsidR="00411509" w:rsidRPr="00C5265D" w:rsidRDefault="00411509" w:rsidP="002B7A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Ann. Volatility</w:t>
            </w:r>
          </w:p>
        </w:tc>
        <w:tc>
          <w:tcPr>
            <w:tcW w:w="0" w:type="auto"/>
            <w:hideMark/>
          </w:tcPr>
          <w:p w14:paraId="4AE12420" w14:textId="77777777" w:rsidR="00411509" w:rsidRPr="00C5265D" w:rsidRDefault="00411509" w:rsidP="002B7A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Sharpe Ratio</w:t>
            </w:r>
          </w:p>
        </w:tc>
        <w:tc>
          <w:tcPr>
            <w:tcW w:w="0" w:type="auto"/>
            <w:hideMark/>
          </w:tcPr>
          <w:p w14:paraId="3A33CE25" w14:textId="77777777" w:rsidR="00411509" w:rsidRPr="00C5265D" w:rsidRDefault="00411509" w:rsidP="002B7A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Jensen's Alpha</w:t>
            </w:r>
          </w:p>
        </w:tc>
        <w:tc>
          <w:tcPr>
            <w:tcW w:w="0" w:type="auto"/>
            <w:hideMark/>
          </w:tcPr>
          <w:p w14:paraId="70783835" w14:textId="77777777" w:rsidR="00411509" w:rsidRPr="00C5265D" w:rsidRDefault="00411509" w:rsidP="002B7A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Portfolio Beta</w:t>
            </w:r>
          </w:p>
        </w:tc>
        <w:tc>
          <w:tcPr>
            <w:tcW w:w="0" w:type="auto"/>
            <w:hideMark/>
          </w:tcPr>
          <w:p w14:paraId="4F113021" w14:textId="77777777" w:rsidR="00411509" w:rsidRPr="00C5265D" w:rsidRDefault="00411509" w:rsidP="002B7A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Alpha p-value</w:t>
            </w:r>
          </w:p>
        </w:tc>
      </w:tr>
      <w:tr w:rsidR="00411509" w:rsidRPr="00C5265D" w14:paraId="66C94909" w14:textId="77777777" w:rsidTr="00DD10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F8AB91" w14:textId="77777777" w:rsidR="00411509" w:rsidRPr="00C5265D" w:rsidRDefault="00411509" w:rsidP="002B7A45">
            <w:pPr>
              <w:jc w:val="center"/>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Cap</w:t>
            </w:r>
          </w:p>
        </w:tc>
        <w:tc>
          <w:tcPr>
            <w:tcW w:w="0" w:type="auto"/>
            <w:hideMark/>
          </w:tcPr>
          <w:p w14:paraId="7DDA983D"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Low</w:t>
            </w:r>
          </w:p>
        </w:tc>
        <w:tc>
          <w:tcPr>
            <w:tcW w:w="0" w:type="auto"/>
            <w:hideMark/>
          </w:tcPr>
          <w:p w14:paraId="460F4FB3"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26.09%</w:t>
            </w:r>
          </w:p>
        </w:tc>
        <w:tc>
          <w:tcPr>
            <w:tcW w:w="0" w:type="auto"/>
            <w:hideMark/>
          </w:tcPr>
          <w:p w14:paraId="54716376"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20.53%</w:t>
            </w:r>
          </w:p>
        </w:tc>
        <w:tc>
          <w:tcPr>
            <w:tcW w:w="0" w:type="auto"/>
            <w:hideMark/>
          </w:tcPr>
          <w:p w14:paraId="1D01931D"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0.979</w:t>
            </w:r>
          </w:p>
        </w:tc>
        <w:tc>
          <w:tcPr>
            <w:tcW w:w="0" w:type="auto"/>
            <w:hideMark/>
          </w:tcPr>
          <w:p w14:paraId="607592EE"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12.25%</w:t>
            </w:r>
          </w:p>
        </w:tc>
        <w:tc>
          <w:tcPr>
            <w:tcW w:w="0" w:type="auto"/>
            <w:hideMark/>
          </w:tcPr>
          <w:p w14:paraId="199294AC"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1.076</w:t>
            </w:r>
          </w:p>
        </w:tc>
        <w:tc>
          <w:tcPr>
            <w:tcW w:w="0" w:type="auto"/>
            <w:hideMark/>
          </w:tcPr>
          <w:p w14:paraId="275E46A7"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0.0007***</w:t>
            </w:r>
          </w:p>
        </w:tc>
      </w:tr>
      <w:tr w:rsidR="00411509" w:rsidRPr="00C5265D" w14:paraId="6BB13A2F" w14:textId="77777777" w:rsidTr="00DD10D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03CC57" w14:textId="77777777" w:rsidR="00411509" w:rsidRPr="00C5265D" w:rsidRDefault="00411509" w:rsidP="002B7A45">
            <w:pPr>
              <w:jc w:val="center"/>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Cap</w:t>
            </w:r>
          </w:p>
        </w:tc>
        <w:tc>
          <w:tcPr>
            <w:tcW w:w="0" w:type="auto"/>
            <w:hideMark/>
          </w:tcPr>
          <w:p w14:paraId="53C2F8ED"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Medium</w:t>
            </w:r>
          </w:p>
        </w:tc>
        <w:tc>
          <w:tcPr>
            <w:tcW w:w="0" w:type="auto"/>
            <w:hideMark/>
          </w:tcPr>
          <w:p w14:paraId="79D47556"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20.23%</w:t>
            </w:r>
          </w:p>
        </w:tc>
        <w:tc>
          <w:tcPr>
            <w:tcW w:w="0" w:type="auto"/>
            <w:hideMark/>
          </w:tcPr>
          <w:p w14:paraId="66A64AE4"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18.13%</w:t>
            </w:r>
          </w:p>
        </w:tc>
        <w:tc>
          <w:tcPr>
            <w:tcW w:w="0" w:type="auto"/>
            <w:hideMark/>
          </w:tcPr>
          <w:p w14:paraId="14940757"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0.785</w:t>
            </w:r>
          </w:p>
        </w:tc>
        <w:tc>
          <w:tcPr>
            <w:tcW w:w="0" w:type="auto"/>
            <w:hideMark/>
          </w:tcPr>
          <w:p w14:paraId="0DEA4769"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7.17%</w:t>
            </w:r>
          </w:p>
        </w:tc>
        <w:tc>
          <w:tcPr>
            <w:tcW w:w="0" w:type="auto"/>
            <w:hideMark/>
          </w:tcPr>
          <w:p w14:paraId="6FC24076"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0.969</w:t>
            </w:r>
          </w:p>
        </w:tc>
        <w:tc>
          <w:tcPr>
            <w:tcW w:w="0" w:type="auto"/>
            <w:hideMark/>
          </w:tcPr>
          <w:p w14:paraId="0A2FED5A"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0.0162**</w:t>
            </w:r>
          </w:p>
        </w:tc>
      </w:tr>
      <w:tr w:rsidR="00411509" w:rsidRPr="00C5265D" w14:paraId="6B6CC9FF" w14:textId="77777777" w:rsidTr="00DD10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120886" w14:textId="77777777" w:rsidR="00411509" w:rsidRPr="00C5265D" w:rsidRDefault="00411509" w:rsidP="002B7A45">
            <w:pPr>
              <w:jc w:val="center"/>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Cap</w:t>
            </w:r>
          </w:p>
        </w:tc>
        <w:tc>
          <w:tcPr>
            <w:tcW w:w="0" w:type="auto"/>
            <w:hideMark/>
          </w:tcPr>
          <w:p w14:paraId="13DDC271"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High</w:t>
            </w:r>
          </w:p>
        </w:tc>
        <w:tc>
          <w:tcPr>
            <w:tcW w:w="0" w:type="auto"/>
            <w:hideMark/>
          </w:tcPr>
          <w:p w14:paraId="3D7920A6"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15.98%</w:t>
            </w:r>
          </w:p>
        </w:tc>
        <w:tc>
          <w:tcPr>
            <w:tcW w:w="0" w:type="auto"/>
            <w:hideMark/>
          </w:tcPr>
          <w:p w14:paraId="6AE65199"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14.16%</w:t>
            </w:r>
          </w:p>
        </w:tc>
        <w:tc>
          <w:tcPr>
            <w:tcW w:w="0" w:type="auto"/>
            <w:hideMark/>
          </w:tcPr>
          <w:p w14:paraId="20D55DDC"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0.705</w:t>
            </w:r>
          </w:p>
        </w:tc>
        <w:tc>
          <w:tcPr>
            <w:tcW w:w="0" w:type="auto"/>
            <w:hideMark/>
          </w:tcPr>
          <w:p w14:paraId="347E7D64"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4.45%</w:t>
            </w:r>
          </w:p>
        </w:tc>
        <w:tc>
          <w:tcPr>
            <w:tcW w:w="0" w:type="auto"/>
            <w:hideMark/>
          </w:tcPr>
          <w:p w14:paraId="739D2F34"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0.759</w:t>
            </w:r>
          </w:p>
        </w:tc>
        <w:tc>
          <w:tcPr>
            <w:tcW w:w="0" w:type="auto"/>
            <w:hideMark/>
          </w:tcPr>
          <w:p w14:paraId="7028E1D6"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0.0526*</w:t>
            </w:r>
          </w:p>
        </w:tc>
      </w:tr>
      <w:tr w:rsidR="00411509" w:rsidRPr="00C5265D" w14:paraId="6467CF04" w14:textId="77777777" w:rsidTr="00DD10D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8E3432" w14:textId="77777777" w:rsidR="00411509" w:rsidRPr="00C5265D" w:rsidRDefault="00411509" w:rsidP="002B7A45">
            <w:pPr>
              <w:jc w:val="center"/>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Beta</w:t>
            </w:r>
          </w:p>
        </w:tc>
        <w:tc>
          <w:tcPr>
            <w:tcW w:w="0" w:type="auto"/>
            <w:hideMark/>
          </w:tcPr>
          <w:p w14:paraId="3575460B"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Low</w:t>
            </w:r>
          </w:p>
        </w:tc>
        <w:tc>
          <w:tcPr>
            <w:tcW w:w="0" w:type="auto"/>
            <w:hideMark/>
          </w:tcPr>
          <w:p w14:paraId="6F0CF2B4"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17.39%</w:t>
            </w:r>
          </w:p>
        </w:tc>
        <w:tc>
          <w:tcPr>
            <w:tcW w:w="0" w:type="auto"/>
            <w:hideMark/>
          </w:tcPr>
          <w:p w14:paraId="5EC7D402"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14.78%</w:t>
            </w:r>
          </w:p>
        </w:tc>
        <w:tc>
          <w:tcPr>
            <w:tcW w:w="0" w:type="auto"/>
            <w:hideMark/>
          </w:tcPr>
          <w:p w14:paraId="331D2ADE"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0.771</w:t>
            </w:r>
          </w:p>
        </w:tc>
        <w:tc>
          <w:tcPr>
            <w:tcW w:w="0" w:type="auto"/>
            <w:hideMark/>
          </w:tcPr>
          <w:p w14:paraId="01024DD6"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6.14%</w:t>
            </w:r>
          </w:p>
        </w:tc>
        <w:tc>
          <w:tcPr>
            <w:tcW w:w="0" w:type="auto"/>
            <w:hideMark/>
          </w:tcPr>
          <w:p w14:paraId="5070AD49"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0.721</w:t>
            </w:r>
          </w:p>
        </w:tc>
        <w:tc>
          <w:tcPr>
            <w:tcW w:w="0" w:type="auto"/>
            <w:hideMark/>
          </w:tcPr>
          <w:p w14:paraId="0DB4993F"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0.0376**</w:t>
            </w:r>
          </w:p>
        </w:tc>
      </w:tr>
      <w:tr w:rsidR="00411509" w:rsidRPr="00C5265D" w14:paraId="6DDD64F0" w14:textId="77777777" w:rsidTr="00DD10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7DB114" w14:textId="77777777" w:rsidR="00411509" w:rsidRPr="00C5265D" w:rsidRDefault="00411509" w:rsidP="002B7A45">
            <w:pPr>
              <w:jc w:val="center"/>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Beta</w:t>
            </w:r>
          </w:p>
        </w:tc>
        <w:tc>
          <w:tcPr>
            <w:tcW w:w="0" w:type="auto"/>
            <w:hideMark/>
          </w:tcPr>
          <w:p w14:paraId="59FF4A4B"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Medium</w:t>
            </w:r>
          </w:p>
        </w:tc>
        <w:tc>
          <w:tcPr>
            <w:tcW w:w="0" w:type="auto"/>
            <w:hideMark/>
          </w:tcPr>
          <w:p w14:paraId="31D20D2B"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21.04%</w:t>
            </w:r>
          </w:p>
        </w:tc>
        <w:tc>
          <w:tcPr>
            <w:tcW w:w="0" w:type="auto"/>
            <w:hideMark/>
          </w:tcPr>
          <w:p w14:paraId="624FF001"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15.50%</w:t>
            </w:r>
          </w:p>
        </w:tc>
        <w:tc>
          <w:tcPr>
            <w:tcW w:w="0" w:type="auto"/>
            <w:hideMark/>
          </w:tcPr>
          <w:p w14:paraId="2FB737D9"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0.970</w:t>
            </w:r>
          </w:p>
        </w:tc>
        <w:tc>
          <w:tcPr>
            <w:tcW w:w="0" w:type="auto"/>
            <w:hideMark/>
          </w:tcPr>
          <w:p w14:paraId="22E63F60"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8.81%</w:t>
            </w:r>
          </w:p>
        </w:tc>
        <w:tc>
          <w:tcPr>
            <w:tcW w:w="0" w:type="auto"/>
            <w:hideMark/>
          </w:tcPr>
          <w:p w14:paraId="7619FA8C"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0.854</w:t>
            </w:r>
          </w:p>
        </w:tc>
        <w:tc>
          <w:tcPr>
            <w:tcW w:w="0" w:type="auto"/>
            <w:hideMark/>
          </w:tcPr>
          <w:p w14:paraId="5DADC14C"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0.0002***</w:t>
            </w:r>
          </w:p>
        </w:tc>
      </w:tr>
      <w:tr w:rsidR="00411509" w:rsidRPr="00C5265D" w14:paraId="35B25D46" w14:textId="77777777" w:rsidTr="00DD10D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762D58" w14:textId="77777777" w:rsidR="00411509" w:rsidRPr="00C5265D" w:rsidRDefault="00411509" w:rsidP="002B7A45">
            <w:pPr>
              <w:jc w:val="center"/>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Beta</w:t>
            </w:r>
          </w:p>
        </w:tc>
        <w:tc>
          <w:tcPr>
            <w:tcW w:w="0" w:type="auto"/>
            <w:hideMark/>
          </w:tcPr>
          <w:p w14:paraId="0DB66103"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High</w:t>
            </w:r>
          </w:p>
        </w:tc>
        <w:tc>
          <w:tcPr>
            <w:tcW w:w="0" w:type="auto"/>
            <w:hideMark/>
          </w:tcPr>
          <w:p w14:paraId="28B473FA"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23.87%</w:t>
            </w:r>
          </w:p>
        </w:tc>
        <w:tc>
          <w:tcPr>
            <w:tcW w:w="0" w:type="auto"/>
            <w:hideMark/>
          </w:tcPr>
          <w:p w14:paraId="2DD20707"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22.63%</w:t>
            </w:r>
          </w:p>
        </w:tc>
        <w:tc>
          <w:tcPr>
            <w:tcW w:w="0" w:type="auto"/>
            <w:hideMark/>
          </w:tcPr>
          <w:p w14:paraId="6D645CC6"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0.790</w:t>
            </w:r>
          </w:p>
        </w:tc>
        <w:tc>
          <w:tcPr>
            <w:tcW w:w="0" w:type="auto"/>
            <w:hideMark/>
          </w:tcPr>
          <w:p w14:paraId="3E4811D7"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8.92%</w:t>
            </w:r>
          </w:p>
        </w:tc>
        <w:tc>
          <w:tcPr>
            <w:tcW w:w="0" w:type="auto"/>
            <w:hideMark/>
          </w:tcPr>
          <w:p w14:paraId="6DE12CF6"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1.229</w:t>
            </w:r>
          </w:p>
        </w:tc>
        <w:tc>
          <w:tcPr>
            <w:tcW w:w="0" w:type="auto"/>
            <w:hideMark/>
          </w:tcPr>
          <w:p w14:paraId="7286BA9F"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0.0119**</w:t>
            </w:r>
          </w:p>
        </w:tc>
      </w:tr>
      <w:tr w:rsidR="00411509" w:rsidRPr="00C5265D" w14:paraId="056604EF" w14:textId="77777777" w:rsidTr="00DD10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B1157B" w14:textId="77777777" w:rsidR="00411509" w:rsidRPr="00C5265D" w:rsidRDefault="00411509" w:rsidP="002B7A45">
            <w:pPr>
              <w:jc w:val="center"/>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PE</w:t>
            </w:r>
          </w:p>
        </w:tc>
        <w:tc>
          <w:tcPr>
            <w:tcW w:w="0" w:type="auto"/>
            <w:hideMark/>
          </w:tcPr>
          <w:p w14:paraId="2291DB5D"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Low</w:t>
            </w:r>
          </w:p>
        </w:tc>
        <w:tc>
          <w:tcPr>
            <w:tcW w:w="0" w:type="auto"/>
            <w:hideMark/>
          </w:tcPr>
          <w:p w14:paraId="509943CB"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25.19%</w:t>
            </w:r>
          </w:p>
        </w:tc>
        <w:tc>
          <w:tcPr>
            <w:tcW w:w="0" w:type="auto"/>
            <w:hideMark/>
          </w:tcPr>
          <w:p w14:paraId="22CAA7C0"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17.32%</w:t>
            </w:r>
          </w:p>
        </w:tc>
        <w:tc>
          <w:tcPr>
            <w:tcW w:w="0" w:type="auto"/>
            <w:hideMark/>
          </w:tcPr>
          <w:p w14:paraId="539244E5"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1.108</w:t>
            </w:r>
          </w:p>
        </w:tc>
        <w:tc>
          <w:tcPr>
            <w:tcW w:w="0" w:type="auto"/>
            <w:hideMark/>
          </w:tcPr>
          <w:p w14:paraId="2D69DE5C"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12.65%</w:t>
            </w:r>
          </w:p>
        </w:tc>
        <w:tc>
          <w:tcPr>
            <w:tcW w:w="0" w:type="auto"/>
            <w:hideMark/>
          </w:tcPr>
          <w:p w14:paraId="518428BE"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0.898</w:t>
            </w:r>
          </w:p>
        </w:tc>
        <w:tc>
          <w:tcPr>
            <w:tcW w:w="0" w:type="auto"/>
            <w:hideMark/>
          </w:tcPr>
          <w:p w14:paraId="561BD923"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0.0001***</w:t>
            </w:r>
          </w:p>
        </w:tc>
      </w:tr>
      <w:tr w:rsidR="00411509" w:rsidRPr="00C5265D" w14:paraId="75B1413A" w14:textId="77777777" w:rsidTr="00DD10D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D809E9" w14:textId="77777777" w:rsidR="00411509" w:rsidRPr="00C5265D" w:rsidRDefault="00411509" w:rsidP="002B7A45">
            <w:pPr>
              <w:jc w:val="center"/>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PE</w:t>
            </w:r>
          </w:p>
        </w:tc>
        <w:tc>
          <w:tcPr>
            <w:tcW w:w="0" w:type="auto"/>
            <w:hideMark/>
          </w:tcPr>
          <w:p w14:paraId="3C00F541"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Medium</w:t>
            </w:r>
          </w:p>
        </w:tc>
        <w:tc>
          <w:tcPr>
            <w:tcW w:w="0" w:type="auto"/>
            <w:hideMark/>
          </w:tcPr>
          <w:p w14:paraId="0BCD8EA4"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15.18%</w:t>
            </w:r>
          </w:p>
        </w:tc>
        <w:tc>
          <w:tcPr>
            <w:tcW w:w="0" w:type="auto"/>
            <w:hideMark/>
          </w:tcPr>
          <w:p w14:paraId="67E5DCC1"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17.35%</w:t>
            </w:r>
          </w:p>
        </w:tc>
        <w:tc>
          <w:tcPr>
            <w:tcW w:w="0" w:type="auto"/>
            <w:hideMark/>
          </w:tcPr>
          <w:p w14:paraId="7852B446"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0.529</w:t>
            </w:r>
          </w:p>
        </w:tc>
        <w:tc>
          <w:tcPr>
            <w:tcW w:w="0" w:type="auto"/>
            <w:hideMark/>
          </w:tcPr>
          <w:p w14:paraId="17DACB4E"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2.37%</w:t>
            </w:r>
          </w:p>
        </w:tc>
        <w:tc>
          <w:tcPr>
            <w:tcW w:w="0" w:type="auto"/>
            <w:hideMark/>
          </w:tcPr>
          <w:p w14:paraId="3FB63C23"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0.934</w:t>
            </w:r>
          </w:p>
        </w:tc>
        <w:tc>
          <w:tcPr>
            <w:tcW w:w="0" w:type="auto"/>
            <w:hideMark/>
          </w:tcPr>
          <w:p w14:paraId="4D2DEB86"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0.3891 (</w:t>
            </w:r>
            <w:proofErr w:type="spellStart"/>
            <w:r w:rsidRPr="00C5265D">
              <w:rPr>
                <w:rFonts w:ascii="Times New Roman" w:eastAsia="Times New Roman" w:hAnsi="Times New Roman" w:cs="Times New Roman"/>
                <w:sz w:val="24"/>
                <w:szCs w:val="24"/>
                <w:lang w:eastAsia="en-IN"/>
              </w:rPr>
              <w:t>n.s</w:t>
            </w:r>
            <w:proofErr w:type="spellEnd"/>
            <w:r w:rsidRPr="00C5265D">
              <w:rPr>
                <w:rFonts w:ascii="Times New Roman" w:eastAsia="Times New Roman" w:hAnsi="Times New Roman" w:cs="Times New Roman"/>
                <w:sz w:val="24"/>
                <w:szCs w:val="24"/>
                <w:lang w:eastAsia="en-IN"/>
              </w:rPr>
              <w:t>.)</w:t>
            </w:r>
          </w:p>
        </w:tc>
      </w:tr>
      <w:tr w:rsidR="00411509" w:rsidRPr="00C5265D" w14:paraId="2F4C084F" w14:textId="77777777" w:rsidTr="00DD10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204E33" w14:textId="77777777" w:rsidR="00411509" w:rsidRPr="00C5265D" w:rsidRDefault="00411509" w:rsidP="002B7A45">
            <w:pPr>
              <w:jc w:val="center"/>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PE</w:t>
            </w:r>
          </w:p>
        </w:tc>
        <w:tc>
          <w:tcPr>
            <w:tcW w:w="0" w:type="auto"/>
            <w:hideMark/>
          </w:tcPr>
          <w:p w14:paraId="6E64C561"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High</w:t>
            </w:r>
          </w:p>
        </w:tc>
        <w:tc>
          <w:tcPr>
            <w:tcW w:w="0" w:type="auto"/>
            <w:hideMark/>
          </w:tcPr>
          <w:p w14:paraId="2AF505B0"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21.28%</w:t>
            </w:r>
          </w:p>
        </w:tc>
        <w:tc>
          <w:tcPr>
            <w:tcW w:w="0" w:type="auto"/>
            <w:hideMark/>
          </w:tcPr>
          <w:p w14:paraId="14E7F6B3"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18.03%</w:t>
            </w:r>
          </w:p>
        </w:tc>
        <w:tc>
          <w:tcPr>
            <w:tcW w:w="0" w:type="auto"/>
            <w:hideMark/>
          </w:tcPr>
          <w:p w14:paraId="21EFE8A0"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0.847</w:t>
            </w:r>
          </w:p>
        </w:tc>
        <w:tc>
          <w:tcPr>
            <w:tcW w:w="0" w:type="auto"/>
            <w:hideMark/>
          </w:tcPr>
          <w:p w14:paraId="0BBC136D"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8.45%</w:t>
            </w:r>
          </w:p>
        </w:tc>
        <w:tc>
          <w:tcPr>
            <w:tcW w:w="0" w:type="auto"/>
            <w:hideMark/>
          </w:tcPr>
          <w:p w14:paraId="4941F325"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0.937</w:t>
            </w:r>
          </w:p>
        </w:tc>
        <w:tc>
          <w:tcPr>
            <w:tcW w:w="0" w:type="auto"/>
            <w:hideMark/>
          </w:tcPr>
          <w:p w14:paraId="0219B547"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0.0083***</w:t>
            </w:r>
          </w:p>
        </w:tc>
      </w:tr>
    </w:tbl>
    <w:p w14:paraId="12E79C4A"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Table 2b: High-minus-Low Bucket Difference Tests</w:t>
      </w:r>
    </w:p>
    <w:tbl>
      <w:tblPr>
        <w:tblStyle w:val="GridTable3-Accent5"/>
        <w:tblW w:w="0" w:type="auto"/>
        <w:jc w:val="center"/>
        <w:tblLook w:val="04A0" w:firstRow="1" w:lastRow="0" w:firstColumn="1" w:lastColumn="0" w:noHBand="0" w:noVBand="1"/>
      </w:tblPr>
      <w:tblGrid>
        <w:gridCol w:w="1097"/>
        <w:gridCol w:w="3366"/>
        <w:gridCol w:w="1163"/>
        <w:gridCol w:w="1430"/>
      </w:tblGrid>
      <w:tr w:rsidR="00411509" w:rsidRPr="00C5265D" w14:paraId="4070DC5E" w14:textId="77777777" w:rsidTr="00DD10D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5A638857" w14:textId="77777777" w:rsidR="00411509" w:rsidRPr="00C5265D" w:rsidRDefault="00411509" w:rsidP="002B7A45">
            <w:pPr>
              <w:jc w:val="center"/>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Attribute</w:t>
            </w:r>
          </w:p>
        </w:tc>
        <w:tc>
          <w:tcPr>
            <w:tcW w:w="0" w:type="auto"/>
            <w:hideMark/>
          </w:tcPr>
          <w:p w14:paraId="37725A0E" w14:textId="77777777" w:rsidR="00411509" w:rsidRPr="00C5265D" w:rsidRDefault="00411509" w:rsidP="002B7A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Mean Difference (High − Low)</w:t>
            </w:r>
          </w:p>
        </w:tc>
        <w:tc>
          <w:tcPr>
            <w:tcW w:w="0" w:type="auto"/>
            <w:hideMark/>
          </w:tcPr>
          <w:p w14:paraId="38F5ACDE" w14:textId="77777777" w:rsidR="00411509" w:rsidRPr="00C5265D" w:rsidRDefault="00411509" w:rsidP="002B7A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t-statistic</w:t>
            </w:r>
          </w:p>
        </w:tc>
        <w:tc>
          <w:tcPr>
            <w:tcW w:w="0" w:type="auto"/>
            <w:hideMark/>
          </w:tcPr>
          <w:p w14:paraId="43F59C10" w14:textId="77777777" w:rsidR="00411509" w:rsidRPr="00C5265D" w:rsidRDefault="00411509" w:rsidP="002B7A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p-value</w:t>
            </w:r>
          </w:p>
        </w:tc>
      </w:tr>
      <w:tr w:rsidR="00411509" w:rsidRPr="00C5265D" w14:paraId="53F97D29" w14:textId="77777777" w:rsidTr="00DD10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C2D1B9" w14:textId="77777777" w:rsidR="00411509" w:rsidRPr="00C5265D" w:rsidRDefault="00411509" w:rsidP="002B7A45">
            <w:pPr>
              <w:jc w:val="center"/>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Cap</w:t>
            </w:r>
          </w:p>
        </w:tc>
        <w:tc>
          <w:tcPr>
            <w:tcW w:w="0" w:type="auto"/>
            <w:hideMark/>
          </w:tcPr>
          <w:p w14:paraId="00F47C4E"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−10.11%</w:t>
            </w:r>
          </w:p>
        </w:tc>
        <w:tc>
          <w:tcPr>
            <w:tcW w:w="0" w:type="auto"/>
            <w:hideMark/>
          </w:tcPr>
          <w:p w14:paraId="3E51647F"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−1.282</w:t>
            </w:r>
          </w:p>
        </w:tc>
        <w:tc>
          <w:tcPr>
            <w:tcW w:w="0" w:type="auto"/>
            <w:hideMark/>
          </w:tcPr>
          <w:p w14:paraId="538943C3"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0.2012 (</w:t>
            </w:r>
            <w:proofErr w:type="spellStart"/>
            <w:r w:rsidRPr="00C5265D">
              <w:rPr>
                <w:rFonts w:ascii="Times New Roman" w:eastAsia="Times New Roman" w:hAnsi="Times New Roman" w:cs="Times New Roman"/>
                <w:sz w:val="24"/>
                <w:szCs w:val="24"/>
                <w:lang w:eastAsia="en-IN"/>
              </w:rPr>
              <w:t>n.s</w:t>
            </w:r>
            <w:proofErr w:type="spellEnd"/>
            <w:r w:rsidRPr="00C5265D">
              <w:rPr>
                <w:rFonts w:ascii="Times New Roman" w:eastAsia="Times New Roman" w:hAnsi="Times New Roman" w:cs="Times New Roman"/>
                <w:sz w:val="24"/>
                <w:szCs w:val="24"/>
                <w:lang w:eastAsia="en-IN"/>
              </w:rPr>
              <w:t>.)</w:t>
            </w:r>
          </w:p>
        </w:tc>
      </w:tr>
      <w:tr w:rsidR="00411509" w:rsidRPr="00C5265D" w14:paraId="4EFE86D7" w14:textId="77777777" w:rsidTr="00DD10D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436843" w14:textId="77777777" w:rsidR="00411509" w:rsidRPr="00C5265D" w:rsidRDefault="00411509" w:rsidP="002B7A45">
            <w:pPr>
              <w:jc w:val="center"/>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Beta</w:t>
            </w:r>
          </w:p>
        </w:tc>
        <w:tc>
          <w:tcPr>
            <w:tcW w:w="0" w:type="auto"/>
            <w:hideMark/>
          </w:tcPr>
          <w:p w14:paraId="26038811"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+6.48%</w:t>
            </w:r>
          </w:p>
        </w:tc>
        <w:tc>
          <w:tcPr>
            <w:tcW w:w="0" w:type="auto"/>
            <w:hideMark/>
          </w:tcPr>
          <w:p w14:paraId="7087B0B7"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0.758</w:t>
            </w:r>
          </w:p>
        </w:tc>
        <w:tc>
          <w:tcPr>
            <w:tcW w:w="0" w:type="auto"/>
            <w:hideMark/>
          </w:tcPr>
          <w:p w14:paraId="209353B2"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0.4490 (</w:t>
            </w:r>
            <w:proofErr w:type="spellStart"/>
            <w:r w:rsidRPr="00C5265D">
              <w:rPr>
                <w:rFonts w:ascii="Times New Roman" w:eastAsia="Times New Roman" w:hAnsi="Times New Roman" w:cs="Times New Roman"/>
                <w:sz w:val="24"/>
                <w:szCs w:val="24"/>
                <w:lang w:eastAsia="en-IN"/>
              </w:rPr>
              <w:t>n.s</w:t>
            </w:r>
            <w:proofErr w:type="spellEnd"/>
            <w:r w:rsidRPr="00C5265D">
              <w:rPr>
                <w:rFonts w:ascii="Times New Roman" w:eastAsia="Times New Roman" w:hAnsi="Times New Roman" w:cs="Times New Roman"/>
                <w:sz w:val="24"/>
                <w:szCs w:val="24"/>
                <w:lang w:eastAsia="en-IN"/>
              </w:rPr>
              <w:t>.)</w:t>
            </w:r>
          </w:p>
        </w:tc>
      </w:tr>
      <w:tr w:rsidR="00411509" w:rsidRPr="00C5265D" w14:paraId="471C75B5" w14:textId="77777777" w:rsidTr="00DD10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87C245" w14:textId="77777777" w:rsidR="00411509" w:rsidRPr="00C5265D" w:rsidRDefault="00411509" w:rsidP="002B7A45">
            <w:pPr>
              <w:jc w:val="center"/>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PE</w:t>
            </w:r>
          </w:p>
        </w:tc>
        <w:tc>
          <w:tcPr>
            <w:tcW w:w="0" w:type="auto"/>
            <w:hideMark/>
          </w:tcPr>
          <w:p w14:paraId="14349494"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−3.92%</w:t>
            </w:r>
          </w:p>
        </w:tc>
        <w:tc>
          <w:tcPr>
            <w:tcW w:w="0" w:type="auto"/>
            <w:hideMark/>
          </w:tcPr>
          <w:p w14:paraId="4034BE7E"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−0.495</w:t>
            </w:r>
          </w:p>
        </w:tc>
        <w:tc>
          <w:tcPr>
            <w:tcW w:w="0" w:type="auto"/>
            <w:hideMark/>
          </w:tcPr>
          <w:p w14:paraId="427CC19D"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0.6208 (</w:t>
            </w:r>
            <w:proofErr w:type="spellStart"/>
            <w:r w:rsidRPr="00C5265D">
              <w:rPr>
                <w:rFonts w:ascii="Times New Roman" w:eastAsia="Times New Roman" w:hAnsi="Times New Roman" w:cs="Times New Roman"/>
                <w:sz w:val="24"/>
                <w:szCs w:val="24"/>
                <w:lang w:eastAsia="en-IN"/>
              </w:rPr>
              <w:t>n.s</w:t>
            </w:r>
            <w:proofErr w:type="spellEnd"/>
            <w:r w:rsidRPr="00C5265D">
              <w:rPr>
                <w:rFonts w:ascii="Times New Roman" w:eastAsia="Times New Roman" w:hAnsi="Times New Roman" w:cs="Times New Roman"/>
                <w:sz w:val="24"/>
                <w:szCs w:val="24"/>
                <w:lang w:eastAsia="en-IN"/>
              </w:rPr>
              <w:t>.)</w:t>
            </w:r>
          </w:p>
        </w:tc>
      </w:tr>
    </w:tbl>
    <w:p w14:paraId="29DC7A25"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 xml:space="preserve">Table 3: </w:t>
      </w:r>
      <w:proofErr w:type="spellStart"/>
      <w:r w:rsidRPr="00C5265D">
        <w:rPr>
          <w:rFonts w:ascii="Times New Roman" w:eastAsia="Times New Roman" w:hAnsi="Times New Roman" w:cs="Times New Roman"/>
          <w:b/>
          <w:bCs/>
          <w:sz w:val="24"/>
          <w:szCs w:val="24"/>
          <w:lang w:eastAsia="en-IN"/>
        </w:rPr>
        <w:t>Fama-MacBeth</w:t>
      </w:r>
      <w:proofErr w:type="spellEnd"/>
      <w:r w:rsidRPr="00C5265D">
        <w:rPr>
          <w:rFonts w:ascii="Times New Roman" w:eastAsia="Times New Roman" w:hAnsi="Times New Roman" w:cs="Times New Roman"/>
          <w:b/>
          <w:bCs/>
          <w:sz w:val="24"/>
          <w:szCs w:val="24"/>
          <w:lang w:eastAsia="en-IN"/>
        </w:rPr>
        <w:t xml:space="preserve"> Cross-Sectional Regression Results</w:t>
      </w:r>
    </w:p>
    <w:tbl>
      <w:tblPr>
        <w:tblStyle w:val="GridTable3-Accent4"/>
        <w:tblW w:w="0" w:type="auto"/>
        <w:tblLook w:val="04A0" w:firstRow="1" w:lastRow="0" w:firstColumn="1" w:lastColumn="0" w:noHBand="0" w:noVBand="1"/>
      </w:tblPr>
      <w:tblGrid>
        <w:gridCol w:w="1743"/>
        <w:gridCol w:w="2458"/>
        <w:gridCol w:w="1255"/>
        <w:gridCol w:w="1147"/>
        <w:gridCol w:w="967"/>
        <w:gridCol w:w="1456"/>
      </w:tblGrid>
      <w:tr w:rsidR="00411509" w:rsidRPr="00C5265D" w14:paraId="22C3803B" w14:textId="77777777" w:rsidTr="00DD10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46ABAC" w14:textId="77777777" w:rsidR="00411509" w:rsidRPr="00C5265D" w:rsidRDefault="00411509" w:rsidP="002B7A45">
            <w:pPr>
              <w:jc w:val="center"/>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Variable</w:t>
            </w:r>
          </w:p>
        </w:tc>
        <w:tc>
          <w:tcPr>
            <w:tcW w:w="0" w:type="auto"/>
            <w:hideMark/>
          </w:tcPr>
          <w:p w14:paraId="54348ADF" w14:textId="77777777" w:rsidR="00411509" w:rsidRPr="00C5265D" w:rsidRDefault="00411509" w:rsidP="002B7A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Average Coefficient (γ)</w:t>
            </w:r>
          </w:p>
        </w:tc>
        <w:tc>
          <w:tcPr>
            <w:tcW w:w="0" w:type="auto"/>
            <w:hideMark/>
          </w:tcPr>
          <w:p w14:paraId="7EC07F59" w14:textId="77777777" w:rsidR="00411509" w:rsidRPr="00C5265D" w:rsidRDefault="00411509" w:rsidP="002B7A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Std. Error</w:t>
            </w:r>
          </w:p>
        </w:tc>
        <w:tc>
          <w:tcPr>
            <w:tcW w:w="0" w:type="auto"/>
            <w:hideMark/>
          </w:tcPr>
          <w:p w14:paraId="39E28094" w14:textId="77777777" w:rsidR="00411509" w:rsidRPr="00C5265D" w:rsidRDefault="00411509" w:rsidP="002B7A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t-statistic</w:t>
            </w:r>
          </w:p>
        </w:tc>
        <w:tc>
          <w:tcPr>
            <w:tcW w:w="0" w:type="auto"/>
            <w:hideMark/>
          </w:tcPr>
          <w:p w14:paraId="416B825C" w14:textId="77777777" w:rsidR="00411509" w:rsidRPr="00C5265D" w:rsidRDefault="00411509" w:rsidP="002B7A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p-value</w:t>
            </w:r>
          </w:p>
        </w:tc>
        <w:tc>
          <w:tcPr>
            <w:tcW w:w="0" w:type="auto"/>
            <w:hideMark/>
          </w:tcPr>
          <w:p w14:paraId="5474E008" w14:textId="77777777" w:rsidR="00411509" w:rsidRPr="00C5265D" w:rsidRDefault="00411509" w:rsidP="002B7A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Significance</w:t>
            </w:r>
          </w:p>
        </w:tc>
      </w:tr>
      <w:tr w:rsidR="00411509" w:rsidRPr="00C5265D" w14:paraId="34F2AA15" w14:textId="77777777" w:rsidTr="00DD1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B0B6F" w14:textId="77777777" w:rsidR="00411509" w:rsidRPr="00C5265D" w:rsidRDefault="00411509" w:rsidP="002B7A45">
            <w:pPr>
              <w:jc w:val="center"/>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Intercept</w:t>
            </w:r>
          </w:p>
        </w:tc>
        <w:tc>
          <w:tcPr>
            <w:tcW w:w="0" w:type="auto"/>
            <w:hideMark/>
          </w:tcPr>
          <w:p w14:paraId="45927D69"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0.05239</w:t>
            </w:r>
          </w:p>
        </w:tc>
        <w:tc>
          <w:tcPr>
            <w:tcW w:w="0" w:type="auto"/>
            <w:hideMark/>
          </w:tcPr>
          <w:p w14:paraId="1FE2080D"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0.01887</w:t>
            </w:r>
          </w:p>
        </w:tc>
        <w:tc>
          <w:tcPr>
            <w:tcW w:w="0" w:type="auto"/>
            <w:hideMark/>
          </w:tcPr>
          <w:p w14:paraId="3D5BAB92"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2.776</w:t>
            </w:r>
          </w:p>
        </w:tc>
        <w:tc>
          <w:tcPr>
            <w:tcW w:w="0" w:type="auto"/>
            <w:hideMark/>
          </w:tcPr>
          <w:p w14:paraId="00D1D982"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0.0064</w:t>
            </w:r>
          </w:p>
        </w:tc>
        <w:tc>
          <w:tcPr>
            <w:tcW w:w="0" w:type="auto"/>
            <w:hideMark/>
          </w:tcPr>
          <w:p w14:paraId="0D91FF0F"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w:t>
            </w:r>
          </w:p>
        </w:tc>
      </w:tr>
      <w:tr w:rsidR="00411509" w:rsidRPr="00C5265D" w14:paraId="22B41D44" w14:textId="77777777" w:rsidTr="00DD10DA">
        <w:tc>
          <w:tcPr>
            <w:cnfStyle w:val="001000000000" w:firstRow="0" w:lastRow="0" w:firstColumn="1" w:lastColumn="0" w:oddVBand="0" w:evenVBand="0" w:oddHBand="0" w:evenHBand="0" w:firstRowFirstColumn="0" w:firstRowLastColumn="0" w:lastRowFirstColumn="0" w:lastRowLastColumn="0"/>
            <w:tcW w:w="0" w:type="auto"/>
            <w:hideMark/>
          </w:tcPr>
          <w:p w14:paraId="5C73BF7B" w14:textId="77777777" w:rsidR="00411509" w:rsidRPr="00C5265D" w:rsidRDefault="00411509" w:rsidP="002B7A45">
            <w:pPr>
              <w:jc w:val="center"/>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Log Market Cap</w:t>
            </w:r>
          </w:p>
        </w:tc>
        <w:tc>
          <w:tcPr>
            <w:tcW w:w="0" w:type="auto"/>
            <w:hideMark/>
          </w:tcPr>
          <w:p w14:paraId="5F85BDB1"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−0.00365</w:t>
            </w:r>
          </w:p>
        </w:tc>
        <w:tc>
          <w:tcPr>
            <w:tcW w:w="0" w:type="auto"/>
            <w:hideMark/>
          </w:tcPr>
          <w:p w14:paraId="28CB15F4"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0.00155</w:t>
            </w:r>
          </w:p>
        </w:tc>
        <w:tc>
          <w:tcPr>
            <w:tcW w:w="0" w:type="auto"/>
            <w:hideMark/>
          </w:tcPr>
          <w:p w14:paraId="121605A3"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−2.355</w:t>
            </w:r>
          </w:p>
        </w:tc>
        <w:tc>
          <w:tcPr>
            <w:tcW w:w="0" w:type="auto"/>
            <w:hideMark/>
          </w:tcPr>
          <w:p w14:paraId="71E30971"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0.0202</w:t>
            </w:r>
          </w:p>
        </w:tc>
        <w:tc>
          <w:tcPr>
            <w:tcW w:w="0" w:type="auto"/>
            <w:hideMark/>
          </w:tcPr>
          <w:p w14:paraId="2DEE1BFA"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w:t>
            </w:r>
          </w:p>
        </w:tc>
      </w:tr>
      <w:tr w:rsidR="00411509" w:rsidRPr="00C5265D" w14:paraId="52A72719" w14:textId="77777777" w:rsidTr="00DD1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36C34" w14:textId="77777777" w:rsidR="00411509" w:rsidRPr="00C5265D" w:rsidRDefault="00411509" w:rsidP="002B7A45">
            <w:pPr>
              <w:jc w:val="center"/>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Computed Beta</w:t>
            </w:r>
          </w:p>
        </w:tc>
        <w:tc>
          <w:tcPr>
            <w:tcW w:w="0" w:type="auto"/>
            <w:hideMark/>
          </w:tcPr>
          <w:p w14:paraId="33EAF111"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0.00648</w:t>
            </w:r>
          </w:p>
        </w:tc>
        <w:tc>
          <w:tcPr>
            <w:tcW w:w="0" w:type="auto"/>
            <w:hideMark/>
          </w:tcPr>
          <w:p w14:paraId="572EDB7C"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0.00431</w:t>
            </w:r>
          </w:p>
        </w:tc>
        <w:tc>
          <w:tcPr>
            <w:tcW w:w="0" w:type="auto"/>
            <w:hideMark/>
          </w:tcPr>
          <w:p w14:paraId="3BA71ABC"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1.503</w:t>
            </w:r>
          </w:p>
        </w:tc>
        <w:tc>
          <w:tcPr>
            <w:tcW w:w="0" w:type="auto"/>
            <w:hideMark/>
          </w:tcPr>
          <w:p w14:paraId="14B96D59"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0.1355</w:t>
            </w:r>
          </w:p>
        </w:tc>
        <w:tc>
          <w:tcPr>
            <w:tcW w:w="0" w:type="auto"/>
            <w:hideMark/>
          </w:tcPr>
          <w:p w14:paraId="28A4BB03"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Not Sig.</w:t>
            </w:r>
          </w:p>
        </w:tc>
      </w:tr>
      <w:tr w:rsidR="00411509" w:rsidRPr="00C5265D" w14:paraId="55C4788C" w14:textId="77777777" w:rsidTr="00DD10DA">
        <w:tc>
          <w:tcPr>
            <w:cnfStyle w:val="001000000000" w:firstRow="0" w:lastRow="0" w:firstColumn="1" w:lastColumn="0" w:oddVBand="0" w:evenVBand="0" w:oddHBand="0" w:evenHBand="0" w:firstRowFirstColumn="0" w:firstRowLastColumn="0" w:lastRowFirstColumn="0" w:lastRowLastColumn="0"/>
            <w:tcW w:w="0" w:type="auto"/>
            <w:hideMark/>
          </w:tcPr>
          <w:p w14:paraId="7193CF15" w14:textId="77777777" w:rsidR="00411509" w:rsidRPr="00C5265D" w:rsidRDefault="00411509" w:rsidP="002B7A45">
            <w:pPr>
              <w:jc w:val="center"/>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Earnings Yield</w:t>
            </w:r>
          </w:p>
        </w:tc>
        <w:tc>
          <w:tcPr>
            <w:tcW w:w="0" w:type="auto"/>
            <w:hideMark/>
          </w:tcPr>
          <w:p w14:paraId="4E7C5323"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−0.06129</w:t>
            </w:r>
          </w:p>
        </w:tc>
        <w:tc>
          <w:tcPr>
            <w:tcW w:w="0" w:type="auto"/>
            <w:hideMark/>
          </w:tcPr>
          <w:p w14:paraId="128E3EF5"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0.04425</w:t>
            </w:r>
          </w:p>
        </w:tc>
        <w:tc>
          <w:tcPr>
            <w:tcW w:w="0" w:type="auto"/>
            <w:hideMark/>
          </w:tcPr>
          <w:p w14:paraId="7611FD4A"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−1.385</w:t>
            </w:r>
          </w:p>
        </w:tc>
        <w:tc>
          <w:tcPr>
            <w:tcW w:w="0" w:type="auto"/>
            <w:hideMark/>
          </w:tcPr>
          <w:p w14:paraId="2B2EFA3E"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0.1687</w:t>
            </w:r>
          </w:p>
        </w:tc>
        <w:tc>
          <w:tcPr>
            <w:tcW w:w="0" w:type="auto"/>
            <w:hideMark/>
          </w:tcPr>
          <w:p w14:paraId="4442E7D4"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Not Sig.</w:t>
            </w:r>
          </w:p>
        </w:tc>
      </w:tr>
    </w:tbl>
    <w:p w14:paraId="6D51661A" w14:textId="77777777" w:rsidR="00411509" w:rsidRPr="00C5265D" w:rsidRDefault="00411509" w:rsidP="00C5265D">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5265D">
        <w:rPr>
          <w:rFonts w:ascii="Times New Roman" w:eastAsia="Times New Roman" w:hAnsi="Times New Roman" w:cs="Times New Roman"/>
          <w:b/>
          <w:bCs/>
          <w:sz w:val="24"/>
          <w:szCs w:val="24"/>
          <w:lang w:eastAsia="en-IN"/>
        </w:rPr>
        <w:t>4.4 Interpretation of Results</w:t>
      </w:r>
    </w:p>
    <w:p w14:paraId="66C6EC14"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Size effect:</w:t>
      </w:r>
      <w:r w:rsidRPr="00C5265D">
        <w:rPr>
          <w:rFonts w:ascii="Times New Roman" w:eastAsia="Times New Roman" w:hAnsi="Times New Roman" w:cs="Times New Roman"/>
          <w:sz w:val="24"/>
          <w:szCs w:val="24"/>
          <w:lang w:eastAsia="en-IN"/>
        </w:rPr>
        <w:t xml:space="preserve"> The Low market-cap portfolio delivered the highest Sharpe ratio (0.979) and largest annualized Jensen's alpha (12.25%, highly significant at p = 0.0007), monotonically declining across Medium (0.785) and High (0.705) buckets — consistent with a classic size premium. However, the direct t-test on the High-minus-Low return differential was </w:t>
      </w:r>
      <w:r w:rsidRPr="00C5265D">
        <w:rPr>
          <w:rFonts w:ascii="Times New Roman" w:eastAsia="Times New Roman" w:hAnsi="Times New Roman" w:cs="Times New Roman"/>
          <w:b/>
          <w:bCs/>
          <w:sz w:val="24"/>
          <w:szCs w:val="24"/>
          <w:lang w:eastAsia="en-IN"/>
        </w:rPr>
        <w:t>not statistically significant</w:t>
      </w:r>
      <w:r w:rsidRPr="00C5265D">
        <w:rPr>
          <w:rFonts w:ascii="Times New Roman" w:eastAsia="Times New Roman" w:hAnsi="Times New Roman" w:cs="Times New Roman"/>
          <w:sz w:val="24"/>
          <w:szCs w:val="24"/>
          <w:lang w:eastAsia="en-IN"/>
        </w:rPr>
        <w:t xml:space="preserve"> (p = 0.2012), indicating that while the </w:t>
      </w:r>
      <w:r w:rsidRPr="00C5265D">
        <w:rPr>
          <w:rFonts w:ascii="Times New Roman" w:eastAsia="Times New Roman" w:hAnsi="Times New Roman" w:cs="Times New Roman"/>
          <w:i/>
          <w:iCs/>
          <w:sz w:val="24"/>
          <w:szCs w:val="24"/>
          <w:lang w:eastAsia="en-IN"/>
        </w:rPr>
        <w:t>point estimate</w:t>
      </w:r>
      <w:r w:rsidRPr="00C5265D">
        <w:rPr>
          <w:rFonts w:ascii="Times New Roman" w:eastAsia="Times New Roman" w:hAnsi="Times New Roman" w:cs="Times New Roman"/>
          <w:sz w:val="24"/>
          <w:szCs w:val="24"/>
          <w:lang w:eastAsia="en-IN"/>
        </w:rPr>
        <w:t xml:space="preserve"> of the size effect </w:t>
      </w:r>
      <w:r w:rsidRPr="00C5265D">
        <w:rPr>
          <w:rFonts w:ascii="Times New Roman" w:eastAsia="Times New Roman" w:hAnsi="Times New Roman" w:cs="Times New Roman"/>
          <w:sz w:val="24"/>
          <w:szCs w:val="24"/>
          <w:lang w:eastAsia="en-IN"/>
        </w:rPr>
        <w:lastRenderedPageBreak/>
        <w:t xml:space="preserve">is economically large and consistent, the sample (120 months, 39 stocks split three ways) lacks the statistical power to confirm the difference is non-zero at conventional confidence levels. The </w:t>
      </w:r>
      <w:proofErr w:type="spellStart"/>
      <w:r w:rsidRPr="00C5265D">
        <w:rPr>
          <w:rFonts w:ascii="Times New Roman" w:eastAsia="Times New Roman" w:hAnsi="Times New Roman" w:cs="Times New Roman"/>
          <w:sz w:val="24"/>
          <w:szCs w:val="24"/>
          <w:lang w:eastAsia="en-IN"/>
        </w:rPr>
        <w:t>Fama-MacBeth</w:t>
      </w:r>
      <w:proofErr w:type="spellEnd"/>
      <w:r w:rsidRPr="00C5265D">
        <w:rPr>
          <w:rFonts w:ascii="Times New Roman" w:eastAsia="Times New Roman" w:hAnsi="Times New Roman" w:cs="Times New Roman"/>
          <w:sz w:val="24"/>
          <w:szCs w:val="24"/>
          <w:lang w:eastAsia="en-IN"/>
        </w:rPr>
        <w:t xml:space="preserve"> cross-sectional test, which pools information across all months and stocks rather than comparing only two extreme portfolios, does find a significant negative size coefficient (p = 0.0202) — this is a more efficient test and provides the stronger evidence for the size effect in this sample.</w:t>
      </w:r>
    </w:p>
    <w:p w14:paraId="785BA62F"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Beta and CAPM:</w:t>
      </w:r>
      <w:r w:rsidRPr="00C5265D">
        <w:rPr>
          <w:rFonts w:ascii="Times New Roman" w:eastAsia="Times New Roman" w:hAnsi="Times New Roman" w:cs="Times New Roman"/>
          <w:sz w:val="24"/>
          <w:szCs w:val="24"/>
          <w:lang w:eastAsia="en-IN"/>
        </w:rPr>
        <w:t xml:space="preserve"> Contrary to a strict CAPM prediction, portfolio Sharpe ratios do not increase monotonically with beta — the Medium-beta bucket (0.970) outperformed both Low-beta (0.771) and High-beta (0.790) on a risk-adjusted basis, despite High-beta carrying substantially more volatility (22.63% vs. 14.78%) for comparable Sharpe performance. This pattern is consistent with the low-volatility anomaly documented in the literature (</w:t>
      </w:r>
      <w:proofErr w:type="spellStart"/>
      <w:r w:rsidRPr="00C5265D">
        <w:rPr>
          <w:rFonts w:ascii="Times New Roman" w:eastAsia="Times New Roman" w:hAnsi="Times New Roman" w:cs="Times New Roman"/>
          <w:sz w:val="24"/>
          <w:szCs w:val="24"/>
          <w:lang w:eastAsia="en-IN"/>
        </w:rPr>
        <w:t>Frazzini</w:t>
      </w:r>
      <w:proofErr w:type="spellEnd"/>
      <w:r w:rsidRPr="00C5265D">
        <w:rPr>
          <w:rFonts w:ascii="Times New Roman" w:eastAsia="Times New Roman" w:hAnsi="Times New Roman" w:cs="Times New Roman"/>
          <w:sz w:val="24"/>
          <w:szCs w:val="24"/>
          <w:lang w:eastAsia="en-IN"/>
        </w:rPr>
        <w:t xml:space="preserve"> &amp; Pedersen, 2014), where investors do not appear to be proportionally compensated for bearing additional systematic risk. Both the High-Low t-test (p = 0.449) and the </w:t>
      </w:r>
      <w:proofErr w:type="spellStart"/>
      <w:r w:rsidRPr="00C5265D">
        <w:rPr>
          <w:rFonts w:ascii="Times New Roman" w:eastAsia="Times New Roman" w:hAnsi="Times New Roman" w:cs="Times New Roman"/>
          <w:sz w:val="24"/>
          <w:szCs w:val="24"/>
          <w:lang w:eastAsia="en-IN"/>
        </w:rPr>
        <w:t>Fama-MacBeth</w:t>
      </w:r>
      <w:proofErr w:type="spellEnd"/>
      <w:r w:rsidRPr="00C5265D">
        <w:rPr>
          <w:rFonts w:ascii="Times New Roman" w:eastAsia="Times New Roman" w:hAnsi="Times New Roman" w:cs="Times New Roman"/>
          <w:sz w:val="24"/>
          <w:szCs w:val="24"/>
          <w:lang w:eastAsia="en-IN"/>
        </w:rPr>
        <w:t xml:space="preserve"> beta coefficient (p = 0.1355) are statistically insignificant, so this finding should be read as suggestive rather than conclusive — beta does not reliably explain cross-sectional return variation in this sample.</w:t>
      </w:r>
    </w:p>
    <w:p w14:paraId="6F0360FE"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Value effect:</w:t>
      </w:r>
      <w:r w:rsidRPr="00C5265D">
        <w:rPr>
          <w:rFonts w:ascii="Times New Roman" w:eastAsia="Times New Roman" w:hAnsi="Times New Roman" w:cs="Times New Roman"/>
          <w:sz w:val="24"/>
          <w:szCs w:val="24"/>
          <w:lang w:eastAsia="en-IN"/>
        </w:rPr>
        <w:t xml:space="preserve"> Results here are the most striking departure from theory. The Low P/E (highest earnings yield / most "value") portfolio achieved the highest Sharpe ratio of the entire study (1.108) and strongest alpha (12.65%, p = 0.0001), but the relationship is non-monotonic — the Medium P/E bucket performed worst (Sharpe 0.529, statistically insignificant alpha) while High P/E ("growth") recovered to 0.847. The High-minus-Low t-test is insignificant (p = 0.6208), and the </w:t>
      </w:r>
      <w:proofErr w:type="spellStart"/>
      <w:r w:rsidRPr="00C5265D">
        <w:rPr>
          <w:rFonts w:ascii="Times New Roman" w:eastAsia="Times New Roman" w:hAnsi="Times New Roman" w:cs="Times New Roman"/>
          <w:sz w:val="24"/>
          <w:szCs w:val="24"/>
          <w:lang w:eastAsia="en-IN"/>
        </w:rPr>
        <w:t>Fama-MacBeth</w:t>
      </w:r>
      <w:proofErr w:type="spellEnd"/>
      <w:r w:rsidRPr="00C5265D">
        <w:rPr>
          <w:rFonts w:ascii="Times New Roman" w:eastAsia="Times New Roman" w:hAnsi="Times New Roman" w:cs="Times New Roman"/>
          <w:sz w:val="24"/>
          <w:szCs w:val="24"/>
          <w:lang w:eastAsia="en-IN"/>
        </w:rPr>
        <w:t xml:space="preserve"> earnings yield coefficient, while directionally consistent with the extreme-</w:t>
      </w:r>
      <w:proofErr w:type="spellStart"/>
      <w:r w:rsidRPr="00C5265D">
        <w:rPr>
          <w:rFonts w:ascii="Times New Roman" w:eastAsia="Times New Roman" w:hAnsi="Times New Roman" w:cs="Times New Roman"/>
          <w:sz w:val="24"/>
          <w:szCs w:val="24"/>
          <w:lang w:eastAsia="en-IN"/>
        </w:rPr>
        <w:t>tercile</w:t>
      </w:r>
      <w:proofErr w:type="spellEnd"/>
      <w:r w:rsidRPr="00C5265D">
        <w:rPr>
          <w:rFonts w:ascii="Times New Roman" w:eastAsia="Times New Roman" w:hAnsi="Times New Roman" w:cs="Times New Roman"/>
          <w:sz w:val="24"/>
          <w:szCs w:val="24"/>
          <w:lang w:eastAsia="en-IN"/>
        </w:rPr>
        <w:t xml:space="preserve"> finding, is also insignificant (p = 0.1687) and carries an unexpected sign relative to Table 2's extreme-bucket comparison [worth reconciling in Discussion — the </w:t>
      </w:r>
      <w:proofErr w:type="spellStart"/>
      <w:r w:rsidRPr="00C5265D">
        <w:rPr>
          <w:rFonts w:ascii="Times New Roman" w:eastAsia="Times New Roman" w:hAnsi="Times New Roman" w:cs="Times New Roman"/>
          <w:sz w:val="24"/>
          <w:szCs w:val="24"/>
          <w:lang w:eastAsia="en-IN"/>
        </w:rPr>
        <w:t>Fama-MacBeth</w:t>
      </w:r>
      <w:proofErr w:type="spellEnd"/>
      <w:r w:rsidRPr="00C5265D">
        <w:rPr>
          <w:rFonts w:ascii="Times New Roman" w:eastAsia="Times New Roman" w:hAnsi="Times New Roman" w:cs="Times New Roman"/>
          <w:sz w:val="24"/>
          <w:szCs w:val="24"/>
          <w:lang w:eastAsia="en-IN"/>
        </w:rPr>
        <w:t xml:space="preserve"> coefficient uses earnings yield as a continuous variable across </w:t>
      </w:r>
      <w:r w:rsidRPr="00C5265D">
        <w:rPr>
          <w:rFonts w:ascii="Times New Roman" w:eastAsia="Times New Roman" w:hAnsi="Times New Roman" w:cs="Times New Roman"/>
          <w:i/>
          <w:iCs/>
          <w:sz w:val="24"/>
          <w:szCs w:val="24"/>
          <w:lang w:eastAsia="en-IN"/>
        </w:rPr>
        <w:t>all</w:t>
      </w:r>
      <w:r w:rsidRPr="00C5265D">
        <w:rPr>
          <w:rFonts w:ascii="Times New Roman" w:eastAsia="Times New Roman" w:hAnsi="Times New Roman" w:cs="Times New Roman"/>
          <w:sz w:val="24"/>
          <w:szCs w:val="24"/>
          <w:lang w:eastAsia="en-IN"/>
        </w:rPr>
        <w:t xml:space="preserve"> stocks each month, not just the extreme </w:t>
      </w:r>
      <w:proofErr w:type="spellStart"/>
      <w:r w:rsidRPr="00C5265D">
        <w:rPr>
          <w:rFonts w:ascii="Times New Roman" w:eastAsia="Times New Roman" w:hAnsi="Times New Roman" w:cs="Times New Roman"/>
          <w:sz w:val="24"/>
          <w:szCs w:val="24"/>
          <w:lang w:eastAsia="en-IN"/>
        </w:rPr>
        <w:t>terciles</w:t>
      </w:r>
      <w:proofErr w:type="spellEnd"/>
      <w:r w:rsidRPr="00C5265D">
        <w:rPr>
          <w:rFonts w:ascii="Times New Roman" w:eastAsia="Times New Roman" w:hAnsi="Times New Roman" w:cs="Times New Roman"/>
          <w:sz w:val="24"/>
          <w:szCs w:val="24"/>
          <w:lang w:eastAsia="en-IN"/>
        </w:rPr>
        <w:t xml:space="preserve">, so it can diverge from a simple High-Low </w:t>
      </w:r>
      <w:proofErr w:type="spellStart"/>
      <w:r w:rsidRPr="00C5265D">
        <w:rPr>
          <w:rFonts w:ascii="Times New Roman" w:eastAsia="Times New Roman" w:hAnsi="Times New Roman" w:cs="Times New Roman"/>
          <w:sz w:val="24"/>
          <w:szCs w:val="24"/>
          <w:lang w:eastAsia="en-IN"/>
        </w:rPr>
        <w:t>tercile</w:t>
      </w:r>
      <w:proofErr w:type="spellEnd"/>
      <w:r w:rsidRPr="00C5265D">
        <w:rPr>
          <w:rFonts w:ascii="Times New Roman" w:eastAsia="Times New Roman" w:hAnsi="Times New Roman" w:cs="Times New Roman"/>
          <w:sz w:val="24"/>
          <w:szCs w:val="24"/>
          <w:lang w:eastAsia="en-IN"/>
        </w:rPr>
        <w:t xml:space="preserve"> comparison]. Overall, no reliable value premium is evident in this sample.</w:t>
      </w:r>
    </w:p>
    <w:p w14:paraId="6FACDD4B" w14:textId="77777777" w:rsidR="00411509" w:rsidRPr="00C5265D" w:rsidRDefault="00411509" w:rsidP="00C5265D">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5265D">
        <w:rPr>
          <w:rFonts w:ascii="Times New Roman" w:eastAsia="Times New Roman" w:hAnsi="Times New Roman" w:cs="Times New Roman"/>
          <w:b/>
          <w:bCs/>
          <w:sz w:val="24"/>
          <w:szCs w:val="24"/>
          <w:lang w:eastAsia="en-IN"/>
        </w:rPr>
        <w:t>4.5 Summary: Hypothesis Validation</w:t>
      </w:r>
    </w:p>
    <w:tbl>
      <w:tblPr>
        <w:tblStyle w:val="GridTable2-Accent2"/>
        <w:tblW w:w="0" w:type="auto"/>
        <w:tblLook w:val="04A0" w:firstRow="1" w:lastRow="0" w:firstColumn="1" w:lastColumn="0" w:noHBand="0" w:noVBand="1"/>
      </w:tblPr>
      <w:tblGrid>
        <w:gridCol w:w="1483"/>
        <w:gridCol w:w="1983"/>
        <w:gridCol w:w="1363"/>
        <w:gridCol w:w="1495"/>
        <w:gridCol w:w="2702"/>
      </w:tblGrid>
      <w:tr w:rsidR="00411509" w:rsidRPr="00C5265D" w14:paraId="78C296E4" w14:textId="77777777" w:rsidTr="00DD10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26B2C" w14:textId="77777777" w:rsidR="00411509" w:rsidRPr="00C5265D" w:rsidRDefault="00411509" w:rsidP="002B7A45">
            <w:pPr>
              <w:jc w:val="center"/>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Hypothesis</w:t>
            </w:r>
          </w:p>
        </w:tc>
        <w:tc>
          <w:tcPr>
            <w:tcW w:w="0" w:type="auto"/>
            <w:hideMark/>
          </w:tcPr>
          <w:p w14:paraId="38C66A99" w14:textId="77777777" w:rsidR="00411509" w:rsidRPr="00C5265D" w:rsidRDefault="00411509" w:rsidP="002B7A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Sharpe/Alpha Pattern</w:t>
            </w:r>
          </w:p>
        </w:tc>
        <w:tc>
          <w:tcPr>
            <w:tcW w:w="0" w:type="auto"/>
            <w:hideMark/>
          </w:tcPr>
          <w:p w14:paraId="2EF453D6" w14:textId="77777777" w:rsidR="00411509" w:rsidRPr="00C5265D" w:rsidRDefault="00411509" w:rsidP="002B7A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Bucket t-test</w:t>
            </w:r>
          </w:p>
        </w:tc>
        <w:tc>
          <w:tcPr>
            <w:tcW w:w="0" w:type="auto"/>
            <w:hideMark/>
          </w:tcPr>
          <w:p w14:paraId="6E4113ED" w14:textId="77777777" w:rsidR="00411509" w:rsidRPr="00C5265D" w:rsidRDefault="00411509" w:rsidP="002B7A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proofErr w:type="spellStart"/>
            <w:r w:rsidRPr="00C5265D">
              <w:rPr>
                <w:rFonts w:ascii="Times New Roman" w:eastAsia="Times New Roman" w:hAnsi="Times New Roman" w:cs="Times New Roman"/>
                <w:sz w:val="24"/>
                <w:szCs w:val="24"/>
                <w:lang w:eastAsia="en-IN"/>
              </w:rPr>
              <w:t>Fama-MacBeth</w:t>
            </w:r>
            <w:proofErr w:type="spellEnd"/>
          </w:p>
        </w:tc>
        <w:tc>
          <w:tcPr>
            <w:tcW w:w="0" w:type="auto"/>
            <w:hideMark/>
          </w:tcPr>
          <w:p w14:paraId="51A66D79" w14:textId="77777777" w:rsidR="00411509" w:rsidRPr="00C5265D" w:rsidRDefault="00411509" w:rsidP="002B7A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C5265D">
              <w:rPr>
                <w:rFonts w:ascii="Times New Roman" w:eastAsia="Times New Roman" w:hAnsi="Times New Roman" w:cs="Times New Roman"/>
                <w:sz w:val="24"/>
                <w:szCs w:val="24"/>
                <w:lang w:eastAsia="en-IN"/>
              </w:rPr>
              <w:t>Overall Verdict</w:t>
            </w:r>
          </w:p>
        </w:tc>
      </w:tr>
      <w:tr w:rsidR="00411509" w:rsidRPr="00C5265D" w14:paraId="713C033A" w14:textId="77777777" w:rsidTr="00DD1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3A429" w14:textId="77777777" w:rsidR="00411509" w:rsidRPr="00C5265D" w:rsidRDefault="00411509" w:rsidP="002B7A45">
            <w:pPr>
              <w:jc w:val="center"/>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H1: Size Effect</w:t>
            </w:r>
          </w:p>
        </w:tc>
        <w:tc>
          <w:tcPr>
            <w:tcW w:w="0" w:type="auto"/>
            <w:hideMark/>
          </w:tcPr>
          <w:p w14:paraId="5E5D9222"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 xml:space="preserve">Monotonic, Small &gt; Large </w:t>
            </w:r>
            <w:r w:rsidRPr="00C5265D">
              <w:rPr>
                <w:rFonts w:ascii="Segoe UI Symbol" w:eastAsia="Times New Roman" w:hAnsi="Segoe UI Symbol" w:cs="Segoe UI Symbol"/>
                <w:sz w:val="24"/>
                <w:szCs w:val="24"/>
                <w:lang w:eastAsia="en-IN"/>
              </w:rPr>
              <w:t>✓</w:t>
            </w:r>
          </w:p>
        </w:tc>
        <w:tc>
          <w:tcPr>
            <w:tcW w:w="0" w:type="auto"/>
            <w:hideMark/>
          </w:tcPr>
          <w:p w14:paraId="46BC0901"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Not significant (p=0.20)</w:t>
            </w:r>
          </w:p>
        </w:tc>
        <w:tc>
          <w:tcPr>
            <w:tcW w:w="0" w:type="auto"/>
            <w:hideMark/>
          </w:tcPr>
          <w:p w14:paraId="36B23F5C"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 xml:space="preserve">Significant, γ₁&lt;0 (p=0.02) </w:t>
            </w:r>
            <w:r w:rsidRPr="00C5265D">
              <w:rPr>
                <w:rFonts w:ascii="Segoe UI Symbol" w:eastAsia="Times New Roman" w:hAnsi="Segoe UI Symbol" w:cs="Segoe UI Symbol"/>
                <w:sz w:val="24"/>
                <w:szCs w:val="24"/>
                <w:lang w:eastAsia="en-IN"/>
              </w:rPr>
              <w:t>✓</w:t>
            </w:r>
          </w:p>
        </w:tc>
        <w:tc>
          <w:tcPr>
            <w:tcW w:w="0" w:type="auto"/>
            <w:hideMark/>
          </w:tcPr>
          <w:p w14:paraId="6F3577A6"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Partially Supported</w:t>
            </w:r>
            <w:r w:rsidRPr="00C5265D">
              <w:rPr>
                <w:rFonts w:ascii="Times New Roman" w:eastAsia="Times New Roman" w:hAnsi="Times New Roman" w:cs="Times New Roman"/>
                <w:sz w:val="24"/>
                <w:szCs w:val="24"/>
                <w:lang w:eastAsia="en-IN"/>
              </w:rPr>
              <w:t xml:space="preserve"> — directionally strong and confirmed by the more powerful cross-sectional test, but not by the simple bucket comparison</w:t>
            </w:r>
          </w:p>
        </w:tc>
      </w:tr>
      <w:tr w:rsidR="00411509" w:rsidRPr="00C5265D" w14:paraId="7C59402B" w14:textId="77777777" w:rsidTr="00DD10DA">
        <w:tc>
          <w:tcPr>
            <w:cnfStyle w:val="001000000000" w:firstRow="0" w:lastRow="0" w:firstColumn="1" w:lastColumn="0" w:oddVBand="0" w:evenVBand="0" w:oddHBand="0" w:evenHBand="0" w:firstRowFirstColumn="0" w:firstRowLastColumn="0" w:lastRowFirstColumn="0" w:lastRowLastColumn="0"/>
            <w:tcW w:w="0" w:type="auto"/>
            <w:hideMark/>
          </w:tcPr>
          <w:p w14:paraId="2654C5E0" w14:textId="77777777" w:rsidR="00411509" w:rsidRPr="00C5265D" w:rsidRDefault="00411509" w:rsidP="002B7A45">
            <w:pPr>
              <w:jc w:val="center"/>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H2: Low-Beta Anomaly</w:t>
            </w:r>
          </w:p>
        </w:tc>
        <w:tc>
          <w:tcPr>
            <w:tcW w:w="0" w:type="auto"/>
            <w:hideMark/>
          </w:tcPr>
          <w:p w14:paraId="1D37FB51"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 xml:space="preserve">Non-monotonic; High-beta fails to reward risk </w:t>
            </w:r>
            <w:r w:rsidRPr="00C5265D">
              <w:rPr>
                <w:rFonts w:ascii="Segoe UI Symbol" w:eastAsia="Times New Roman" w:hAnsi="Segoe UI Symbol" w:cs="Segoe UI Symbol"/>
                <w:sz w:val="24"/>
                <w:szCs w:val="24"/>
                <w:lang w:eastAsia="en-IN"/>
              </w:rPr>
              <w:t>✓</w:t>
            </w:r>
          </w:p>
        </w:tc>
        <w:tc>
          <w:tcPr>
            <w:tcW w:w="0" w:type="auto"/>
            <w:hideMark/>
          </w:tcPr>
          <w:p w14:paraId="07B11D35"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Not significant (p=0.45)</w:t>
            </w:r>
          </w:p>
        </w:tc>
        <w:tc>
          <w:tcPr>
            <w:tcW w:w="0" w:type="auto"/>
            <w:hideMark/>
          </w:tcPr>
          <w:p w14:paraId="30BA385F"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Not significant (p=0.14)</w:t>
            </w:r>
          </w:p>
        </w:tc>
        <w:tc>
          <w:tcPr>
            <w:tcW w:w="0" w:type="auto"/>
            <w:hideMark/>
          </w:tcPr>
          <w:p w14:paraId="73115E3D" w14:textId="77777777" w:rsidR="00411509" w:rsidRPr="00C5265D" w:rsidRDefault="00411509" w:rsidP="002B7A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Weakly Supported</w:t>
            </w:r>
            <w:r w:rsidRPr="00C5265D">
              <w:rPr>
                <w:rFonts w:ascii="Times New Roman" w:eastAsia="Times New Roman" w:hAnsi="Times New Roman" w:cs="Times New Roman"/>
                <w:sz w:val="24"/>
                <w:szCs w:val="24"/>
                <w:lang w:eastAsia="en-IN"/>
              </w:rPr>
              <w:t xml:space="preserve"> — pattern consistent with theory but not statistically robust</w:t>
            </w:r>
          </w:p>
        </w:tc>
      </w:tr>
      <w:tr w:rsidR="00411509" w:rsidRPr="00C5265D" w14:paraId="0748E09A" w14:textId="77777777" w:rsidTr="00DD1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FB520" w14:textId="77777777" w:rsidR="00411509" w:rsidRPr="00C5265D" w:rsidRDefault="00411509" w:rsidP="002B7A45">
            <w:pPr>
              <w:jc w:val="center"/>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H3: Value Effect</w:t>
            </w:r>
          </w:p>
        </w:tc>
        <w:tc>
          <w:tcPr>
            <w:tcW w:w="0" w:type="auto"/>
            <w:hideMark/>
          </w:tcPr>
          <w:p w14:paraId="1AD437B6"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Non-monotonic; Low P/E best but Medium worst</w:t>
            </w:r>
          </w:p>
        </w:tc>
        <w:tc>
          <w:tcPr>
            <w:tcW w:w="0" w:type="auto"/>
            <w:hideMark/>
          </w:tcPr>
          <w:p w14:paraId="5A6A059A"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Not significant (p=0.62)</w:t>
            </w:r>
          </w:p>
        </w:tc>
        <w:tc>
          <w:tcPr>
            <w:tcW w:w="0" w:type="auto"/>
            <w:hideMark/>
          </w:tcPr>
          <w:p w14:paraId="3065BF89"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Not significant (p=0.17)</w:t>
            </w:r>
          </w:p>
        </w:tc>
        <w:tc>
          <w:tcPr>
            <w:tcW w:w="0" w:type="auto"/>
            <w:hideMark/>
          </w:tcPr>
          <w:p w14:paraId="4A71B566" w14:textId="77777777" w:rsidR="00411509" w:rsidRPr="00C5265D" w:rsidRDefault="00411509" w:rsidP="002B7A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Not Supported</w:t>
            </w:r>
          </w:p>
        </w:tc>
      </w:tr>
    </w:tbl>
    <w:p w14:paraId="62527B73" w14:textId="77777777" w:rsidR="002B7A45" w:rsidRDefault="002B7A45" w:rsidP="00C5265D">
      <w:pPr>
        <w:pStyle w:val="Heading2"/>
        <w:jc w:val="both"/>
        <w:rPr>
          <w:sz w:val="28"/>
          <w:szCs w:val="24"/>
        </w:rPr>
      </w:pPr>
    </w:p>
    <w:p w14:paraId="3C459C33" w14:textId="04DE6196" w:rsidR="00411509" w:rsidRPr="00C5265D" w:rsidRDefault="00411509" w:rsidP="00C411DF">
      <w:pPr>
        <w:pStyle w:val="Heading2"/>
        <w:jc w:val="both"/>
        <w:rPr>
          <w:sz w:val="28"/>
          <w:szCs w:val="24"/>
        </w:rPr>
      </w:pPr>
      <w:r w:rsidRPr="00C5265D">
        <w:rPr>
          <w:sz w:val="28"/>
          <w:szCs w:val="24"/>
        </w:rPr>
        <w:lastRenderedPageBreak/>
        <w:t>5. Discussion</w:t>
      </w:r>
    </w:p>
    <w:p w14:paraId="558632AF" w14:textId="77777777" w:rsidR="00411509" w:rsidRPr="00C5265D" w:rsidRDefault="00411509" w:rsidP="00C5265D">
      <w:pPr>
        <w:pStyle w:val="Heading3"/>
        <w:jc w:val="both"/>
        <w:rPr>
          <w:sz w:val="24"/>
          <w:szCs w:val="24"/>
        </w:rPr>
      </w:pPr>
      <w:r w:rsidRPr="00C5265D">
        <w:rPr>
          <w:sz w:val="24"/>
          <w:szCs w:val="24"/>
        </w:rPr>
        <w:t>5.1 Revisiting the Size Effect</w:t>
      </w:r>
    </w:p>
    <w:p w14:paraId="18533B78" w14:textId="77777777" w:rsidR="00411509" w:rsidRPr="00C5265D" w:rsidRDefault="00411509" w:rsidP="00C5265D">
      <w:pPr>
        <w:pStyle w:val="NormalWeb"/>
        <w:jc w:val="both"/>
      </w:pPr>
      <w:r w:rsidRPr="00C5265D">
        <w:t xml:space="preserve">The size effect emerges as the most consistent finding in this study, though the evidence is not uniformly strong across all tests. The monotonic decline in Sharpe ratio and Jensen's alpha from Low-cap (0.979, 12.25%) to High-cap (0.705, 4.45%) portfolios mirrors the classic size premium first documented by </w:t>
      </w:r>
      <w:proofErr w:type="spellStart"/>
      <w:r w:rsidRPr="00C5265D">
        <w:t>Banz</w:t>
      </w:r>
      <w:proofErr w:type="spellEnd"/>
      <w:r w:rsidRPr="00C5265D">
        <w:t xml:space="preserve"> (1981) and later formalized in the </w:t>
      </w:r>
      <w:proofErr w:type="spellStart"/>
      <w:r w:rsidRPr="00C5265D">
        <w:t>Fama</w:t>
      </w:r>
      <w:proofErr w:type="spellEnd"/>
      <w:r w:rsidRPr="00C5265D">
        <w:t xml:space="preserve">-French SMB factor. The </w:t>
      </w:r>
      <w:proofErr w:type="spellStart"/>
      <w:r w:rsidRPr="00C5265D">
        <w:t>Fama-MacBeth</w:t>
      </w:r>
      <w:proofErr w:type="spellEnd"/>
      <w:r w:rsidRPr="00C5265D">
        <w:t xml:space="preserve"> regression corroborates this with a statistically significant negative coefficient on log market cap (γ₁ = −0.00365, p = 0.0202), meaning smaller firms earned systematically higher risk-adjusted excess returns even after controlling for beta and valuation.</w:t>
      </w:r>
    </w:p>
    <w:p w14:paraId="4C1D208B" w14:textId="77777777" w:rsidR="00411509" w:rsidRPr="00C5265D" w:rsidRDefault="00411509" w:rsidP="00C5265D">
      <w:pPr>
        <w:pStyle w:val="NormalWeb"/>
        <w:jc w:val="both"/>
      </w:pPr>
      <w:r w:rsidRPr="00C5265D">
        <w:t xml:space="preserve">The divergence between this result and the insignificant High-Low t-test (p = 0.2012) is worth unpacking rather than treating as a contradiction. The t-test compares only two portfolio-level return series (Low-cap vs. High-cap), effectively averaging away most of the cross-sectional information and relying on just 120 paired monthly observations with considerable portfolio-level noise. The </w:t>
      </w:r>
      <w:proofErr w:type="spellStart"/>
      <w:r w:rsidRPr="00C5265D">
        <w:t>Fama-MacBeth</w:t>
      </w:r>
      <w:proofErr w:type="spellEnd"/>
      <w:r w:rsidRPr="00C5265D">
        <w:t xml:space="preserve"> approach, by contrast, tests the size relationship stock-by-stock, month-by-month, across the full 39-stock cross-section — a substantially larger effective sample that better isolates the attribute's marginal effect after controlling for beta and value simultaneously. This suggests the size effect in this sample is real in direction and economically meaningful in magnitude, but the extreme-</w:t>
      </w:r>
      <w:proofErr w:type="spellStart"/>
      <w:r w:rsidRPr="00C5265D">
        <w:t>tercile</w:t>
      </w:r>
      <w:proofErr w:type="spellEnd"/>
      <w:r w:rsidRPr="00C5265D">
        <w:t xml:space="preserve"> portfolio comparison alone lacks the statistical power to confirm it — a limitation of small-sample, three-bucket portfolio sorts rather than evidence against the effect itself.</w:t>
      </w:r>
    </w:p>
    <w:p w14:paraId="147645F2" w14:textId="77777777" w:rsidR="00411509" w:rsidRPr="00C5265D" w:rsidRDefault="00411509" w:rsidP="00C5265D">
      <w:pPr>
        <w:pStyle w:val="Heading3"/>
        <w:jc w:val="both"/>
        <w:rPr>
          <w:sz w:val="24"/>
          <w:szCs w:val="24"/>
        </w:rPr>
      </w:pPr>
      <w:r w:rsidRPr="00C5265D">
        <w:rPr>
          <w:sz w:val="24"/>
          <w:szCs w:val="24"/>
        </w:rPr>
        <w:t xml:space="preserve">5.2 The Beta Puzzle: Evidence </w:t>
      </w:r>
      <w:proofErr w:type="gramStart"/>
      <w:r w:rsidRPr="00C5265D">
        <w:rPr>
          <w:sz w:val="24"/>
          <w:szCs w:val="24"/>
        </w:rPr>
        <w:t>Against</w:t>
      </w:r>
      <w:proofErr w:type="gramEnd"/>
      <w:r w:rsidRPr="00C5265D">
        <w:rPr>
          <w:sz w:val="24"/>
          <w:szCs w:val="24"/>
        </w:rPr>
        <w:t xml:space="preserve"> Strict CAPM</w:t>
      </w:r>
    </w:p>
    <w:p w14:paraId="18661967" w14:textId="77777777" w:rsidR="00411509" w:rsidRPr="00C5265D" w:rsidRDefault="00411509" w:rsidP="00C5265D">
      <w:pPr>
        <w:pStyle w:val="NormalWeb"/>
        <w:jc w:val="both"/>
      </w:pPr>
      <w:r w:rsidRPr="00C5265D">
        <w:t xml:space="preserve">The relationship between beta and returns in this sample directly contradicts the core CAPM prediction that higher systematic risk should be compensated with proportionally higher expected returns. While the High-beta portfolio did earn a higher raw annualized return (23.87%) than the Low-beta portfolio (17.39%), it did so by taking on nearly 8 percentage points of additional volatility (22.63% vs. 14.78%), resulting in a </w:t>
      </w:r>
      <w:r w:rsidRPr="00C5265D">
        <w:rPr>
          <w:rStyle w:val="Emphasis"/>
        </w:rPr>
        <w:t>lower</w:t>
      </w:r>
      <w:r w:rsidRPr="00C5265D">
        <w:t xml:space="preserve"> Sharpe ratio than the Medium-beta bucket and only a marginal improvement over Low-beta. The Medium-beta portfolio, in fact, delivered the best risk-adjusted outcome of all three buckets (Sharpe 0.970) — a non-monotonic pattern inconsistent with a linear risk-return </w:t>
      </w:r>
      <w:proofErr w:type="spellStart"/>
      <w:r w:rsidRPr="00C5265D">
        <w:t>tradeoff</w:t>
      </w:r>
      <w:proofErr w:type="spellEnd"/>
      <w:r w:rsidRPr="00C5265D">
        <w:t>.</w:t>
      </w:r>
    </w:p>
    <w:p w14:paraId="1FE938A5" w14:textId="77777777" w:rsidR="00411509" w:rsidRPr="00C5265D" w:rsidRDefault="00411509" w:rsidP="00C5265D">
      <w:pPr>
        <w:pStyle w:val="NormalWeb"/>
        <w:jc w:val="both"/>
      </w:pPr>
      <w:r w:rsidRPr="00C5265D">
        <w:t xml:space="preserve">This finding is broadly consistent with the "low-volatility anomaly" documented by </w:t>
      </w:r>
      <w:proofErr w:type="spellStart"/>
      <w:r w:rsidRPr="00C5265D">
        <w:t>Frazzini</w:t>
      </w:r>
      <w:proofErr w:type="spellEnd"/>
      <w:r w:rsidRPr="00C5265D">
        <w:t xml:space="preserve"> and Pedersen (2014) and earlier work by Black, Jensen, and Scholes (1972), which finds that low- and moderate-beta stocks tend to deliver risk-adjusted returns comparable to or exceeding high-beta stocks — attributed variously to leverage constraints faced by real-world investors, </w:t>
      </w:r>
      <w:proofErr w:type="spellStart"/>
      <w:r w:rsidRPr="00C5265D">
        <w:t>behavioral</w:t>
      </w:r>
      <w:proofErr w:type="spellEnd"/>
      <w:r w:rsidRPr="00C5265D">
        <w:t xml:space="preserve"> preferences for lottery-like high-beta stocks, or benchmarking pressures on institutional managers that inflate demand for high-beta names. However, both statistical tests in this study (t-test p = 0.449; </w:t>
      </w:r>
      <w:proofErr w:type="spellStart"/>
      <w:r w:rsidRPr="00C5265D">
        <w:t>Fama-MacBeth</w:t>
      </w:r>
      <w:proofErr w:type="spellEnd"/>
      <w:r w:rsidRPr="00C5265D">
        <w:t xml:space="preserve"> p = 0.1355) fail to reach conventional significance, so this result should be interpreted as </w:t>
      </w:r>
      <w:r w:rsidRPr="00C5265D">
        <w:rPr>
          <w:rStyle w:val="Strong"/>
        </w:rPr>
        <w:t>directionally suggestive rather than conclusive</w:t>
      </w:r>
      <w:r w:rsidRPr="00C5265D">
        <w:t>. A larger sample, or a longer time series capturing multiple market cycles, would be needed to state this anomaly with confidence in the Indian market context.</w:t>
      </w:r>
    </w:p>
    <w:p w14:paraId="512EDC92" w14:textId="77777777" w:rsidR="00411509" w:rsidRPr="00C5265D" w:rsidRDefault="00411509" w:rsidP="00C5265D">
      <w:pPr>
        <w:pStyle w:val="Heading3"/>
        <w:jc w:val="both"/>
        <w:rPr>
          <w:sz w:val="24"/>
          <w:szCs w:val="24"/>
        </w:rPr>
      </w:pPr>
      <w:r w:rsidRPr="00C5265D">
        <w:rPr>
          <w:sz w:val="24"/>
          <w:szCs w:val="24"/>
        </w:rPr>
        <w:t>5.3 The Missing Value Premium</w:t>
      </w:r>
    </w:p>
    <w:p w14:paraId="0DD0A396" w14:textId="77777777" w:rsidR="00411509" w:rsidRPr="00C5265D" w:rsidRDefault="00411509" w:rsidP="00C5265D">
      <w:pPr>
        <w:pStyle w:val="NormalWeb"/>
        <w:jc w:val="both"/>
      </w:pPr>
      <w:r w:rsidRPr="00C5265D">
        <w:t>The value effect result is the most theoretically surprising finding of the study. Classical asset pricing theory (</w:t>
      </w:r>
      <w:proofErr w:type="spellStart"/>
      <w:r w:rsidRPr="00C5265D">
        <w:t>Basu</w:t>
      </w:r>
      <w:proofErr w:type="spellEnd"/>
      <w:r w:rsidRPr="00C5265D">
        <w:t xml:space="preserve">, 1977; </w:t>
      </w:r>
      <w:proofErr w:type="spellStart"/>
      <w:r w:rsidRPr="00C5265D">
        <w:t>Fama</w:t>
      </w:r>
      <w:proofErr w:type="spellEnd"/>
      <w:r w:rsidRPr="00C5265D">
        <w:t xml:space="preserve"> &amp; French, 1992) predicts that low P/E (value) stocks should </w:t>
      </w:r>
      <w:r w:rsidRPr="00C5265D">
        <w:lastRenderedPageBreak/>
        <w:t xml:space="preserve">outperform high P/E (growth) stocks, compensating investors for the higher perceived risk or </w:t>
      </w:r>
      <w:proofErr w:type="spellStart"/>
      <w:r w:rsidRPr="00C5265D">
        <w:t>behavioral</w:t>
      </w:r>
      <w:proofErr w:type="spellEnd"/>
      <w:r w:rsidRPr="00C5265D">
        <w:t xml:space="preserve"> mispricing of out-of-</w:t>
      </w:r>
      <w:proofErr w:type="spellStart"/>
      <w:r w:rsidRPr="00C5265D">
        <w:t>favor</w:t>
      </w:r>
      <w:proofErr w:type="spellEnd"/>
      <w:r w:rsidRPr="00C5265D">
        <w:t xml:space="preserve"> firms. This study finds partial support at the extremes — the Low P/E portfolio did post the highest Sharpe ratio (1.108) and most significant alpha (12.65%, p = 0.0001) — but the relationship is emphatically non-monotonic: the Medium P/E bucket performed worst by a wide margin (Sharpe 0.529, statistically insignificant alpha at p = 0.3891), while High P/E ("growth") recovered to a respectable 0.847.</w:t>
      </w:r>
    </w:p>
    <w:p w14:paraId="18205D1A" w14:textId="77777777" w:rsidR="00411509" w:rsidRPr="00C5265D" w:rsidRDefault="00411509" w:rsidP="00C5265D">
      <w:pPr>
        <w:pStyle w:val="NormalWeb"/>
        <w:jc w:val="both"/>
      </w:pPr>
      <w:r w:rsidRPr="00C5265D">
        <w:t>Several explanations are plausible. First, the 2016–2025 sample period captures a market environment often characterized as growth-and-momentum-</w:t>
      </w:r>
      <w:proofErr w:type="spellStart"/>
      <w:r w:rsidRPr="00C5265D">
        <w:t>favoring</w:t>
      </w:r>
      <w:proofErr w:type="spellEnd"/>
      <w:r w:rsidRPr="00C5265D">
        <w:t>, particularly the post-2020 rally led by technology and consumption-driven growth stocks in Indian equities — a period during which the value premium has been widely reported as weak or reversed globally (</w:t>
      </w:r>
      <w:proofErr w:type="spellStart"/>
      <w:r w:rsidRPr="00C5265D">
        <w:t>Fama</w:t>
      </w:r>
      <w:proofErr w:type="spellEnd"/>
      <w:r w:rsidRPr="00C5265D">
        <w:t xml:space="preserve"> &amp; French themselves noted a "value drought" through much of the 2010s). Second, using P/E as a single valuation proxy — rather than a composite value measure incorporating book-to-market or cash flow yield — may misclassify firms with structurally different earnings quality or growth expectations into the same bucket, diluting the signal. Third, the non-monotonicity (Medium underperforming both extremes) hints that P/E </w:t>
      </w:r>
      <w:proofErr w:type="spellStart"/>
      <w:r w:rsidRPr="00C5265D">
        <w:t>terciles</w:t>
      </w:r>
      <w:proofErr w:type="spellEnd"/>
      <w:r w:rsidRPr="00C5265D">
        <w:t xml:space="preserve"> in this small 39-stock universe may be capturing sector or idiosyncratic composition effects rather than a clean valuation signal — worth flagging as a data-driven </w:t>
      </w:r>
      <w:proofErr w:type="spellStart"/>
      <w:r w:rsidRPr="00C5265D">
        <w:t>artifact</w:t>
      </w:r>
      <w:proofErr w:type="spellEnd"/>
      <w:r w:rsidRPr="00C5265D">
        <w:t xml:space="preserve"> rather than a true reversal of the value premium.</w:t>
      </w:r>
    </w:p>
    <w:p w14:paraId="2CA07D59" w14:textId="77777777" w:rsidR="00411509" w:rsidRPr="00C5265D" w:rsidRDefault="00411509" w:rsidP="00C5265D">
      <w:pPr>
        <w:pStyle w:val="NormalWeb"/>
        <w:jc w:val="both"/>
      </w:pPr>
      <w:r w:rsidRPr="00C5265D">
        <w:t xml:space="preserve">It is also worth reconciling the sign discrepancy between the </w:t>
      </w:r>
      <w:proofErr w:type="spellStart"/>
      <w:r w:rsidRPr="00C5265D">
        <w:t>tercile</w:t>
      </w:r>
      <w:proofErr w:type="spellEnd"/>
      <w:r w:rsidRPr="00C5265D">
        <w:t xml:space="preserve"> comparison and the </w:t>
      </w:r>
      <w:proofErr w:type="spellStart"/>
      <w:r w:rsidRPr="00C5265D">
        <w:t>Fama-MacBeth</w:t>
      </w:r>
      <w:proofErr w:type="spellEnd"/>
      <w:r w:rsidRPr="00C5265D">
        <w:t xml:space="preserve"> regression: the latter tests earnings yield as a continuous variable across the full stock universe each month, not just the extreme buckets, and its coefficient (γ₃ = −0.06129) is also statistically insignificant (p = 0.1687). </w:t>
      </w:r>
      <w:proofErr w:type="gramStart"/>
      <w:r w:rsidRPr="00C5265D">
        <w:t>Neither test provides reliable evidence of a value premium in this sample, and</w:t>
      </w:r>
      <w:proofErr w:type="gramEnd"/>
      <w:r w:rsidRPr="00C5265D">
        <w:t xml:space="preserve"> the direction of the extreme-bucket effect should not be over-interpreted given its lack of statistical significance.</w:t>
      </w:r>
    </w:p>
    <w:p w14:paraId="23F57D13" w14:textId="77777777" w:rsidR="00411509" w:rsidRPr="00C5265D" w:rsidRDefault="00411509" w:rsidP="00C5265D">
      <w:pPr>
        <w:pStyle w:val="Heading3"/>
        <w:jc w:val="both"/>
        <w:rPr>
          <w:sz w:val="24"/>
          <w:szCs w:val="24"/>
        </w:rPr>
      </w:pPr>
      <w:r w:rsidRPr="00C5265D">
        <w:rPr>
          <w:sz w:val="24"/>
          <w:szCs w:val="24"/>
        </w:rPr>
        <w:t>5.4 Methodological Reflections</w:t>
      </w:r>
    </w:p>
    <w:p w14:paraId="1BCC0F28" w14:textId="77777777" w:rsidR="00411509" w:rsidRPr="00C5265D" w:rsidRDefault="00411509" w:rsidP="00C5265D">
      <w:pPr>
        <w:pStyle w:val="NormalWeb"/>
        <w:jc w:val="both"/>
      </w:pPr>
      <w:r w:rsidRPr="00C5265D">
        <w:t xml:space="preserve">Two broader observations emerge from comparing the two testing approaches used in this study. First, </w:t>
      </w:r>
      <w:r w:rsidRPr="00C5265D">
        <w:rPr>
          <w:rStyle w:val="Strong"/>
        </w:rPr>
        <w:t>cross-sectional pooled tests (</w:t>
      </w:r>
      <w:proofErr w:type="spellStart"/>
      <w:r w:rsidRPr="00C5265D">
        <w:rPr>
          <w:rStyle w:val="Strong"/>
        </w:rPr>
        <w:t>Fama-MacBeth</w:t>
      </w:r>
      <w:proofErr w:type="spellEnd"/>
      <w:r w:rsidRPr="00C5265D">
        <w:rPr>
          <w:rStyle w:val="Strong"/>
        </w:rPr>
        <w:t>) are more statistically powerful than simple extreme-</w:t>
      </w:r>
      <w:proofErr w:type="spellStart"/>
      <w:r w:rsidRPr="00C5265D">
        <w:rPr>
          <w:rStyle w:val="Strong"/>
        </w:rPr>
        <w:t>tercile</w:t>
      </w:r>
      <w:proofErr w:type="spellEnd"/>
      <w:r w:rsidRPr="00C5265D">
        <w:rPr>
          <w:rStyle w:val="Strong"/>
        </w:rPr>
        <w:t xml:space="preserve"> comparisons</w:t>
      </w:r>
      <w:r w:rsidRPr="00C5265D">
        <w:t xml:space="preserve"> for a sample of this size — a methodological lesson relevant to any student or practitioner replicating factor studies on a limited stock universe. Second, </w:t>
      </w:r>
      <w:r w:rsidRPr="00C5265D">
        <w:rPr>
          <w:rStyle w:val="Strong"/>
        </w:rPr>
        <w:t>none of the three attributes were significant under the simple t-test</w:t>
      </w:r>
      <w:r w:rsidRPr="00C5265D">
        <w:t xml:space="preserve">, while only size was significant under </w:t>
      </w:r>
      <w:proofErr w:type="spellStart"/>
      <w:r w:rsidRPr="00C5265D">
        <w:t>Fama-MacBeth</w:t>
      </w:r>
      <w:proofErr w:type="spellEnd"/>
      <w:r w:rsidRPr="00C5265D">
        <w:t xml:space="preserve"> — this pattern suggests that with only 39 stocks split into three-way sorts (roughly 13 stocks per bucket), the portfolio-level tests in this study are likely underpowered, and results should be treated as exploratory rather than definitive.</w:t>
      </w:r>
    </w:p>
    <w:p w14:paraId="7E6E2F6B" w14:textId="77777777" w:rsidR="00411509" w:rsidRPr="00C5265D" w:rsidRDefault="00411509" w:rsidP="00C5265D">
      <w:pPr>
        <w:pStyle w:val="Heading3"/>
        <w:jc w:val="both"/>
        <w:rPr>
          <w:sz w:val="24"/>
          <w:szCs w:val="24"/>
        </w:rPr>
      </w:pPr>
      <w:r w:rsidRPr="00C5265D">
        <w:rPr>
          <w:sz w:val="24"/>
          <w:szCs w:val="24"/>
        </w:rPr>
        <w:t>5.5 Limitations</w:t>
      </w:r>
    </w:p>
    <w:p w14:paraId="641E1D6C" w14:textId="77777777" w:rsidR="00411509" w:rsidRPr="00C5265D" w:rsidRDefault="00411509" w:rsidP="00C5265D">
      <w:pPr>
        <w:numPr>
          <w:ilvl w:val="0"/>
          <w:numId w:val="1"/>
        </w:numPr>
        <w:spacing w:before="100" w:beforeAutospacing="1" w:after="100" w:afterAutospacing="1" w:line="240" w:lineRule="auto"/>
        <w:jc w:val="both"/>
        <w:rPr>
          <w:rFonts w:ascii="Times New Roman" w:hAnsi="Times New Roman" w:cs="Times New Roman"/>
          <w:sz w:val="24"/>
          <w:szCs w:val="24"/>
        </w:rPr>
      </w:pPr>
      <w:r w:rsidRPr="00C5265D">
        <w:rPr>
          <w:rStyle w:val="Strong"/>
          <w:rFonts w:ascii="Times New Roman" w:hAnsi="Times New Roman" w:cs="Times New Roman"/>
          <w:sz w:val="24"/>
          <w:szCs w:val="24"/>
        </w:rPr>
        <w:t>Sample size</w:t>
      </w:r>
      <w:r w:rsidRPr="00C5265D">
        <w:rPr>
          <w:rFonts w:ascii="Times New Roman" w:hAnsi="Times New Roman" w:cs="Times New Roman"/>
          <w:sz w:val="24"/>
          <w:szCs w:val="24"/>
        </w:rPr>
        <w:t>: 39 non-financial stocks is a relatively narrow universe; results may not generalize to the broader Nifty 500 or across other emerging markets.</w:t>
      </w:r>
    </w:p>
    <w:p w14:paraId="725B9452" w14:textId="77777777" w:rsidR="00411509" w:rsidRPr="00C5265D" w:rsidRDefault="00411509" w:rsidP="00C5265D">
      <w:pPr>
        <w:numPr>
          <w:ilvl w:val="0"/>
          <w:numId w:val="1"/>
        </w:numPr>
        <w:spacing w:before="100" w:beforeAutospacing="1" w:after="100" w:afterAutospacing="1" w:line="240" w:lineRule="auto"/>
        <w:jc w:val="both"/>
        <w:rPr>
          <w:rFonts w:ascii="Times New Roman" w:hAnsi="Times New Roman" w:cs="Times New Roman"/>
          <w:sz w:val="24"/>
          <w:szCs w:val="24"/>
        </w:rPr>
      </w:pPr>
      <w:r w:rsidRPr="00C5265D">
        <w:rPr>
          <w:rStyle w:val="Strong"/>
          <w:rFonts w:ascii="Times New Roman" w:hAnsi="Times New Roman" w:cs="Times New Roman"/>
          <w:sz w:val="24"/>
          <w:szCs w:val="24"/>
        </w:rPr>
        <w:t>Survivorship bias</w:t>
      </w:r>
      <w:r w:rsidRPr="00C5265D">
        <w:rPr>
          <w:rFonts w:ascii="Times New Roman" w:hAnsi="Times New Roman" w:cs="Times New Roman"/>
          <w:sz w:val="24"/>
          <w:szCs w:val="24"/>
        </w:rPr>
        <w:t>: the sample likely reflects currently-listed, non-delisted firms, potentially overstating average returns by excluding failed or acquired companies over the 2016–2025 window.</w:t>
      </w:r>
    </w:p>
    <w:p w14:paraId="3E55F0B2" w14:textId="77777777" w:rsidR="00411509" w:rsidRPr="00C5265D" w:rsidRDefault="00411509" w:rsidP="00C5265D">
      <w:pPr>
        <w:numPr>
          <w:ilvl w:val="0"/>
          <w:numId w:val="1"/>
        </w:numPr>
        <w:spacing w:before="100" w:beforeAutospacing="1" w:after="100" w:afterAutospacing="1" w:line="240" w:lineRule="auto"/>
        <w:jc w:val="both"/>
        <w:rPr>
          <w:rFonts w:ascii="Times New Roman" w:hAnsi="Times New Roman" w:cs="Times New Roman"/>
          <w:sz w:val="24"/>
          <w:szCs w:val="24"/>
        </w:rPr>
      </w:pPr>
      <w:r w:rsidRPr="00C5265D">
        <w:rPr>
          <w:rStyle w:val="Strong"/>
          <w:rFonts w:ascii="Times New Roman" w:hAnsi="Times New Roman" w:cs="Times New Roman"/>
          <w:sz w:val="24"/>
          <w:szCs w:val="24"/>
        </w:rPr>
        <w:t>Single-country, single-period evidence</w:t>
      </w:r>
      <w:r w:rsidRPr="00C5265D">
        <w:rPr>
          <w:rFonts w:ascii="Times New Roman" w:hAnsi="Times New Roman" w:cs="Times New Roman"/>
          <w:sz w:val="24"/>
          <w:szCs w:val="24"/>
        </w:rPr>
        <w:t>: 120 months captures a specific macroeconomic regime (including the COVID-19 shock and subsequent recovery); findings may not hold across different market cycles.</w:t>
      </w:r>
    </w:p>
    <w:p w14:paraId="01FFAD84" w14:textId="77777777" w:rsidR="00411509" w:rsidRPr="00C5265D" w:rsidRDefault="00411509" w:rsidP="00C5265D">
      <w:pPr>
        <w:numPr>
          <w:ilvl w:val="0"/>
          <w:numId w:val="1"/>
        </w:numPr>
        <w:spacing w:before="100" w:beforeAutospacing="1" w:after="100" w:afterAutospacing="1" w:line="240" w:lineRule="auto"/>
        <w:jc w:val="both"/>
        <w:rPr>
          <w:rFonts w:ascii="Times New Roman" w:hAnsi="Times New Roman" w:cs="Times New Roman"/>
          <w:sz w:val="24"/>
          <w:szCs w:val="24"/>
        </w:rPr>
      </w:pPr>
      <w:r w:rsidRPr="00C5265D">
        <w:rPr>
          <w:rStyle w:val="Strong"/>
          <w:rFonts w:ascii="Times New Roman" w:hAnsi="Times New Roman" w:cs="Times New Roman"/>
          <w:sz w:val="24"/>
          <w:szCs w:val="24"/>
        </w:rPr>
        <w:t>P/E as sole value proxy</w:t>
      </w:r>
      <w:r w:rsidRPr="00C5265D">
        <w:rPr>
          <w:rFonts w:ascii="Times New Roman" w:hAnsi="Times New Roman" w:cs="Times New Roman"/>
          <w:sz w:val="24"/>
          <w:szCs w:val="24"/>
        </w:rPr>
        <w:t>: excludes other valuation dimensions (book-to-market, EV/EBITDA, cash flow yield) that might yield a cleaner value signal.</w:t>
      </w:r>
    </w:p>
    <w:p w14:paraId="48B0540E" w14:textId="77777777" w:rsidR="00411509" w:rsidRPr="00C5265D" w:rsidRDefault="00411509" w:rsidP="00C5265D">
      <w:pPr>
        <w:numPr>
          <w:ilvl w:val="0"/>
          <w:numId w:val="1"/>
        </w:numPr>
        <w:spacing w:before="100" w:beforeAutospacing="1" w:after="100" w:afterAutospacing="1" w:line="240" w:lineRule="auto"/>
        <w:jc w:val="both"/>
        <w:rPr>
          <w:rFonts w:ascii="Times New Roman" w:hAnsi="Times New Roman" w:cs="Times New Roman"/>
          <w:sz w:val="24"/>
          <w:szCs w:val="24"/>
        </w:rPr>
      </w:pPr>
      <w:r w:rsidRPr="00C5265D">
        <w:rPr>
          <w:rStyle w:val="Strong"/>
          <w:rFonts w:ascii="Times New Roman" w:hAnsi="Times New Roman" w:cs="Times New Roman"/>
          <w:sz w:val="24"/>
          <w:szCs w:val="24"/>
        </w:rPr>
        <w:lastRenderedPageBreak/>
        <w:t>Equal-weighting</w:t>
      </w:r>
      <w:r w:rsidRPr="00C5265D">
        <w:rPr>
          <w:rFonts w:ascii="Times New Roman" w:hAnsi="Times New Roman" w:cs="Times New Roman"/>
          <w:sz w:val="24"/>
          <w:szCs w:val="24"/>
        </w:rPr>
        <w:t>: equal-weighted (rather than value-weighted) portfolios may overweight smaller, more volatile constituents within each bucket, potentially amplifying the observed size effect.</w:t>
      </w:r>
    </w:p>
    <w:p w14:paraId="134E12CB" w14:textId="0351FFD9" w:rsidR="00411509" w:rsidRPr="00C5265D" w:rsidRDefault="00411509" w:rsidP="00C5265D">
      <w:pPr>
        <w:numPr>
          <w:ilvl w:val="0"/>
          <w:numId w:val="1"/>
        </w:numPr>
        <w:spacing w:before="100" w:beforeAutospacing="1" w:after="100" w:afterAutospacing="1" w:line="240" w:lineRule="auto"/>
        <w:jc w:val="both"/>
        <w:rPr>
          <w:rFonts w:ascii="Times New Roman" w:hAnsi="Times New Roman" w:cs="Times New Roman"/>
          <w:sz w:val="24"/>
          <w:szCs w:val="24"/>
        </w:rPr>
      </w:pPr>
      <w:r w:rsidRPr="00C5265D">
        <w:rPr>
          <w:rStyle w:val="Strong"/>
          <w:rFonts w:ascii="Times New Roman" w:hAnsi="Times New Roman" w:cs="Times New Roman"/>
          <w:sz w:val="24"/>
          <w:szCs w:val="24"/>
        </w:rPr>
        <w:t>Transaction costs and taxes</w:t>
      </w:r>
      <w:r w:rsidRPr="00C5265D">
        <w:rPr>
          <w:rFonts w:ascii="Times New Roman" w:hAnsi="Times New Roman" w:cs="Times New Roman"/>
          <w:sz w:val="24"/>
          <w:szCs w:val="24"/>
        </w:rPr>
        <w:t xml:space="preserve"> were not incorporated; reported returns are gross, not net of the costs an actual investor would bear from annual rebalancing.</w:t>
      </w:r>
    </w:p>
    <w:p w14:paraId="1C4E4618" w14:textId="2317A46D" w:rsidR="00411509" w:rsidRPr="00C5265D" w:rsidRDefault="00411509" w:rsidP="00C5265D">
      <w:pPr>
        <w:jc w:val="both"/>
        <w:rPr>
          <w:rFonts w:ascii="Times New Roman" w:hAnsi="Times New Roman" w:cs="Times New Roman"/>
          <w:sz w:val="24"/>
          <w:szCs w:val="24"/>
        </w:rPr>
      </w:pPr>
    </w:p>
    <w:p w14:paraId="01E3C690" w14:textId="77777777" w:rsidR="00411509" w:rsidRPr="00C5265D" w:rsidRDefault="00411509" w:rsidP="00C5265D">
      <w:pPr>
        <w:spacing w:before="100" w:beforeAutospacing="1" w:after="100" w:afterAutospacing="1" w:line="240" w:lineRule="auto"/>
        <w:jc w:val="both"/>
        <w:outlineLvl w:val="1"/>
        <w:rPr>
          <w:rFonts w:ascii="Times New Roman" w:eastAsia="Times New Roman" w:hAnsi="Times New Roman" w:cs="Times New Roman"/>
          <w:b/>
          <w:bCs/>
          <w:sz w:val="28"/>
          <w:szCs w:val="24"/>
          <w:lang w:eastAsia="en-IN"/>
        </w:rPr>
      </w:pPr>
      <w:r w:rsidRPr="00C5265D">
        <w:rPr>
          <w:rFonts w:ascii="Times New Roman" w:eastAsia="Times New Roman" w:hAnsi="Times New Roman" w:cs="Times New Roman"/>
          <w:b/>
          <w:bCs/>
          <w:sz w:val="28"/>
          <w:szCs w:val="24"/>
          <w:lang w:eastAsia="en-IN"/>
        </w:rPr>
        <w:t>6. Implications for Investors</w:t>
      </w:r>
    </w:p>
    <w:p w14:paraId="1A452C80" w14:textId="77777777" w:rsidR="00411509" w:rsidRPr="00C5265D" w:rsidRDefault="00411509" w:rsidP="00C5265D">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5265D">
        <w:rPr>
          <w:rFonts w:ascii="Times New Roman" w:eastAsia="Times New Roman" w:hAnsi="Times New Roman" w:cs="Times New Roman"/>
          <w:b/>
          <w:bCs/>
          <w:sz w:val="24"/>
          <w:szCs w:val="24"/>
          <w:lang w:eastAsia="en-IN"/>
        </w:rPr>
        <w:t>6.1 For Retail and Individual Investors</w:t>
      </w:r>
    </w:p>
    <w:p w14:paraId="6AC8E817"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 xml:space="preserve">The findings offer a cautious but useful takeaway: </w:t>
      </w:r>
      <w:r w:rsidRPr="00C5265D">
        <w:rPr>
          <w:rFonts w:ascii="Times New Roman" w:eastAsia="Times New Roman" w:hAnsi="Times New Roman" w:cs="Times New Roman"/>
          <w:b/>
          <w:bCs/>
          <w:sz w:val="24"/>
          <w:szCs w:val="24"/>
          <w:lang w:eastAsia="en-IN"/>
        </w:rPr>
        <w:t>size-based tilting toward smaller-cap stocks showed the most consistent risk-adjusted outperformance</w:t>
      </w:r>
      <w:r w:rsidRPr="00C5265D">
        <w:rPr>
          <w:rFonts w:ascii="Times New Roman" w:eastAsia="Times New Roman" w:hAnsi="Times New Roman" w:cs="Times New Roman"/>
          <w:sz w:val="24"/>
          <w:szCs w:val="24"/>
          <w:lang w:eastAsia="en-IN"/>
        </w:rPr>
        <w:t xml:space="preserve"> in this sample, reinforcing a long-documented pattern that small-cap allocations can meaningfully improve portfolio returns over a multi-year horizon. However, this comes with a caveat retail investors often underweight — the Low-cap portfolio also carried the highest volatility (20.53% annualized) among the cap </w:t>
      </w:r>
      <w:proofErr w:type="spellStart"/>
      <w:r w:rsidRPr="00C5265D">
        <w:rPr>
          <w:rFonts w:ascii="Times New Roman" w:eastAsia="Times New Roman" w:hAnsi="Times New Roman" w:cs="Times New Roman"/>
          <w:sz w:val="24"/>
          <w:szCs w:val="24"/>
          <w:lang w:eastAsia="en-IN"/>
        </w:rPr>
        <w:t>terciles</w:t>
      </w:r>
      <w:proofErr w:type="spellEnd"/>
      <w:r w:rsidRPr="00C5265D">
        <w:rPr>
          <w:rFonts w:ascii="Times New Roman" w:eastAsia="Times New Roman" w:hAnsi="Times New Roman" w:cs="Times New Roman"/>
          <w:sz w:val="24"/>
          <w:szCs w:val="24"/>
          <w:lang w:eastAsia="en-IN"/>
        </w:rPr>
        <w:t>, meaning the outperformance is not "free" and requires a risk tolerance and holding period suited to weathering larger drawdowns. Investors using simple market-cap screens (a common practice in India via small-cap mutual fund allocations) should recognize this as a plausible, theory-consistent strategy rather than a guaranteed edge, given the statistical caveats discussed in Section 5.</w:t>
      </w:r>
    </w:p>
    <w:p w14:paraId="387CB709"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 xml:space="preserve">The </w:t>
      </w:r>
      <w:r w:rsidRPr="00C5265D">
        <w:rPr>
          <w:rFonts w:ascii="Times New Roman" w:eastAsia="Times New Roman" w:hAnsi="Times New Roman" w:cs="Times New Roman"/>
          <w:b/>
          <w:bCs/>
          <w:sz w:val="24"/>
          <w:szCs w:val="24"/>
          <w:lang w:eastAsia="en-IN"/>
        </w:rPr>
        <w:t>P/E-based findings caution against a naive "buy cheap, avoid expensive" heuristic</w:t>
      </w:r>
      <w:r w:rsidRPr="00C5265D">
        <w:rPr>
          <w:rFonts w:ascii="Times New Roman" w:eastAsia="Times New Roman" w:hAnsi="Times New Roman" w:cs="Times New Roman"/>
          <w:sz w:val="24"/>
          <w:szCs w:val="24"/>
          <w:lang w:eastAsia="en-IN"/>
        </w:rPr>
        <w:t>. Since the Medium P/E bucket underperformed both Low and High P/E buckets, investors screening purely on P/E without additional quality or growth context may inadvertently select into a weaker-performing segment of the market. This underscores why professional value investing typically combines P/E with other metrics (ROE, debt levels, earnings growth) rather than relying on valuation multiples in isolation.</w:t>
      </w:r>
    </w:p>
    <w:p w14:paraId="2386B7B4" w14:textId="77777777" w:rsidR="00411509" w:rsidRPr="00C5265D" w:rsidRDefault="00411509" w:rsidP="00C5265D">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5265D">
        <w:rPr>
          <w:rFonts w:ascii="Times New Roman" w:eastAsia="Times New Roman" w:hAnsi="Times New Roman" w:cs="Times New Roman"/>
          <w:b/>
          <w:bCs/>
          <w:sz w:val="24"/>
          <w:szCs w:val="24"/>
          <w:lang w:eastAsia="en-IN"/>
        </w:rPr>
        <w:t>6.2 For Portfolio Managers and Institutional Investors</w:t>
      </w:r>
    </w:p>
    <w:p w14:paraId="0242294B"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 xml:space="preserve">The </w:t>
      </w:r>
      <w:r w:rsidRPr="00C5265D">
        <w:rPr>
          <w:rFonts w:ascii="Times New Roman" w:eastAsia="Times New Roman" w:hAnsi="Times New Roman" w:cs="Times New Roman"/>
          <w:b/>
          <w:bCs/>
          <w:sz w:val="24"/>
          <w:szCs w:val="24"/>
          <w:lang w:eastAsia="en-IN"/>
        </w:rPr>
        <w:t>non-significant beta results directly challenge single-factor CAPM-based portfolio construction</w:t>
      </w:r>
      <w:r w:rsidRPr="00C5265D">
        <w:rPr>
          <w:rFonts w:ascii="Times New Roman" w:eastAsia="Times New Roman" w:hAnsi="Times New Roman" w:cs="Times New Roman"/>
          <w:sz w:val="24"/>
          <w:szCs w:val="24"/>
          <w:lang w:eastAsia="en-IN"/>
        </w:rPr>
        <w:t xml:space="preserve">. Since the Medium-beta portfolio delivered superior risk-adjusted returns to both Low- and High-beta portfolios, managers relying on beta alone to size positions or construct "high-beta, high-alpha" strategies may be </w:t>
      </w:r>
      <w:proofErr w:type="spellStart"/>
      <w:r w:rsidRPr="00C5265D">
        <w:rPr>
          <w:rFonts w:ascii="Times New Roman" w:eastAsia="Times New Roman" w:hAnsi="Times New Roman" w:cs="Times New Roman"/>
          <w:sz w:val="24"/>
          <w:szCs w:val="24"/>
          <w:lang w:eastAsia="en-IN"/>
        </w:rPr>
        <w:t>mis</w:t>
      </w:r>
      <w:proofErr w:type="spellEnd"/>
      <w:r w:rsidRPr="00C5265D">
        <w:rPr>
          <w:rFonts w:ascii="Times New Roman" w:eastAsia="Times New Roman" w:hAnsi="Times New Roman" w:cs="Times New Roman"/>
          <w:sz w:val="24"/>
          <w:szCs w:val="24"/>
          <w:lang w:eastAsia="en-IN"/>
        </w:rPr>
        <w:t xml:space="preserve">-calibrating risk exposure relative to actual reward. This aligns with the growing institutional adoption of </w:t>
      </w:r>
      <w:r w:rsidRPr="00C5265D">
        <w:rPr>
          <w:rFonts w:ascii="Times New Roman" w:eastAsia="Times New Roman" w:hAnsi="Times New Roman" w:cs="Times New Roman"/>
          <w:b/>
          <w:bCs/>
          <w:sz w:val="24"/>
          <w:szCs w:val="24"/>
          <w:lang w:eastAsia="en-IN"/>
        </w:rPr>
        <w:t>low-volatility and minimum-variance strategies</w:t>
      </w:r>
      <w:r w:rsidRPr="00C5265D">
        <w:rPr>
          <w:rFonts w:ascii="Times New Roman" w:eastAsia="Times New Roman" w:hAnsi="Times New Roman" w:cs="Times New Roman"/>
          <w:sz w:val="24"/>
          <w:szCs w:val="24"/>
          <w:lang w:eastAsia="en-IN"/>
        </w:rPr>
        <w:t>, which explicitly exploit the empirical breakdown of the beta-return relationship documented here and in the broader literature (</w:t>
      </w:r>
      <w:proofErr w:type="spellStart"/>
      <w:r w:rsidRPr="00C5265D">
        <w:rPr>
          <w:rFonts w:ascii="Times New Roman" w:eastAsia="Times New Roman" w:hAnsi="Times New Roman" w:cs="Times New Roman"/>
          <w:sz w:val="24"/>
          <w:szCs w:val="24"/>
          <w:lang w:eastAsia="en-IN"/>
        </w:rPr>
        <w:t>Frazzini</w:t>
      </w:r>
      <w:proofErr w:type="spellEnd"/>
      <w:r w:rsidRPr="00C5265D">
        <w:rPr>
          <w:rFonts w:ascii="Times New Roman" w:eastAsia="Times New Roman" w:hAnsi="Times New Roman" w:cs="Times New Roman"/>
          <w:sz w:val="24"/>
          <w:szCs w:val="24"/>
          <w:lang w:eastAsia="en-IN"/>
        </w:rPr>
        <w:t xml:space="preserve"> &amp; Pedersen, 2014).</w:t>
      </w:r>
    </w:p>
    <w:p w14:paraId="3F36DEDD"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 xml:space="preserve">The </w:t>
      </w:r>
      <w:r w:rsidRPr="00C5265D">
        <w:rPr>
          <w:rFonts w:ascii="Times New Roman" w:eastAsia="Times New Roman" w:hAnsi="Times New Roman" w:cs="Times New Roman"/>
          <w:b/>
          <w:bCs/>
          <w:sz w:val="24"/>
          <w:szCs w:val="24"/>
          <w:lang w:eastAsia="en-IN"/>
        </w:rPr>
        <w:t xml:space="preserve">size effect's stronger showing under </w:t>
      </w:r>
      <w:proofErr w:type="spellStart"/>
      <w:r w:rsidRPr="00C5265D">
        <w:rPr>
          <w:rFonts w:ascii="Times New Roman" w:eastAsia="Times New Roman" w:hAnsi="Times New Roman" w:cs="Times New Roman"/>
          <w:b/>
          <w:bCs/>
          <w:sz w:val="24"/>
          <w:szCs w:val="24"/>
          <w:lang w:eastAsia="en-IN"/>
        </w:rPr>
        <w:t>Fama-MacBeth</w:t>
      </w:r>
      <w:proofErr w:type="spellEnd"/>
      <w:r w:rsidRPr="00C5265D">
        <w:rPr>
          <w:rFonts w:ascii="Times New Roman" w:eastAsia="Times New Roman" w:hAnsi="Times New Roman" w:cs="Times New Roman"/>
          <w:b/>
          <w:bCs/>
          <w:sz w:val="24"/>
          <w:szCs w:val="24"/>
          <w:lang w:eastAsia="en-IN"/>
        </w:rPr>
        <w:t xml:space="preserve"> than under simple portfolio sorts</w:t>
      </w:r>
      <w:r w:rsidRPr="00C5265D">
        <w:rPr>
          <w:rFonts w:ascii="Times New Roman" w:eastAsia="Times New Roman" w:hAnsi="Times New Roman" w:cs="Times New Roman"/>
          <w:sz w:val="24"/>
          <w:szCs w:val="24"/>
          <w:lang w:eastAsia="en-IN"/>
        </w:rPr>
        <w:t xml:space="preserve"> has a practical implication for how institutional research desks should test factor strategies: pooled cross-sectional regressions extract more signal from limited data than naive top-minus-bottom bucket comparisons, particularly in smaller or less liquid markets like segments of Indian mid- and small-cap equity. Fund managers evaluating factor strategies on similarly limited stock universes (e.g., sector-specific or thematic funds) should </w:t>
      </w:r>
      <w:proofErr w:type="spellStart"/>
      <w:r w:rsidRPr="00C5265D">
        <w:rPr>
          <w:rFonts w:ascii="Times New Roman" w:eastAsia="Times New Roman" w:hAnsi="Times New Roman" w:cs="Times New Roman"/>
          <w:sz w:val="24"/>
          <w:szCs w:val="24"/>
          <w:lang w:eastAsia="en-IN"/>
        </w:rPr>
        <w:t>favor</w:t>
      </w:r>
      <w:proofErr w:type="spellEnd"/>
      <w:r w:rsidRPr="00C5265D">
        <w:rPr>
          <w:rFonts w:ascii="Times New Roman" w:eastAsia="Times New Roman" w:hAnsi="Times New Roman" w:cs="Times New Roman"/>
          <w:sz w:val="24"/>
          <w:szCs w:val="24"/>
          <w:lang w:eastAsia="en-IN"/>
        </w:rPr>
        <w:t xml:space="preserve"> cross-sectional regression-based factor testing over simple bucket sorts when sample sizes are constrained.</w:t>
      </w:r>
    </w:p>
    <w:p w14:paraId="37109C1B" w14:textId="77777777" w:rsidR="00411509" w:rsidRPr="00C5265D" w:rsidRDefault="00411509" w:rsidP="00C5265D">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5265D">
        <w:rPr>
          <w:rFonts w:ascii="Times New Roman" w:eastAsia="Times New Roman" w:hAnsi="Times New Roman" w:cs="Times New Roman"/>
          <w:b/>
          <w:bCs/>
          <w:sz w:val="24"/>
          <w:szCs w:val="24"/>
          <w:lang w:eastAsia="en-IN"/>
        </w:rPr>
        <w:t>6.3 For Investment Banking and Equity Research Applications</w:t>
      </w:r>
    </w:p>
    <w:p w14:paraId="13417DCB"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lastRenderedPageBreak/>
        <w:t>For students or professionals oriented toward IB and equity research roles, this study reinforces several practically relevant lessons:</w:t>
      </w:r>
    </w:p>
    <w:p w14:paraId="5283A13F" w14:textId="77777777" w:rsidR="00411509" w:rsidRPr="00C5265D" w:rsidRDefault="00411509" w:rsidP="00C5265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Valuation multiples (P/E) alone are unreliable predictors of forward returns</w:t>
      </w:r>
      <w:r w:rsidRPr="00C5265D">
        <w:rPr>
          <w:rFonts w:ascii="Times New Roman" w:eastAsia="Times New Roman" w:hAnsi="Times New Roman" w:cs="Times New Roman"/>
          <w:sz w:val="24"/>
          <w:szCs w:val="24"/>
          <w:lang w:eastAsia="en-IN"/>
        </w:rPr>
        <w:t xml:space="preserve"> — equity research reports that lean heavily on P/E comparisons without adjusting for growth (e.g., PEG ratio) or sector context may be building weak investment theses.</w:t>
      </w:r>
    </w:p>
    <w:p w14:paraId="1ECDD930" w14:textId="77777777" w:rsidR="00411509" w:rsidRPr="00C5265D" w:rsidRDefault="00411509" w:rsidP="00C5265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Beta-based risk framing in pitch books and DCF models should be applied cautiously</w:t>
      </w:r>
      <w:r w:rsidRPr="00C5265D">
        <w:rPr>
          <w:rFonts w:ascii="Times New Roman" w:eastAsia="Times New Roman" w:hAnsi="Times New Roman" w:cs="Times New Roman"/>
          <w:sz w:val="24"/>
          <w:szCs w:val="24"/>
          <w:lang w:eastAsia="en-IN"/>
        </w:rPr>
        <w:t xml:space="preserve"> — while beta remains a standard CAPM input for cost of equity, its weak empirical link to realized returns in this sample is a reminder that it measures </w:t>
      </w:r>
      <w:r w:rsidRPr="00C5265D">
        <w:rPr>
          <w:rFonts w:ascii="Times New Roman" w:eastAsia="Times New Roman" w:hAnsi="Times New Roman" w:cs="Times New Roman"/>
          <w:i/>
          <w:iCs/>
          <w:sz w:val="24"/>
          <w:szCs w:val="24"/>
          <w:lang w:eastAsia="en-IN"/>
        </w:rPr>
        <w:t>co-movement with the market</w:t>
      </w:r>
      <w:r w:rsidRPr="00C5265D">
        <w:rPr>
          <w:rFonts w:ascii="Times New Roman" w:eastAsia="Times New Roman" w:hAnsi="Times New Roman" w:cs="Times New Roman"/>
          <w:sz w:val="24"/>
          <w:szCs w:val="24"/>
          <w:lang w:eastAsia="en-IN"/>
        </w:rPr>
        <w:t xml:space="preserve">, not necessarily </w:t>
      </w:r>
      <w:r w:rsidRPr="00C5265D">
        <w:rPr>
          <w:rFonts w:ascii="Times New Roman" w:eastAsia="Times New Roman" w:hAnsi="Times New Roman" w:cs="Times New Roman"/>
          <w:i/>
          <w:iCs/>
          <w:sz w:val="24"/>
          <w:szCs w:val="24"/>
          <w:lang w:eastAsia="en-IN"/>
        </w:rPr>
        <w:t>compensated risk</w:t>
      </w:r>
      <w:r w:rsidRPr="00C5265D">
        <w:rPr>
          <w:rFonts w:ascii="Times New Roman" w:eastAsia="Times New Roman" w:hAnsi="Times New Roman" w:cs="Times New Roman"/>
          <w:sz w:val="24"/>
          <w:szCs w:val="24"/>
          <w:lang w:eastAsia="en-IN"/>
        </w:rPr>
        <w:t>.</w:t>
      </w:r>
    </w:p>
    <w:p w14:paraId="5A11BE1C" w14:textId="77777777" w:rsidR="00411509" w:rsidRPr="00C5265D" w:rsidRDefault="00411509" w:rsidP="00C5265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b/>
          <w:bCs/>
          <w:sz w:val="24"/>
          <w:szCs w:val="24"/>
          <w:lang w:eastAsia="en-IN"/>
        </w:rPr>
        <w:t>Size as a factor remains one of the more robust, replicable anomalies</w:t>
      </w:r>
      <w:r w:rsidRPr="00C5265D">
        <w:rPr>
          <w:rFonts w:ascii="Times New Roman" w:eastAsia="Times New Roman" w:hAnsi="Times New Roman" w:cs="Times New Roman"/>
          <w:sz w:val="24"/>
          <w:szCs w:val="24"/>
          <w:lang w:eastAsia="en-IN"/>
        </w:rPr>
        <w:t xml:space="preserve"> even in emerging markets like India, useful context for those pitching small/mid-cap ideas or building factor-based equity strategies in an AM/HF context.</w:t>
      </w:r>
    </w:p>
    <w:p w14:paraId="75B7106F" w14:textId="77777777" w:rsidR="00411509" w:rsidRPr="00C5265D" w:rsidRDefault="00411509" w:rsidP="00C5265D">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5265D">
        <w:rPr>
          <w:rFonts w:ascii="Times New Roman" w:eastAsia="Times New Roman" w:hAnsi="Times New Roman" w:cs="Times New Roman"/>
          <w:b/>
          <w:bCs/>
          <w:sz w:val="24"/>
          <w:szCs w:val="24"/>
          <w:lang w:eastAsia="en-IN"/>
        </w:rPr>
        <w:t>6.4 Portfolio Construction Takeaway</w:t>
      </w:r>
    </w:p>
    <w:p w14:paraId="0AFE717B" w14:textId="77777777" w:rsidR="00411509" w:rsidRPr="00C5265D" w:rsidRDefault="00411509" w:rsidP="00C5265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5D">
        <w:rPr>
          <w:rFonts w:ascii="Times New Roman" w:eastAsia="Times New Roman" w:hAnsi="Times New Roman" w:cs="Times New Roman"/>
          <w:sz w:val="24"/>
          <w:szCs w:val="24"/>
          <w:lang w:eastAsia="en-IN"/>
        </w:rPr>
        <w:t xml:space="preserve">Combining the three findings suggests a </w:t>
      </w:r>
      <w:r w:rsidRPr="00C5265D">
        <w:rPr>
          <w:rFonts w:ascii="Times New Roman" w:eastAsia="Times New Roman" w:hAnsi="Times New Roman" w:cs="Times New Roman"/>
          <w:b/>
          <w:bCs/>
          <w:sz w:val="24"/>
          <w:szCs w:val="24"/>
          <w:lang w:eastAsia="en-IN"/>
        </w:rPr>
        <w:t>tilted multi-factor approach</w:t>
      </w:r>
      <w:r w:rsidRPr="00C5265D">
        <w:rPr>
          <w:rFonts w:ascii="Times New Roman" w:eastAsia="Times New Roman" w:hAnsi="Times New Roman" w:cs="Times New Roman"/>
          <w:sz w:val="24"/>
          <w:szCs w:val="24"/>
          <w:lang w:eastAsia="en-IN"/>
        </w:rPr>
        <w:t xml:space="preserve"> — modestly overweighting smaller-cap, moderate-beta stocks — may offer a more balanced risk-adjusted return profile than any single-factor strategy tested individually, though this composite strategy was not directly tested in this study and would be a natural extension (see Section 7). Importantly, given the statistical insignificance of the beta and value results, investors should treat these as </w:t>
      </w:r>
      <w:r w:rsidRPr="00C5265D">
        <w:rPr>
          <w:rFonts w:ascii="Times New Roman" w:eastAsia="Times New Roman" w:hAnsi="Times New Roman" w:cs="Times New Roman"/>
          <w:b/>
          <w:bCs/>
          <w:sz w:val="24"/>
          <w:szCs w:val="24"/>
          <w:lang w:eastAsia="en-IN"/>
        </w:rPr>
        <w:t>directional signals for further research</w:t>
      </w:r>
      <w:r w:rsidRPr="00C5265D">
        <w:rPr>
          <w:rFonts w:ascii="Times New Roman" w:eastAsia="Times New Roman" w:hAnsi="Times New Roman" w:cs="Times New Roman"/>
          <w:sz w:val="24"/>
          <w:szCs w:val="24"/>
          <w:lang w:eastAsia="en-IN"/>
        </w:rPr>
        <w:t xml:space="preserve"> rather than as standalone, statistically validated trading rules.</w:t>
      </w:r>
    </w:p>
    <w:p w14:paraId="16D24EAB" w14:textId="6D5E2F84" w:rsidR="00411509" w:rsidRPr="00C5265D" w:rsidRDefault="00411509" w:rsidP="00C5265D">
      <w:pPr>
        <w:jc w:val="both"/>
        <w:rPr>
          <w:rFonts w:ascii="Times New Roman" w:hAnsi="Times New Roman" w:cs="Times New Roman"/>
          <w:sz w:val="24"/>
          <w:szCs w:val="24"/>
        </w:rPr>
      </w:pPr>
    </w:p>
    <w:p w14:paraId="1D20A82D" w14:textId="77777777" w:rsidR="00411509" w:rsidRPr="00C5265D" w:rsidRDefault="00411509" w:rsidP="00C5265D">
      <w:pPr>
        <w:pStyle w:val="Heading2"/>
        <w:jc w:val="both"/>
        <w:rPr>
          <w:sz w:val="28"/>
          <w:szCs w:val="24"/>
        </w:rPr>
      </w:pPr>
      <w:r w:rsidRPr="00C5265D">
        <w:rPr>
          <w:sz w:val="28"/>
          <w:szCs w:val="24"/>
        </w:rPr>
        <w:t>7. Conclusion</w:t>
      </w:r>
    </w:p>
    <w:p w14:paraId="08E086B7" w14:textId="77777777" w:rsidR="00411509" w:rsidRPr="00C5265D" w:rsidRDefault="00411509" w:rsidP="00C5265D">
      <w:pPr>
        <w:pStyle w:val="NormalWeb"/>
        <w:jc w:val="both"/>
      </w:pPr>
      <w:r w:rsidRPr="00C5265D">
        <w:t xml:space="preserve">This study examined whether three well-established investment attributes — market capitalization, beta, and P/E ratio — explain cross-sectional portfolio returns in a sample of 39 non-financial Nifty stocks over 2016–2025. Using </w:t>
      </w:r>
      <w:proofErr w:type="spellStart"/>
      <w:r w:rsidRPr="00C5265D">
        <w:t>tercile</w:t>
      </w:r>
      <w:proofErr w:type="spellEnd"/>
      <w:r w:rsidRPr="00C5265D">
        <w:t xml:space="preserve"> portfolio sorts and </w:t>
      </w:r>
      <w:proofErr w:type="spellStart"/>
      <w:r w:rsidRPr="00C5265D">
        <w:t>Fama-MacBeth</w:t>
      </w:r>
      <w:proofErr w:type="spellEnd"/>
      <w:r w:rsidRPr="00C5265D">
        <w:t xml:space="preserve"> cross-sectional regressions, the results offer </w:t>
      </w:r>
      <w:r w:rsidRPr="00C5265D">
        <w:rPr>
          <w:rStyle w:val="Strong"/>
        </w:rPr>
        <w:t>partial support for the size effect</w:t>
      </w:r>
      <w:r w:rsidRPr="00C5265D">
        <w:t xml:space="preserve">, with smaller-cap stocks showing consistently higher Sharpe ratios and a statistically significant negative size coefficient (p = 0.0202), though the simple bucket t-test fell short of significance. The </w:t>
      </w:r>
      <w:r w:rsidRPr="00C5265D">
        <w:rPr>
          <w:rStyle w:val="Strong"/>
        </w:rPr>
        <w:t>beta findings weakly echo the low-volatility anomaly</w:t>
      </w:r>
      <w:r w:rsidRPr="00C5265D">
        <w:t xml:space="preserve">, with no reliable evidence that higher beta was proportionally rewarded, while the </w:t>
      </w:r>
      <w:r w:rsidRPr="00C5265D">
        <w:rPr>
          <w:rStyle w:val="Strong"/>
        </w:rPr>
        <w:t>value effect found no statistical support</w:t>
      </w:r>
      <w:r w:rsidRPr="00C5265D">
        <w:t>, contradicting classical theory and likely reflecting the growth-</w:t>
      </w:r>
      <w:proofErr w:type="spellStart"/>
      <w:r w:rsidRPr="00C5265D">
        <w:t>favoring</w:t>
      </w:r>
      <w:proofErr w:type="spellEnd"/>
      <w:r w:rsidRPr="00C5265D">
        <w:t xml:space="preserve"> market regime of the sample period.</w:t>
      </w:r>
    </w:p>
    <w:p w14:paraId="289CCF15" w14:textId="77777777" w:rsidR="00411509" w:rsidRPr="00C5265D" w:rsidRDefault="00411509" w:rsidP="00C5265D">
      <w:pPr>
        <w:pStyle w:val="NormalWeb"/>
        <w:jc w:val="both"/>
      </w:pPr>
      <w:r w:rsidRPr="00C5265D">
        <w:t xml:space="preserve">Despite its modest scale, this study contributes recent, India-specific empirical evidence on classic asset-pricing anomalies, and demonstrates the practical value of applying </w:t>
      </w:r>
      <w:proofErr w:type="spellStart"/>
      <w:r w:rsidRPr="00C5265D">
        <w:t>Fama-MacBeth</w:t>
      </w:r>
      <w:proofErr w:type="spellEnd"/>
      <w:r w:rsidRPr="00C5265D">
        <w:t xml:space="preserve"> regressions over simple portfolio sorts when working with limited stock universes — a methodological lesson as relevant as the substantive findings themselves.</w:t>
      </w:r>
    </w:p>
    <w:p w14:paraId="22C11FBD" w14:textId="77777777" w:rsidR="00411509" w:rsidRPr="00C5265D" w:rsidRDefault="00411509" w:rsidP="00C5265D">
      <w:pPr>
        <w:pStyle w:val="NormalWeb"/>
        <w:jc w:val="both"/>
      </w:pPr>
      <w:r w:rsidRPr="00C5265D">
        <w:rPr>
          <w:rStyle w:val="Strong"/>
        </w:rPr>
        <w:t>Future research</w:t>
      </w:r>
      <w:r w:rsidRPr="00C5265D">
        <w:t xml:space="preserve"> could extend this analysis by (1) expanding the stock universe beyond 39 firms to improve statistical power, (2) incorporating a composite multi-factor portfolio combining size, beta, and value signals, (3) using book-to-market alongside P/E for a more robust value measure, and (4) testing across a longer sample period spanning multiple market cycles to assess the stability of these anomalies over time.</w:t>
      </w:r>
    </w:p>
    <w:p w14:paraId="65EB5798" w14:textId="77777777" w:rsidR="00411509" w:rsidRPr="00C5265D" w:rsidRDefault="00411509" w:rsidP="00C5265D">
      <w:pPr>
        <w:jc w:val="both"/>
        <w:rPr>
          <w:rFonts w:ascii="Times New Roman" w:hAnsi="Times New Roman" w:cs="Times New Roman"/>
          <w:sz w:val="24"/>
          <w:szCs w:val="24"/>
        </w:rPr>
      </w:pPr>
    </w:p>
    <w:sectPr w:rsidR="00411509" w:rsidRPr="00C5265D" w:rsidSect="00C411DF">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C50B58" w14:textId="77777777" w:rsidR="00AC59AF" w:rsidRDefault="00AC59AF" w:rsidP="00AC59AF">
      <w:pPr>
        <w:spacing w:after="0" w:line="240" w:lineRule="auto"/>
      </w:pPr>
      <w:r>
        <w:separator/>
      </w:r>
    </w:p>
  </w:endnote>
  <w:endnote w:type="continuationSeparator" w:id="0">
    <w:p w14:paraId="53CA4DB3" w14:textId="77777777" w:rsidR="00AC59AF" w:rsidRDefault="00AC59AF" w:rsidP="00AC5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BC7066" w14:textId="77777777" w:rsidR="00AC59AF" w:rsidRDefault="00AC59AF" w:rsidP="00AC59AF">
      <w:pPr>
        <w:spacing w:after="0" w:line="240" w:lineRule="auto"/>
      </w:pPr>
      <w:r>
        <w:separator/>
      </w:r>
    </w:p>
  </w:footnote>
  <w:footnote w:type="continuationSeparator" w:id="0">
    <w:p w14:paraId="660B36C1" w14:textId="77777777" w:rsidR="00AC59AF" w:rsidRDefault="00AC59AF" w:rsidP="00AC5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22378E" w14:textId="2A08FCBD" w:rsidR="00AC59AF" w:rsidRPr="00AC59AF" w:rsidRDefault="00AC59AF" w:rsidP="00AC59AF">
    <w:pPr>
      <w:pStyle w:val="Header"/>
      <w:jc w:val="center"/>
    </w:pPr>
    <w:r w:rsidRPr="00AC59AF">
      <w:rPr>
        <w:rFonts w:ascii="Times New Roman" w:eastAsia="Times New Roman" w:hAnsi="Times New Roman" w:cs="Times New Roman"/>
        <w:b/>
        <w:bCs/>
        <w:sz w:val="28"/>
        <w:szCs w:val="24"/>
        <w:lang w:eastAsia="en-IN"/>
      </w:rPr>
      <w:t>Investment Attributes and Portfolio Performance: An Empirical Analysis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6822F7"/>
    <w:multiLevelType w:val="multilevel"/>
    <w:tmpl w:val="37DA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F0BED"/>
    <w:multiLevelType w:val="multilevel"/>
    <w:tmpl w:val="821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77228"/>
    <w:multiLevelType w:val="multilevel"/>
    <w:tmpl w:val="73A4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23FBF"/>
    <w:multiLevelType w:val="multilevel"/>
    <w:tmpl w:val="824A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3561E0"/>
    <w:multiLevelType w:val="multilevel"/>
    <w:tmpl w:val="1396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B2E"/>
    <w:rsid w:val="002B7A45"/>
    <w:rsid w:val="00384B2E"/>
    <w:rsid w:val="003B161C"/>
    <w:rsid w:val="00411509"/>
    <w:rsid w:val="00564367"/>
    <w:rsid w:val="00AC59AF"/>
    <w:rsid w:val="00C411DF"/>
    <w:rsid w:val="00C5265D"/>
    <w:rsid w:val="00DD10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E65308F"/>
  <w15:chartTrackingRefBased/>
  <w15:docId w15:val="{9ADA7404-9CA9-47B8-BC98-301795E6C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1150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1150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150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11509"/>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41150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11509"/>
    <w:rPr>
      <w:b/>
      <w:bCs/>
    </w:rPr>
  </w:style>
  <w:style w:type="character" w:styleId="Emphasis">
    <w:name w:val="Emphasis"/>
    <w:basedOn w:val="DefaultParagraphFont"/>
    <w:uiPriority w:val="20"/>
    <w:qFormat/>
    <w:rsid w:val="00411509"/>
    <w:rPr>
      <w:i/>
      <w:iCs/>
    </w:rPr>
  </w:style>
  <w:style w:type="table" w:styleId="GridTable3-Accent6">
    <w:name w:val="Grid Table 3 Accent 6"/>
    <w:basedOn w:val="TableNormal"/>
    <w:uiPriority w:val="48"/>
    <w:rsid w:val="00DD10D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3-Accent5">
    <w:name w:val="Grid Table 3 Accent 5"/>
    <w:basedOn w:val="TableNormal"/>
    <w:uiPriority w:val="48"/>
    <w:rsid w:val="00DD10D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4">
    <w:name w:val="Grid Table 3 Accent 4"/>
    <w:basedOn w:val="TableNormal"/>
    <w:uiPriority w:val="48"/>
    <w:rsid w:val="00DD10D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2-Accent2">
    <w:name w:val="Grid Table 2 Accent 2"/>
    <w:basedOn w:val="TableNormal"/>
    <w:uiPriority w:val="47"/>
    <w:rsid w:val="00DD10DA"/>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eader">
    <w:name w:val="header"/>
    <w:basedOn w:val="Normal"/>
    <w:link w:val="HeaderChar"/>
    <w:uiPriority w:val="99"/>
    <w:unhideWhenUsed/>
    <w:rsid w:val="00C41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11DF"/>
  </w:style>
  <w:style w:type="paragraph" w:styleId="Footer">
    <w:name w:val="footer"/>
    <w:basedOn w:val="Normal"/>
    <w:link w:val="FooterChar"/>
    <w:uiPriority w:val="99"/>
    <w:unhideWhenUsed/>
    <w:rsid w:val="00AC59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59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462523">
      <w:bodyDiv w:val="1"/>
      <w:marLeft w:val="0"/>
      <w:marRight w:val="0"/>
      <w:marTop w:val="0"/>
      <w:marBottom w:val="0"/>
      <w:divBdr>
        <w:top w:val="none" w:sz="0" w:space="0" w:color="auto"/>
        <w:left w:val="none" w:sz="0" w:space="0" w:color="auto"/>
        <w:bottom w:val="none" w:sz="0" w:space="0" w:color="auto"/>
        <w:right w:val="none" w:sz="0" w:space="0" w:color="auto"/>
      </w:divBdr>
    </w:div>
    <w:div w:id="852691952">
      <w:bodyDiv w:val="1"/>
      <w:marLeft w:val="0"/>
      <w:marRight w:val="0"/>
      <w:marTop w:val="0"/>
      <w:marBottom w:val="0"/>
      <w:divBdr>
        <w:top w:val="none" w:sz="0" w:space="0" w:color="auto"/>
        <w:left w:val="none" w:sz="0" w:space="0" w:color="auto"/>
        <w:bottom w:val="none" w:sz="0" w:space="0" w:color="auto"/>
        <w:right w:val="none" w:sz="0" w:space="0" w:color="auto"/>
      </w:divBdr>
    </w:div>
    <w:div w:id="1001659191">
      <w:bodyDiv w:val="1"/>
      <w:marLeft w:val="0"/>
      <w:marRight w:val="0"/>
      <w:marTop w:val="0"/>
      <w:marBottom w:val="0"/>
      <w:divBdr>
        <w:top w:val="none" w:sz="0" w:space="0" w:color="auto"/>
        <w:left w:val="none" w:sz="0" w:space="0" w:color="auto"/>
        <w:bottom w:val="none" w:sz="0" w:space="0" w:color="auto"/>
        <w:right w:val="none" w:sz="0" w:space="0" w:color="auto"/>
      </w:divBdr>
    </w:div>
    <w:div w:id="1088623515">
      <w:bodyDiv w:val="1"/>
      <w:marLeft w:val="0"/>
      <w:marRight w:val="0"/>
      <w:marTop w:val="0"/>
      <w:marBottom w:val="0"/>
      <w:divBdr>
        <w:top w:val="none" w:sz="0" w:space="0" w:color="auto"/>
        <w:left w:val="none" w:sz="0" w:space="0" w:color="auto"/>
        <w:bottom w:val="none" w:sz="0" w:space="0" w:color="auto"/>
        <w:right w:val="none" w:sz="0" w:space="0" w:color="auto"/>
      </w:divBdr>
    </w:div>
    <w:div w:id="1460105602">
      <w:bodyDiv w:val="1"/>
      <w:marLeft w:val="0"/>
      <w:marRight w:val="0"/>
      <w:marTop w:val="0"/>
      <w:marBottom w:val="0"/>
      <w:divBdr>
        <w:top w:val="none" w:sz="0" w:space="0" w:color="auto"/>
        <w:left w:val="none" w:sz="0" w:space="0" w:color="auto"/>
        <w:bottom w:val="none" w:sz="0" w:space="0" w:color="auto"/>
        <w:right w:val="none" w:sz="0" w:space="0" w:color="auto"/>
      </w:divBdr>
    </w:div>
    <w:div w:id="176680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4065</Words>
  <Characters>23176</Characters>
  <Application>Microsoft Office Word</Application>
  <DocSecurity>0</DocSecurity>
  <Lines>193</Lines>
  <Paragraphs>54</Paragraphs>
  <ScaleCrop>false</ScaleCrop>
  <Company/>
  <LinksUpToDate>false</LinksUpToDate>
  <CharactersWithSpaces>27187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 MBA 1C 2025 PRAKALYA GANESH</dc:creator>
  <cp:keywords/>
  <dc:description/>
  <cp:lastModifiedBy>RR MBA 1C 2025 PRAKALYA GANESH</cp:lastModifiedBy>
  <cp:revision>9</cp:revision>
  <dcterms:created xsi:type="dcterms:W3CDTF">2026-08-26T18:48:00Z</dcterms:created>
  <dcterms:modified xsi:type="dcterms:W3CDTF">2026-08-27T14:36:00Z</dcterms:modified>
</cp:coreProperties>
</file>