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80" w:before="200"/>
        <w:jc w:val="center"/>
      </w:pPr>
      <w:r>
        <w:rPr>
          <w:b/>
          <w:bCs/>
          <w:color w:val="1F3D7A"/>
          <w:sz w:val="40"/>
          <w:szCs w:val="40"/>
        </w:rPr>
        <w:t xml:space="preserve">Week 1 Dataset Analysis Report</w:t>
      </w:r>
    </w:p>
    <w:p>
      <w:pPr>
        <w:spacing w:after="80" w:before="40"/>
        <w:jc w:val="center"/>
      </w:pPr>
      <w:r>
        <w:rPr>
          <w:b/>
          <w:bCs/>
          <w:color w:val="2C4FAA"/>
          <w:sz w:val="28"/>
          <w:szCs w:val="28"/>
        </w:rPr>
        <w:t xml:space="preserve">Employee Attrition Prediction System Using Machine Learning</w:t>
      </w:r>
    </w:p>
    <w:p>
      <w:pPr>
        <w:spacing w:after="40" w:before="40"/>
        <w:jc w:val="center"/>
      </w:pPr>
      <w:r>
        <w:rPr>
          <w:color w:val="444444"/>
          <w:sz w:val="22"/>
          <w:szCs w:val="22"/>
        </w:rPr>
        <w:t xml:space="preserve">B.Tech Computer Science (AI/ML)  ·  Mini-Project  ·  Week 1 Deliverable</w:t>
      </w:r>
    </w:p>
    <w:p>
      <w:pPr>
        <w:spacing w:after="160" w:before="20"/>
        <w:jc w:val="center"/>
      </w:pPr>
      <w:r>
        <w:rPr>
          <w:i/>
          <w:iCs/>
          <w:color w:val="666666"/>
          <w:sz w:val="22"/>
          <w:szCs w:val="22"/>
        </w:rPr>
        <w:t xml:space="preserve">Academic Year 2026–27  ·  October 2026</w:t>
      </w:r>
    </w:p>
    <w:p>
      <w:pPr>
        <w:pBdr>
          <w:bottom w:val="single" w:color="1F3D7A" w:sz="8" w:space="4"/>
        </w:pBdr>
        <w:spacing w:after="320" w:before="40"/>
      </w:pPr>
    </w:p>
    <w:p>
      <w:pPr>
        <w:pStyle w:val="Heading1"/>
        <w:spacing w:after="120" w:before="300"/>
      </w:pPr>
      <w:r>
        <w:t xml:space="preserve">1.  Dataset Overview</w:t>
      </w:r>
    </w:p>
    <w:p>
      <w:pPr>
        <w:spacing w:after="120" w:before="60"/>
        <w:jc w:val="both"/>
      </w:pPr>
      <w:r>
        <w:rPr>
          <w:b w:val="false"/>
          <w:bCs w:val="false"/>
          <w:i w:val="false"/>
          <w:iCs w:val="false"/>
          <w:color w:val="222222"/>
          <w:sz w:val="22"/>
          <w:szCs w:val="22"/>
        </w:rPr>
        <w:t xml:space="preserve">The table below summarises the key properties of the dataset, verified directly against the uploaded CSV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shd w:fill="1F3D7A" w:color="auto" w:val="clear"/>
            <w:tcMar>
              <w:top w:type="dxa" w:w="80"/>
              <w:left w:type="dxa" w:w="130"/>
              <w:bottom w:type="dxa" w:w="80"/>
              <w:right w:type="dxa" w:w="130"/>
            </w:tcMar>
          </w:tcPr>
          <w:p>
            <w:pPr>
              <w:spacing w:after="30" w:before="30"/>
              <w:jc w:val="left"/>
            </w:pPr>
            <w:r>
              <w:rPr>
                <w:b/>
                <w:bCs/>
                <w:i w:val="false"/>
                <w:iCs w:val="false"/>
                <w:color w:val="FFFFFF"/>
                <w:sz w:val="20"/>
                <w:szCs w:val="20"/>
              </w:rPr>
              <w:t xml:space="preserve">Field</w:t>
            </w:r>
          </w:p>
        </w:tc>
        <w:tc>
          <w:tcPr>
            <w:tcW w:type="dxa" w:w="6326"/>
            <w:shd w:fill="1F3D7A" w:color="auto" w:val="clear"/>
            <w:tcMar>
              <w:top w:type="dxa" w:w="80"/>
              <w:left w:type="dxa" w:w="130"/>
              <w:bottom w:type="dxa" w:w="80"/>
              <w:right w:type="dxa" w:w="130"/>
            </w:tcMar>
          </w:tcPr>
          <w:p>
            <w:pPr>
              <w:spacing w:after="30" w:before="30"/>
              <w:jc w:val="left"/>
            </w:pPr>
            <w:r>
              <w:rPr>
                <w:b/>
                <w:bCs/>
                <w:i w:val="false"/>
                <w:iCs w:val="false"/>
                <w:color w:val="FFFFFF"/>
                <w:sz w:val="20"/>
                <w:szCs w:val="20"/>
              </w:rPr>
              <w:t xml:space="preserve">Details</w:t>
            </w:r>
          </w:p>
        </w:tc>
      </w:tr>
      <w:tr>
        <w:tc>
          <w:tcPr>
            <w:tcW w:type="dxa" w:w="27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Dataset Name</w:t>
            </w:r>
          </w:p>
        </w:tc>
        <w:tc>
          <w:tcPr>
            <w:tcW w:type="dxa" w:w="63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IBM HR Analytics Employee Attrition &amp; Performance Dataset</w:t>
            </w:r>
          </w:p>
        </w:tc>
      </w:tr>
      <w:tr>
        <w:tc>
          <w:tcPr>
            <w:tcW w:type="dxa" w:w="27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Filename</w:t>
            </w:r>
          </w:p>
        </w:tc>
        <w:tc>
          <w:tcPr>
            <w:tcW w:type="dxa" w:w="63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WA_Fn-UseC_-HR-Employee-Attrition.csv</w:t>
            </w:r>
          </w:p>
        </w:tc>
      </w:tr>
      <w:tr>
        <w:tc>
          <w:tcPr>
            <w:tcW w:type="dxa" w:w="27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File Format</w:t>
            </w:r>
          </w:p>
        </w:tc>
        <w:tc>
          <w:tcPr>
            <w:tcW w:type="dxa" w:w="63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Comma-Separated Values (.csv)</w:t>
            </w:r>
          </w:p>
        </w:tc>
      </w:tr>
      <w:tr>
        <w:tc>
          <w:tcPr>
            <w:tcW w:type="dxa" w:w="27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Dataset Source</w:t>
            </w:r>
          </w:p>
          <w:p>
            <w:pPr>
              <w:spacing w:after="30" w:before="30"/>
              <w:jc w:val="left"/>
            </w:pPr>
            <w:r>
              <w:rPr>
                <w:b w:val="false"/>
                <w:bCs w:val="false"/>
                <w:i w:val="false"/>
                <w:iCs w:val="false"/>
                <w:color w:val="000000"/>
                <w:sz w:val="20"/>
                <w:szCs w:val="20"/>
              </w:rPr>
              <w:t xml:space="preserve">(Public Distribution)</w:t>
            </w:r>
          </w:p>
        </w:tc>
        <w:tc>
          <w:tcPr>
            <w:tcW w:type="dxa" w:w="63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Kaggle — IBM HR Analytics Employee Attrition &amp; Performance</w:t>
            </w:r>
          </w:p>
          <w:p>
            <w:pPr>
              <w:spacing w:after="30" w:before="30"/>
              <w:jc w:val="left"/>
            </w:pPr>
            <w:r>
              <w:rPr>
                <w:b w:val="false"/>
                <w:bCs w:val="false"/>
                <w:i w:val="false"/>
                <w:iCs w:val="false"/>
                <w:color w:val="000000"/>
                <w:sz w:val="20"/>
                <w:szCs w:val="20"/>
              </w:rPr>
              <w:t xml:space="preserve">https://www.kaggle.com/datasets/pavansubhasht/ibm-hr-analytics-attrition-dataset</w:t>
            </w:r>
          </w:p>
          <w:p>
            <w:pPr>
              <w:spacing w:after="30" w:before="30"/>
              <w:jc w:val="left"/>
            </w:pPr>
            <w:r>
              <w:rPr>
                <w:b w:val="false"/>
                <w:bCs w:val="false"/>
                <w:i w:val="false"/>
                <w:iCs w:val="false"/>
                <w:color w:val="000000"/>
                <w:sz w:val="20"/>
                <w:szCs w:val="20"/>
              </w:rPr>
              <w:t xml:space="preserve"/>
            </w:r>
          </w:p>
          <w:p>
            <w:pPr>
              <w:spacing w:after="30" w:before="30"/>
              <w:jc w:val="left"/>
            </w:pPr>
            <w:r>
              <w:rPr>
                <w:b w:val="false"/>
                <w:bCs w:val="false"/>
                <w:i w:val="false"/>
                <w:iCs w:val="false"/>
                <w:color w:val="000000"/>
                <w:sz w:val="20"/>
                <w:szCs w:val="20"/>
              </w:rPr>
              <w:t xml:space="preserve">Note: The filename follows IBM Watson Analytics fictional use-case naming conventions. The dataset is widely attributed to IBM; however, the original primary-source URL could not be independently verified. The Kaggle listing is the confirmed public distribution point.</w:t>
            </w:r>
          </w:p>
        </w:tc>
      </w:tr>
      <w:tr>
        <w:tc>
          <w:tcPr>
            <w:tcW w:type="dxa" w:w="27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Number of Records</w:t>
            </w:r>
          </w:p>
        </w:tc>
        <w:tc>
          <w:tcPr>
            <w:tcW w:type="dxa" w:w="63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1,470  (verified from uploaded CSV)</w:t>
            </w:r>
          </w:p>
        </w:tc>
      </w:tr>
      <w:tr>
        <w:tc>
          <w:tcPr>
            <w:tcW w:type="dxa" w:w="27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Number of Columns</w:t>
            </w:r>
          </w:p>
        </w:tc>
        <w:tc>
          <w:tcPr>
            <w:tcW w:type="dxa" w:w="63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35  (verified from uploaded CSV)</w:t>
            </w:r>
          </w:p>
        </w:tc>
      </w:tr>
      <w:tr>
        <w:tc>
          <w:tcPr>
            <w:tcW w:type="dxa" w:w="27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Dataset Purpose</w:t>
            </w:r>
          </w:p>
        </w:tc>
        <w:tc>
          <w:tcPr>
            <w:tcW w:type="dxa" w:w="63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Study and model patterns associated with employee attrition in a fictional organisation; supports supervised binary-classification experiments for HR analytics research.</w:t>
            </w:r>
          </w:p>
        </w:tc>
      </w:tr>
      <w:tr>
        <w:tc>
          <w:tcPr>
            <w:tcW w:type="dxa" w:w="27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Target Variable</w:t>
            </w:r>
          </w:p>
        </w:tc>
        <w:tc>
          <w:tcPr>
            <w:tcW w:type="dxa" w:w="63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Attrition  (“Yes” = employee left,  “No” = employee stayed)</w:t>
            </w:r>
          </w:p>
        </w:tc>
      </w:tr>
    </w:tbl>
    <w:p>
      <w:pPr>
        <w:spacing w:after="0" w:before="0"/>
      </w:pPr>
    </w:p>
    <w:p>
      <w:pPr>
        <w:pStyle w:val="Heading1"/>
        <w:spacing w:after="120" w:before="300"/>
      </w:pPr>
      <w:r>
        <w:t xml:space="preserve">2.  Dataset Features and Categories</w:t>
      </w:r>
    </w:p>
    <w:p>
      <w:pPr>
        <w:spacing w:after="80" w:before="80"/>
        <w:jc w:val="both"/>
      </w:pPr>
      <w:r>
        <w:rPr>
          <w:b w:val="false"/>
          <w:bCs w:val="false"/>
          <w:i w:val="false"/>
          <w:iCs w:val="false"/>
          <w:color w:val="222222"/>
          <w:sz w:val="22"/>
          <w:szCs w:val="22"/>
        </w:rPr>
        <w:t xml:space="preserve">The dataset contains 35 columns spanning employee demographics, job characteristics, compensation, working conditions, satisfaction scores, and tenure history. Selected representative features are organised by category in the table below. All column names have been verified against the uploaded CSV.</w:t>
      </w:r>
    </w:p>
    <w:p>
      <w:pPr>
        <w:spacing w:after="80" w:before="80"/>
        <w:jc w:val="both"/>
      </w:pPr>
      <w:r>
        <w:rPr>
          <w:b w:val="false"/>
          <w:bCs w:val="false"/>
          <w:i w:val="false"/>
          <w:iCs w:val="false"/>
          <w:color w:val="222222"/>
          <w:sz w:val="22"/>
          <w:szCs w:val="22"/>
        </w:rPr>
        <w:t xml:space="preserve">Features are either numerical (e.g., Age, MonthlyIncome) or categorical (e.g., Department, Gender, OverTime). Categorical variables require encoding—such as label encoding or one-hot encoding—before they can be used as inputs to machine-learning algorithms. The choice of encoding method will be determined during preprocessing in Week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400"/>
        <w:gridCol w:w="3626"/>
      </w:tblGrid>
      <w:tr>
        <w:trPr>
          <w:tblHeader/>
        </w:trPr>
        <w:tc>
          <w:tcPr>
            <w:tcW w:type="dxa" w:w="2100"/>
            <w:shd w:fill="1F3D7A" w:color="auto" w:val="clear"/>
            <w:tcMar>
              <w:top w:type="dxa" w:w="80"/>
              <w:left w:type="dxa" w:w="130"/>
              <w:bottom w:type="dxa" w:w="80"/>
              <w:right w:type="dxa" w:w="130"/>
            </w:tcMar>
          </w:tcPr>
          <w:p>
            <w:pPr>
              <w:spacing w:after="30" w:before="30"/>
              <w:jc w:val="left"/>
            </w:pPr>
            <w:r>
              <w:rPr>
                <w:b/>
                <w:bCs/>
                <w:i w:val="false"/>
                <w:iCs w:val="false"/>
                <w:color w:val="FFFFFF"/>
                <w:sz w:val="20"/>
                <w:szCs w:val="20"/>
              </w:rPr>
              <w:t xml:space="preserve">Category</w:t>
            </w:r>
          </w:p>
        </w:tc>
        <w:tc>
          <w:tcPr>
            <w:tcW w:type="dxa" w:w="1900"/>
            <w:shd w:fill="1F3D7A" w:color="auto" w:val="clear"/>
            <w:tcMar>
              <w:top w:type="dxa" w:w="80"/>
              <w:left w:type="dxa" w:w="130"/>
              <w:bottom w:type="dxa" w:w="80"/>
              <w:right w:type="dxa" w:w="130"/>
            </w:tcMar>
          </w:tcPr>
          <w:p>
            <w:pPr>
              <w:spacing w:after="30" w:before="30"/>
              <w:jc w:val="left"/>
            </w:pPr>
            <w:r>
              <w:rPr>
                <w:b/>
                <w:bCs/>
                <w:i w:val="false"/>
                <w:iCs w:val="false"/>
                <w:color w:val="FFFFFF"/>
                <w:sz w:val="20"/>
                <w:szCs w:val="20"/>
              </w:rPr>
              <w:t xml:space="preserve">Feature(s)</w:t>
            </w:r>
          </w:p>
        </w:tc>
        <w:tc>
          <w:tcPr>
            <w:tcW w:type="dxa" w:w="1400"/>
            <w:shd w:fill="1F3D7A" w:color="auto" w:val="clear"/>
            <w:tcMar>
              <w:top w:type="dxa" w:w="80"/>
              <w:left w:type="dxa" w:w="130"/>
              <w:bottom w:type="dxa" w:w="80"/>
              <w:right w:type="dxa" w:w="130"/>
            </w:tcMar>
          </w:tcPr>
          <w:p>
            <w:pPr>
              <w:spacing w:after="30" w:before="30"/>
              <w:jc w:val="left"/>
            </w:pPr>
            <w:r>
              <w:rPr>
                <w:b/>
                <w:bCs/>
                <w:i w:val="false"/>
                <w:iCs w:val="false"/>
                <w:color w:val="FFFFFF"/>
                <w:sz w:val="20"/>
                <w:szCs w:val="20"/>
              </w:rPr>
              <w:t xml:space="preserve">Type</w:t>
            </w:r>
          </w:p>
        </w:tc>
        <w:tc>
          <w:tcPr>
            <w:tcW w:type="dxa" w:w="3626"/>
            <w:shd w:fill="1F3D7A" w:color="auto" w:val="clear"/>
            <w:tcMar>
              <w:top w:type="dxa" w:w="80"/>
              <w:left w:type="dxa" w:w="130"/>
              <w:bottom w:type="dxa" w:w="80"/>
              <w:right w:type="dxa" w:w="130"/>
            </w:tcMar>
          </w:tcPr>
          <w:p>
            <w:pPr>
              <w:spacing w:after="30" w:before="30"/>
              <w:jc w:val="left"/>
            </w:pPr>
            <w:r>
              <w:rPr>
                <w:b/>
                <w:bCs/>
                <w:i w:val="false"/>
                <w:iCs w:val="false"/>
                <w:color w:val="FFFFFF"/>
                <w:sz w:val="20"/>
                <w:szCs w:val="20"/>
              </w:rPr>
              <w:t xml:space="preserve">Relevance to Attrition</w:t>
            </w:r>
          </w:p>
        </w:tc>
      </w:tr>
      <w:tr>
        <w:tc>
          <w:tcPr>
            <w:tcW w:type="dxa" w:w="21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Employee Demographics</w:t>
            </w:r>
          </w:p>
        </w:tc>
        <w:tc>
          <w:tcPr>
            <w:tcW w:type="dxa" w:w="19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Age</w:t>
            </w:r>
          </w:p>
        </w:tc>
        <w:tc>
          <w:tcPr>
            <w:tcW w:type="dxa" w:w="14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Numerical</w:t>
            </w:r>
          </w:p>
        </w:tc>
        <w:tc>
          <w:tcPr>
            <w:tcW w:type="dxa" w:w="36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Career stage and life priorities vary with age; may correlate with turnover likelihood.</w:t>
            </w:r>
          </w:p>
        </w:tc>
      </w:tr>
      <w:tr>
        <w:tc>
          <w:tcPr>
            <w:tcW w:type="dxa" w:w="21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Employee Demographics</w:t>
            </w:r>
          </w:p>
        </w:tc>
        <w:tc>
          <w:tcPr>
            <w:tcW w:type="dxa" w:w="19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Gender</w:t>
            </w:r>
          </w:p>
        </w:tc>
        <w:tc>
          <w:tcPr>
            <w:tcW w:type="dxa" w:w="14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Categorical</w:t>
            </w:r>
          </w:p>
        </w:tc>
        <w:tc>
          <w:tcPr>
            <w:tcW w:type="dxa" w:w="36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May reveal demographic patterns in retention; must be used with fairness considerations.</w:t>
            </w:r>
          </w:p>
        </w:tc>
      </w:tr>
      <w:tr>
        <w:tc>
          <w:tcPr>
            <w:tcW w:type="dxa" w:w="21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Employee Demographics</w:t>
            </w:r>
          </w:p>
        </w:tc>
        <w:tc>
          <w:tcPr>
            <w:tcW w:type="dxa" w:w="19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MaritalStatus</w:t>
            </w:r>
          </w:p>
        </w:tc>
        <w:tc>
          <w:tcPr>
            <w:tcW w:type="dxa" w:w="14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Categorical</w:t>
            </w:r>
          </w:p>
        </w:tc>
        <w:tc>
          <w:tcPr>
            <w:tcW w:type="dxa" w:w="36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Single employees may have fewer personal constraints and higher mobility.</w:t>
            </w:r>
          </w:p>
        </w:tc>
      </w:tr>
      <w:tr>
        <w:tc>
          <w:tcPr>
            <w:tcW w:type="dxa" w:w="21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Job &amp; Organisational</w:t>
            </w:r>
          </w:p>
        </w:tc>
        <w:tc>
          <w:tcPr>
            <w:tcW w:type="dxa" w:w="19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Department</w:t>
            </w:r>
          </w:p>
        </w:tc>
        <w:tc>
          <w:tcPr>
            <w:tcW w:type="dxa" w:w="14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Categorical</w:t>
            </w:r>
          </w:p>
        </w:tc>
        <w:tc>
          <w:tcPr>
            <w:tcW w:type="dxa" w:w="36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Attrition rates typically differ across departments owing to workload and culture differences.</w:t>
            </w:r>
          </w:p>
        </w:tc>
      </w:tr>
      <w:tr>
        <w:tc>
          <w:tcPr>
            <w:tcW w:type="dxa" w:w="21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Job &amp; Organisational</w:t>
            </w:r>
          </w:p>
        </w:tc>
        <w:tc>
          <w:tcPr>
            <w:tcW w:type="dxa" w:w="19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JobRole</w:t>
            </w:r>
          </w:p>
        </w:tc>
        <w:tc>
          <w:tcPr>
            <w:tcW w:type="dxa" w:w="14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Categorical</w:t>
            </w:r>
          </w:p>
        </w:tc>
        <w:tc>
          <w:tcPr>
            <w:tcW w:type="dxa" w:w="36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Role-specific pressures and career-growth opportunities influence leaving decisions.</w:t>
            </w:r>
          </w:p>
        </w:tc>
      </w:tr>
      <w:tr>
        <w:tc>
          <w:tcPr>
            <w:tcW w:type="dxa" w:w="21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Job &amp; Organisational</w:t>
            </w:r>
          </w:p>
        </w:tc>
        <w:tc>
          <w:tcPr>
            <w:tcW w:type="dxa" w:w="19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JobLevel</w:t>
            </w:r>
          </w:p>
        </w:tc>
        <w:tc>
          <w:tcPr>
            <w:tcW w:type="dxa" w:w="14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Ordinal (1–5)</w:t>
            </w:r>
          </w:p>
        </w:tc>
        <w:tc>
          <w:tcPr>
            <w:tcW w:type="dxa" w:w="36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Senior employees may be more invested in the organisation and less likely to leave.</w:t>
            </w:r>
          </w:p>
        </w:tc>
      </w:tr>
      <w:tr>
        <w:tc>
          <w:tcPr>
            <w:tcW w:type="dxa" w:w="21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Compensation &amp; Benefits</w:t>
            </w:r>
          </w:p>
        </w:tc>
        <w:tc>
          <w:tcPr>
            <w:tcW w:type="dxa" w:w="19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MonthlyIncome</w:t>
            </w:r>
          </w:p>
        </w:tc>
        <w:tc>
          <w:tcPr>
            <w:tcW w:type="dxa" w:w="14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Numerical</w:t>
            </w:r>
          </w:p>
        </w:tc>
        <w:tc>
          <w:tcPr>
            <w:tcW w:type="dxa" w:w="36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Below-market compensation is a commonly cited driver of voluntary attrition.</w:t>
            </w:r>
          </w:p>
        </w:tc>
      </w:tr>
      <w:tr>
        <w:tc>
          <w:tcPr>
            <w:tcW w:type="dxa" w:w="21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Compensation &amp; Benefits</w:t>
            </w:r>
          </w:p>
        </w:tc>
        <w:tc>
          <w:tcPr>
            <w:tcW w:type="dxa" w:w="19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PercentSalaryHike</w:t>
            </w:r>
          </w:p>
        </w:tc>
        <w:tc>
          <w:tcPr>
            <w:tcW w:type="dxa" w:w="14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Numerical</w:t>
            </w:r>
          </w:p>
        </w:tc>
        <w:tc>
          <w:tcPr>
            <w:tcW w:type="dxa" w:w="36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Recent pay increases signal recognition and may improve short-term retention.</w:t>
            </w:r>
          </w:p>
        </w:tc>
      </w:tr>
      <w:tr>
        <w:tc>
          <w:tcPr>
            <w:tcW w:type="dxa" w:w="21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Compensation &amp; Benefits</w:t>
            </w:r>
          </w:p>
        </w:tc>
        <w:tc>
          <w:tcPr>
            <w:tcW w:type="dxa" w:w="19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StockOptionLevel</w:t>
            </w:r>
          </w:p>
        </w:tc>
        <w:tc>
          <w:tcPr>
            <w:tcW w:type="dxa" w:w="14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Ordinal (0–3)</w:t>
            </w:r>
          </w:p>
        </w:tc>
        <w:tc>
          <w:tcPr>
            <w:tcW w:type="dxa" w:w="36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Equity ownership can align employee interests with the organisation’s long-term performance.</w:t>
            </w:r>
          </w:p>
        </w:tc>
      </w:tr>
      <w:tr>
        <w:tc>
          <w:tcPr>
            <w:tcW w:type="dxa" w:w="21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Work Conditions</w:t>
            </w:r>
          </w:p>
        </w:tc>
        <w:tc>
          <w:tcPr>
            <w:tcW w:type="dxa" w:w="19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OverTime (Yes/No)</w:t>
            </w:r>
          </w:p>
        </w:tc>
        <w:tc>
          <w:tcPr>
            <w:tcW w:type="dxa" w:w="14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Categorical</w:t>
            </w:r>
          </w:p>
        </w:tc>
        <w:tc>
          <w:tcPr>
            <w:tcW w:type="dxa" w:w="36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Frequent overtime is strongly associated with burnout and elevated attrition risk.</w:t>
            </w:r>
          </w:p>
        </w:tc>
      </w:tr>
      <w:tr>
        <w:tc>
          <w:tcPr>
            <w:tcW w:type="dxa" w:w="21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Work Conditions</w:t>
            </w:r>
          </w:p>
        </w:tc>
        <w:tc>
          <w:tcPr>
            <w:tcW w:type="dxa" w:w="19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BusinessTravel</w:t>
            </w:r>
          </w:p>
        </w:tc>
        <w:tc>
          <w:tcPr>
            <w:tcW w:type="dxa" w:w="14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Categorical</w:t>
            </w:r>
          </w:p>
        </w:tc>
        <w:tc>
          <w:tcPr>
            <w:tcW w:type="dxa" w:w="36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Frequent travel can create work-life imbalance and increase dissatisfaction.</w:t>
            </w:r>
          </w:p>
        </w:tc>
      </w:tr>
      <w:tr>
        <w:tc>
          <w:tcPr>
            <w:tcW w:type="dxa" w:w="21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Work Conditions</w:t>
            </w:r>
          </w:p>
        </w:tc>
        <w:tc>
          <w:tcPr>
            <w:tcW w:type="dxa" w:w="19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DistanceFromHome</w:t>
            </w:r>
          </w:p>
        </w:tc>
        <w:tc>
          <w:tcPr>
            <w:tcW w:type="dxa" w:w="14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Numerical</w:t>
            </w:r>
          </w:p>
        </w:tc>
        <w:tc>
          <w:tcPr>
            <w:tcW w:type="dxa" w:w="36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Longer commutes may increase fatigue and dissatisfaction over time.</w:t>
            </w:r>
          </w:p>
        </w:tc>
      </w:tr>
      <w:tr>
        <w:tc>
          <w:tcPr>
            <w:tcW w:type="dxa" w:w="21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Satisfaction &amp; Experience</w:t>
            </w:r>
          </w:p>
        </w:tc>
        <w:tc>
          <w:tcPr>
            <w:tcW w:type="dxa" w:w="19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JobSatisfaction</w:t>
            </w:r>
          </w:p>
          <w:p>
            <w:pPr>
              <w:spacing w:after="30" w:before="30"/>
              <w:jc w:val="left"/>
            </w:pPr>
            <w:r>
              <w:rPr>
                <w:b w:val="false"/>
                <w:bCs w:val="false"/>
                <w:i w:val="false"/>
                <w:iCs w:val="false"/>
                <w:color w:val="000000"/>
                <w:sz w:val="20"/>
                <w:szCs w:val="20"/>
              </w:rPr>
              <w:t xml:space="preserve">EnvironmentSatisfaction</w:t>
            </w:r>
          </w:p>
          <w:p>
            <w:pPr>
              <w:spacing w:after="30" w:before="30"/>
              <w:jc w:val="left"/>
            </w:pPr>
            <w:r>
              <w:rPr>
                <w:b w:val="false"/>
                <w:bCs w:val="false"/>
                <w:i w:val="false"/>
                <w:iCs w:val="false"/>
                <w:color w:val="000000"/>
                <w:sz w:val="20"/>
                <w:szCs w:val="20"/>
              </w:rPr>
              <w:t xml:space="preserve">WorkLifeBalance</w:t>
            </w:r>
          </w:p>
        </w:tc>
        <w:tc>
          <w:tcPr>
            <w:tcW w:type="dxa" w:w="14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Ordinal (1–4 scale each)</w:t>
            </w:r>
          </w:p>
        </w:tc>
        <w:tc>
          <w:tcPr>
            <w:tcW w:type="dxa" w:w="36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Low satisfaction scores across these dimensions are direct indicators of resignation intent.</w:t>
            </w:r>
          </w:p>
        </w:tc>
      </w:tr>
      <w:tr>
        <w:tc>
          <w:tcPr>
            <w:tcW w:type="dxa" w:w="21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Experience &amp; Tenure</w:t>
            </w:r>
          </w:p>
        </w:tc>
        <w:tc>
          <w:tcPr>
            <w:tcW w:type="dxa" w:w="19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TotalWorkingYears</w:t>
            </w:r>
          </w:p>
          <w:p>
            <w:pPr>
              <w:spacing w:after="30" w:before="30"/>
              <w:jc w:val="left"/>
            </w:pPr>
            <w:r>
              <w:rPr>
                <w:b w:val="false"/>
                <w:bCs w:val="false"/>
                <w:i w:val="false"/>
                <w:iCs w:val="false"/>
                <w:color w:val="000000"/>
                <w:sz w:val="20"/>
                <w:szCs w:val="20"/>
              </w:rPr>
              <w:t xml:space="preserve">YearsAtCompany</w:t>
            </w:r>
          </w:p>
          <w:p>
            <w:pPr>
              <w:spacing w:after="30" w:before="30"/>
              <w:jc w:val="left"/>
            </w:pPr>
            <w:r>
              <w:rPr>
                <w:b w:val="false"/>
                <w:bCs w:val="false"/>
                <w:i w:val="false"/>
                <w:iCs w:val="false"/>
                <w:color w:val="000000"/>
                <w:sz w:val="20"/>
                <w:szCs w:val="20"/>
              </w:rPr>
              <w:t xml:space="preserve">YearsInCurrentRole</w:t>
            </w:r>
          </w:p>
          <w:p>
            <w:pPr>
              <w:spacing w:after="30" w:before="30"/>
              <w:jc w:val="left"/>
            </w:pPr>
            <w:r>
              <w:rPr>
                <w:b w:val="false"/>
                <w:bCs w:val="false"/>
                <w:i w:val="false"/>
                <w:iCs w:val="false"/>
                <w:color w:val="000000"/>
                <w:sz w:val="20"/>
                <w:szCs w:val="20"/>
              </w:rPr>
              <w:t xml:space="preserve">YearsSinceLastPromotion</w:t>
            </w:r>
          </w:p>
        </w:tc>
        <w:tc>
          <w:tcPr>
            <w:tcW w:type="dxa" w:w="14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Numerical</w:t>
            </w:r>
          </w:p>
        </w:tc>
        <w:tc>
          <w:tcPr>
            <w:tcW w:type="dxa" w:w="36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Long tenure without promotion may indicate stagnation; overall experience level reflects stability expectations.</w:t>
            </w:r>
          </w:p>
        </w:tc>
      </w:tr>
      <w:tr>
        <w:tc>
          <w:tcPr>
            <w:tcW w:type="dxa" w:w="21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Prediction Target</w:t>
            </w:r>
          </w:p>
        </w:tc>
        <w:tc>
          <w:tcPr>
            <w:tcW w:type="dxa" w:w="19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Attrition</w:t>
            </w:r>
          </w:p>
        </w:tc>
        <w:tc>
          <w:tcPr>
            <w:tcW w:type="dxa" w:w="14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Categorical</w:t>
            </w:r>
          </w:p>
          <w:p>
            <w:pPr>
              <w:spacing w:after="30" w:before="30"/>
              <w:jc w:val="left"/>
            </w:pPr>
            <w:r>
              <w:rPr>
                <w:b w:val="false"/>
                <w:bCs w:val="false"/>
                <w:i w:val="false"/>
                <w:iCs w:val="false"/>
                <w:color w:val="000000"/>
                <w:sz w:val="20"/>
                <w:szCs w:val="20"/>
              </w:rPr>
              <w:t xml:space="preserve">(Yes / No)</w:t>
            </w:r>
          </w:p>
        </w:tc>
        <w:tc>
          <w:tcPr>
            <w:tcW w:type="dxa" w:w="36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Binary target variable. All remaining 34 columns are candidate input features subject to further analysis.</w:t>
            </w:r>
          </w:p>
        </w:tc>
      </w:tr>
    </w:tbl>
    <w:p>
      <w:pPr>
        <w:spacing w:after="80" w:before="100"/>
        <w:jc w:val="both"/>
      </w:pPr>
      <w:r>
        <w:rPr>
          <w:b w:val="false"/>
          <w:bCs w:val="false"/>
          <w:i w:val="false"/>
          <w:iCs w:val="false"/>
          <w:color w:val="222222"/>
          <w:sz w:val="22"/>
          <w:szCs w:val="22"/>
        </w:rPr>
        <w:t xml:space="preserve">Other columns in the dataset include EducationField, HourlyRate, DailyRate, MonthlyRate, NumCompaniesWorked, PerformanceRating, RelationshipSatisfaction, TrainingTimesLastYear, YearsWithCurrManager, and EmployeeNumber. Three columns (EmployeeCount, Over18, StandardHours) hold a single constant value across all 1,470 records and carry no predictive information; these will be removed during preprocessing in Week 2.</w:t>
      </w:r>
    </w:p>
    <w:p>
      <w:pPr>
        <w:spacing w:after="0" w:before="0"/>
      </w:pPr>
    </w:p>
    <w:p>
      <w:pPr>
        <w:pStyle w:val="Heading1"/>
        <w:spacing w:after="120" w:before="300"/>
      </w:pPr>
      <w:r>
        <w:t xml:space="preserve">3.  Project Objective and Prediction Target</w:t>
      </w:r>
    </w:p>
    <w:p>
      <w:pPr>
        <w:spacing w:after="80" w:before="80"/>
        <w:jc w:val="both"/>
      </w:pPr>
      <w:r>
        <w:rPr>
          <w:b w:val="false"/>
          <w:bCs w:val="false"/>
          <w:i w:val="false"/>
          <w:iCs w:val="false"/>
          <w:color w:val="222222"/>
          <w:sz w:val="22"/>
          <w:szCs w:val="22"/>
        </w:rPr>
        <w:t xml:space="preserve">The central business question this project addresses is:</w:t>
      </w:r>
    </w:p>
    <w:p>
      <w:pPr>
        <w:spacing w:after="80" w:before="80"/>
        <w:jc w:val="both"/>
      </w:pPr>
      <w:r>
        <w:rPr>
          <w:i/>
          <w:iCs/>
          <w:color w:val="1F3D7A"/>
          <w:sz w:val="22"/>
          <w:szCs w:val="22"/>
        </w:rPr>
        <w:t xml:space="preserve">“Can historical employee information be used to identify patterns associated with employee attrition and predict whether an employee falls into the Attrition = Yes or Attrition = No category?”</w:t>
      </w:r>
    </w:p>
    <w:p>
      <w:pPr>
        <w:spacing w:after="80" w:before="80"/>
        <w:jc w:val="both"/>
      </w:pPr>
      <w:r>
        <w:rPr>
          <w:b w:val="false"/>
          <w:bCs w:val="false"/>
          <w:i w:val="false"/>
          <w:iCs w:val="false"/>
          <w:color w:val="222222"/>
          <w:sz w:val="22"/>
          <w:szCs w:val="22"/>
        </w:rPr>
        <w:t xml:space="preserve">The objective is to train supervised binary-classification models on the available employee features so that, given an employee’s recorded attributes, the model outputs a prediction of whether that employee is likely to leave (Yes) or stay (No). Three algorithms are planned for subsequent stages of this project: Logistic Regression, Decision Tree, and Random Forest.</w:t>
      </w:r>
    </w:p>
    <w:p>
      <w:pPr>
        <w:spacing w:after="80" w:before="80"/>
        <w:jc w:val="both"/>
      </w:pPr>
      <w:r>
        <w:rPr>
          <w:b w:val="false"/>
          <w:bCs w:val="false"/>
          <w:i w:val="false"/>
          <w:iCs w:val="false"/>
          <w:color w:val="222222"/>
          <w:sz w:val="22"/>
          <w:szCs w:val="22"/>
        </w:rPr>
        <w:t xml:space="preserve">Employee attrition is costly for organisations. Recruitment, onboarding, and the loss of institutional knowledge represent significant financial and operational burdens. A predictive model enables HR teams to study which patterns correlate with higher attrition risk in historical data and to investigate where targeted retention efforts may be most warranted.</w:t>
      </w:r>
    </w:p>
    <w:p>
      <w:pPr>
        <w:spacing w:after="80" w:before="80"/>
        <w:jc w:val="both"/>
      </w:pPr>
      <w:r>
        <w:rPr>
          <w:b w:val="false"/>
          <w:bCs w:val="false"/>
          <w:i w:val="false"/>
          <w:iCs w:val="false"/>
          <w:color w:val="222222"/>
          <w:sz w:val="22"/>
          <w:szCs w:val="22"/>
        </w:rPr>
        <w:t xml:space="preserve">It is important to note that the model supports data-driven inquiry; it does not establish the actual reasons an individual employee chose to leave, nor does it guarantee predictions about any specific individual’s future behaviour. Model outputs should be treated as one input among many in a broader decision-making process—never as a definitive verdict on any employee.</w:t>
      </w:r>
    </w:p>
    <w:p>
      <w:pPr>
        <w:spacing w:after="80" w:before="80"/>
        <w:jc w:val="both"/>
      </w:pPr>
      <w:r>
        <w:rPr>
          <w:b w:val="false"/>
          <w:bCs w:val="false"/>
          <w:i w:val="false"/>
          <w:iCs w:val="false"/>
          <w:color w:val="222222"/>
          <w:sz w:val="22"/>
          <w:szCs w:val="22"/>
        </w:rPr>
        <w:t xml:space="preserve">The target variable is Attrition. The remaining 34 columns are candidate input features; suitable features will be identified and finalised after exploratory analysis and preprocessing in Week 2.</w:t>
      </w:r>
    </w:p>
    <w:p>
      <w:pPr>
        <w:spacing w:after="0" w:before="0"/>
      </w:pPr>
    </w:p>
    <w:p>
      <w:pPr>
        <w:pStyle w:val="Heading1"/>
        <w:spacing w:after="120" w:before="300"/>
      </w:pPr>
      <w:r>
        <w:t xml:space="preserve">4.  Initial Data Quality Checks</w:t>
      </w:r>
    </w:p>
    <w:p>
      <w:pPr>
        <w:spacing w:after="100" w:before="60"/>
        <w:jc w:val="both"/>
      </w:pPr>
      <w:r>
        <w:rPr>
          <w:b w:val="false"/>
          <w:bCs w:val="false"/>
          <w:i w:val="false"/>
          <w:iCs w:val="false"/>
          <w:color w:val="222222"/>
          <w:sz w:val="22"/>
          <w:szCs w:val="22"/>
        </w:rPr>
        <w:t xml:space="preserve">The uploaded CSV file was inspected programmatically using Python. The results below are verified from the actual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1F3D7A" w:color="auto" w:val="clear"/>
            <w:tcMar>
              <w:top w:type="dxa" w:w="80"/>
              <w:left w:type="dxa" w:w="130"/>
              <w:bottom w:type="dxa" w:w="80"/>
              <w:right w:type="dxa" w:w="130"/>
            </w:tcMar>
          </w:tcPr>
          <w:p>
            <w:pPr>
              <w:spacing w:after="30" w:before="30"/>
              <w:jc w:val="left"/>
            </w:pPr>
            <w:r>
              <w:rPr>
                <w:b/>
                <w:bCs/>
                <w:i w:val="false"/>
                <w:iCs w:val="false"/>
                <w:color w:val="FFFFFF"/>
                <w:sz w:val="20"/>
                <w:szCs w:val="20"/>
              </w:rPr>
              <w:t xml:space="preserve">Quality Check</w:t>
            </w:r>
          </w:p>
        </w:tc>
        <w:tc>
          <w:tcPr>
            <w:tcW w:type="dxa" w:w="5626"/>
            <w:shd w:fill="1F3D7A" w:color="auto" w:val="clear"/>
            <w:tcMar>
              <w:top w:type="dxa" w:w="80"/>
              <w:left w:type="dxa" w:w="130"/>
              <w:bottom w:type="dxa" w:w="80"/>
              <w:right w:type="dxa" w:w="130"/>
            </w:tcMar>
          </w:tcPr>
          <w:p>
            <w:pPr>
              <w:spacing w:after="30" w:before="30"/>
              <w:jc w:val="left"/>
            </w:pPr>
            <w:r>
              <w:rPr>
                <w:b/>
                <w:bCs/>
                <w:i w:val="false"/>
                <w:iCs w:val="false"/>
                <w:color w:val="FFFFFF"/>
                <w:sz w:val="20"/>
                <w:szCs w:val="20"/>
              </w:rPr>
              <w:t xml:space="preserve">Verified Result</w:t>
            </w:r>
          </w:p>
        </w:tc>
      </w:tr>
      <w:tr>
        <w:tc>
          <w:tcPr>
            <w:tcW w:type="dxa" w:w="34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Total records</w:t>
            </w:r>
          </w:p>
        </w:tc>
        <w:tc>
          <w:tcPr>
            <w:tcW w:type="dxa" w:w="56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1,470</w:t>
            </w:r>
          </w:p>
        </w:tc>
      </w:tr>
      <w:tr>
        <w:tc>
          <w:tcPr>
            <w:tcW w:type="dxa" w:w="34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Total columns</w:t>
            </w:r>
          </w:p>
        </w:tc>
        <w:tc>
          <w:tcPr>
            <w:tcW w:type="dxa" w:w="56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35</w:t>
            </w:r>
          </w:p>
        </w:tc>
      </w:tr>
      <w:tr>
        <w:tc>
          <w:tcPr>
            <w:tcW w:type="dxa" w:w="34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Missing values</w:t>
            </w:r>
          </w:p>
        </w:tc>
        <w:tc>
          <w:tcPr>
            <w:tcW w:type="dxa" w:w="56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None — no blank or null values detected in any column</w:t>
            </w:r>
          </w:p>
        </w:tc>
      </w:tr>
      <w:tr>
        <w:tc>
          <w:tcPr>
            <w:tcW w:type="dxa" w:w="34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Duplicate rows</w:t>
            </w:r>
          </w:p>
        </w:tc>
        <w:tc>
          <w:tcPr>
            <w:tcW w:type="dxa" w:w="56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0 — no fully duplicate records found</w:t>
            </w:r>
          </w:p>
        </w:tc>
      </w:tr>
      <w:tr>
        <w:tc>
          <w:tcPr>
            <w:tcW w:type="dxa" w:w="34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Target column (Attrition) unique values</w:t>
            </w:r>
          </w:p>
        </w:tc>
        <w:tc>
          <w:tcPr>
            <w:tcW w:type="dxa" w:w="56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Two values only: “Yes” and “No” — no unexpected entries</w:t>
            </w:r>
          </w:p>
        </w:tc>
      </w:tr>
      <w:tr>
        <w:tc>
          <w:tcPr>
            <w:tcW w:type="dxa" w:w="34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Constant-value columns</w:t>
            </w:r>
          </w:p>
        </w:tc>
        <w:tc>
          <w:tcPr>
            <w:tcW w:type="dxa" w:w="56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3 columns: EmployeeCount (all = 1), Over18 (all = “Y”), StandardHours (all = 80).</w:t>
            </w:r>
          </w:p>
          <w:p>
            <w:pPr>
              <w:spacing w:after="30" w:before="30"/>
              <w:jc w:val="left"/>
            </w:pPr>
            <w:r>
              <w:rPr>
                <w:b w:val="false"/>
                <w:bCs w:val="false"/>
                <w:i w:val="false"/>
                <w:iCs w:val="false"/>
                <w:color w:val="000000"/>
                <w:sz w:val="20"/>
                <w:szCs w:val="20"/>
              </w:rPr>
              <w:t xml:space="preserve">These carry no predictive information and will be removed before modelling.</w:t>
            </w:r>
          </w:p>
        </w:tc>
      </w:tr>
      <w:tr>
        <w:tc>
          <w:tcPr>
            <w:tcW w:type="dxa" w:w="34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Other issues identified</w:t>
            </w:r>
          </w:p>
        </w:tc>
        <w:tc>
          <w:tcPr>
            <w:tcW w:type="dxa" w:w="56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None at this stage. Outlier detection, distribution analysis, and feature-level checks will be conducted in Week 2.</w:t>
            </w:r>
          </w:p>
        </w:tc>
      </w:tr>
    </w:tbl>
    <w:p>
      <w:pPr>
        <w:spacing w:after="0" w:before="0"/>
      </w:pPr>
    </w:p>
    <w:p>
      <w:pPr>
        <w:spacing w:after="60" w:before="100"/>
        <w:jc w:val="left"/>
      </w:pPr>
      <w:r>
        <w:rPr>
          <w:b/>
          <w:bCs/>
          <w:i w:val="false"/>
          <w:iCs w:val="false"/>
          <w:color w:val="222222"/>
          <w:sz w:val="22"/>
          <w:szCs w:val="22"/>
        </w:rPr>
        <w:t xml:space="preserve">Table 4.1 — Attrition Distribution (verified from uploaded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726"/>
        <w:gridCol w:w="3000"/>
      </w:tblGrid>
      <w:tr>
        <w:trPr>
          <w:tblHeader/>
        </w:trPr>
        <w:tc>
          <w:tcPr>
            <w:tcW w:type="dxa" w:w="3300"/>
            <w:shd w:fill="1F3D7A" w:color="auto" w:val="clear"/>
            <w:tcMar>
              <w:top w:type="dxa" w:w="80"/>
              <w:left w:type="dxa" w:w="130"/>
              <w:bottom w:type="dxa" w:w="80"/>
              <w:right w:type="dxa" w:w="130"/>
            </w:tcMar>
          </w:tcPr>
          <w:p>
            <w:pPr>
              <w:spacing w:after="30" w:before="30"/>
              <w:jc w:val="left"/>
            </w:pPr>
            <w:r>
              <w:rPr>
                <w:b/>
                <w:bCs/>
                <w:i w:val="false"/>
                <w:iCs w:val="false"/>
                <w:color w:val="FFFFFF"/>
                <w:sz w:val="20"/>
                <w:szCs w:val="20"/>
              </w:rPr>
              <w:t xml:space="preserve">Attrition Category</w:t>
            </w:r>
          </w:p>
        </w:tc>
        <w:tc>
          <w:tcPr>
            <w:tcW w:type="dxa" w:w="2726"/>
            <w:shd w:fill="1F3D7A" w:color="auto" w:val="clear"/>
            <w:tcMar>
              <w:top w:type="dxa" w:w="80"/>
              <w:left w:type="dxa" w:w="130"/>
              <w:bottom w:type="dxa" w:w="80"/>
              <w:right w:type="dxa" w:w="130"/>
            </w:tcMar>
          </w:tcPr>
          <w:p>
            <w:pPr>
              <w:spacing w:after="30" w:before="30"/>
              <w:jc w:val="left"/>
            </w:pPr>
            <w:r>
              <w:rPr>
                <w:b/>
                <w:bCs/>
                <w:i w:val="false"/>
                <w:iCs w:val="false"/>
                <w:color w:val="FFFFFF"/>
                <w:sz w:val="20"/>
                <w:szCs w:val="20"/>
              </w:rPr>
              <w:t xml:space="preserve">Count</w:t>
            </w:r>
          </w:p>
        </w:tc>
        <w:tc>
          <w:tcPr>
            <w:tcW w:type="dxa" w:w="3000"/>
            <w:shd w:fill="1F3D7A" w:color="auto" w:val="clear"/>
            <w:tcMar>
              <w:top w:type="dxa" w:w="80"/>
              <w:left w:type="dxa" w:w="130"/>
              <w:bottom w:type="dxa" w:w="80"/>
              <w:right w:type="dxa" w:w="130"/>
            </w:tcMar>
          </w:tcPr>
          <w:p>
            <w:pPr>
              <w:spacing w:after="30" w:before="30"/>
              <w:jc w:val="left"/>
            </w:pPr>
            <w:r>
              <w:rPr>
                <w:b/>
                <w:bCs/>
                <w:i w:val="false"/>
                <w:iCs w:val="false"/>
                <w:color w:val="FFFFFF"/>
                <w:sz w:val="20"/>
                <w:szCs w:val="20"/>
              </w:rPr>
              <w:t xml:space="preserve">Percentage of Total</w:t>
            </w:r>
          </w:p>
        </w:tc>
      </w:tr>
      <w:tr>
        <w:tc>
          <w:tcPr>
            <w:tcW w:type="dxa" w:w="33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Yes  (employee left the organisation)</w:t>
            </w:r>
          </w:p>
        </w:tc>
        <w:tc>
          <w:tcPr>
            <w:tcW w:type="dxa" w:w="27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237</w:t>
            </w:r>
          </w:p>
        </w:tc>
        <w:tc>
          <w:tcPr>
            <w:tcW w:type="dxa" w:w="30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16.12%</w:t>
            </w:r>
          </w:p>
        </w:tc>
      </w:tr>
      <w:tr>
        <w:tc>
          <w:tcPr>
            <w:tcW w:type="dxa" w:w="33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No   (employee stayed)</w:t>
            </w:r>
          </w:p>
        </w:tc>
        <w:tc>
          <w:tcPr>
            <w:tcW w:type="dxa" w:w="27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1,233</w:t>
            </w:r>
          </w:p>
        </w:tc>
        <w:tc>
          <w:tcPr>
            <w:tcW w:type="dxa" w:w="30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83.88%</w:t>
            </w:r>
          </w:p>
        </w:tc>
      </w:tr>
      <w:tr>
        <w:tc>
          <w:tcPr>
            <w:tcW w:type="dxa" w:w="33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Total</w:t>
            </w:r>
          </w:p>
        </w:tc>
        <w:tc>
          <w:tcPr>
            <w:tcW w:type="dxa" w:w="27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1,470</w:t>
            </w:r>
          </w:p>
        </w:tc>
        <w:tc>
          <w:tcPr>
            <w:tcW w:type="dxa" w:w="30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100.00%</w:t>
            </w:r>
          </w:p>
        </w:tc>
      </w:tr>
    </w:tbl>
    <w:p>
      <w:pPr>
        <w:spacing w:after="0" w:before="0"/>
      </w:pPr>
    </w:p>
    <w:p>
      <w:pPr>
        <w:spacing w:after="60" w:before="120"/>
        <w:jc w:val="left"/>
      </w:pPr>
      <w:r>
        <w:rPr>
          <w:b/>
          <w:bCs/>
          <w:i w:val="false"/>
          <w:iCs w:val="false"/>
          <w:color w:val="222222"/>
          <w:sz w:val="23"/>
          <w:szCs w:val="23"/>
        </w:rPr>
        <w:t xml:space="preserve">Note on Class Imbalance</w:t>
      </w:r>
    </w:p>
    <w:p>
      <w:pPr>
        <w:spacing w:after="80" w:before="80"/>
        <w:jc w:val="both"/>
      </w:pPr>
      <w:r>
        <w:rPr>
          <w:b w:val="false"/>
          <w:bCs w:val="false"/>
          <w:i w:val="false"/>
          <w:iCs w:val="false"/>
          <w:color w:val="222222"/>
          <w:sz w:val="22"/>
          <w:szCs w:val="22"/>
        </w:rPr>
        <w:t xml:space="preserve">The dataset shows a notable class imbalance: approximately 16% of records are Attrition = Yes and 84% are Attrition = No. This has an important consequence for model evaluation.</w:t>
      </w:r>
    </w:p>
    <w:p>
      <w:pPr>
        <w:spacing w:after="80" w:before="80"/>
        <w:jc w:val="both"/>
      </w:pPr>
      <w:r>
        <w:rPr>
          <w:b w:val="false"/>
          <w:bCs w:val="false"/>
          <w:i w:val="false"/>
          <w:iCs w:val="false"/>
          <w:color w:val="222222"/>
          <w:sz w:val="22"/>
          <w:szCs w:val="22"/>
        </w:rPr>
        <w:t xml:space="preserve">A naive classifier that predicts “No” for every employee—regardless of features—would achieve an accuracy of approximately 83.88% simply because the majority class dominates. Such a model would fail to identify a single at-risk employee, which is the primary task this project is designed to solve.</w:t>
      </w:r>
    </w:p>
    <w:p>
      <w:pPr>
        <w:spacing w:after="80" w:before="80"/>
        <w:jc w:val="both"/>
      </w:pPr>
      <w:r>
        <w:rPr>
          <w:b w:val="false"/>
          <w:bCs w:val="false"/>
          <w:i w:val="false"/>
          <w:iCs w:val="false"/>
          <w:color w:val="222222"/>
          <w:sz w:val="22"/>
          <w:szCs w:val="22"/>
        </w:rPr>
        <w:t xml:space="preserve">Accuracy alone is therefore not a reliable evaluation metric for this dataset. Additional metrics such as Precision, Recall, F1-score (for the Attrition = Yes class), and ROC-AUC are necessary for a meaningful assessment of model performance. Strategies for addressing class imbalance will be explored in later project stages.</w:t>
      </w:r>
    </w:p>
    <w:p>
      <w:pPr>
        <w:spacing w:after="80" w:before="80"/>
        <w:jc w:val="both"/>
      </w:pPr>
      <w:r>
        <w:rPr>
          <w:b w:val="false"/>
          <w:bCs w:val="false"/>
          <w:i/>
          <w:iCs/>
          <w:color w:val="222222"/>
          <w:sz w:val="22"/>
          <w:szCs w:val="22"/>
        </w:rPr>
        <w:t xml:space="preserve">These are initial checks only. Detailed feature-level exploration, distribution analysis, outlier detection, and preprocessing decisions will be carried out in Week 2.</w:t>
      </w:r>
    </w:p>
    <w:p>
      <w:pPr>
        <w:spacing w:after="0" w:before="0"/>
      </w:pPr>
    </w:p>
    <w:p>
      <w:pPr>
        <w:pStyle w:val="Heading1"/>
        <w:spacing w:after="120" w:before="300"/>
      </w:pPr>
      <w:r>
        <w:t xml:space="preserve">5.  Dataset Limitations and Questions for Further Investigation</w:t>
      </w:r>
    </w:p>
    <w:p>
      <w:pPr>
        <w:spacing w:after="80" w:before="80"/>
        <w:jc w:val="both"/>
      </w:pPr>
      <w:r>
        <w:rPr>
          <w:b w:val="false"/>
          <w:bCs w:val="false"/>
          <w:i w:val="false"/>
          <w:iCs w:val="false"/>
          <w:color w:val="222222"/>
          <w:sz w:val="22"/>
          <w:szCs w:val="22"/>
        </w:rPr>
        <w:t xml:space="preserve">The following limitations and considerations apply to this dataset and the planned modelling work. Where the dataset does not provide sufficient evidence to confirm a limitation definitively, the point is noted as a consideration for further investigation.</w:t>
      </w:r>
    </w:p>
    <w:p>
      <w:pPr>
        <w:spacing w:after="0" w:before="0"/>
      </w:pPr>
    </w:p>
    <w:p>
      <w:pPr>
        <w:pStyle w:val="ListParagraph"/>
        <w:numPr>
          <w:ilvl w:val="0"/>
          <w:numId w:val="2"/>
        </w:numPr>
        <w:spacing w:after="50" w:before="50"/>
      </w:pPr>
      <w:r>
        <w:rPr>
          <w:color w:val="222222"/>
          <w:sz w:val="22"/>
          <w:szCs w:val="22"/>
        </w:rPr>
        <w:t xml:space="preserve">Organisational and contextual scope: The dataset represents a single fictional organisation. Attrition patterns observed here may not generalise to real companies, other industries, or different workforce demographics. Any application of a model trained on this data to a different context requires careful validation.</w:t>
      </w:r>
    </w:p>
    <w:p>
      <w:pPr>
        <w:pStyle w:val="ListParagraph"/>
        <w:numPr>
          <w:ilvl w:val="0"/>
          <w:numId w:val="2"/>
        </w:numPr>
        <w:spacing w:after="50" w:before="50"/>
      </w:pPr>
      <w:r>
        <w:rPr>
          <w:color w:val="222222"/>
          <w:sz w:val="22"/>
          <w:szCs w:val="22"/>
        </w:rPr>
        <w:t xml:space="preserve">Limited dataset size: With 1,470 records, this is a relatively small dataset by machine-learning standards. Complex models may be prone to overfitting, and performance estimates may carry wider uncertainty than those obtained from larger datasets.</w:t>
      </w:r>
    </w:p>
    <w:p>
      <w:pPr>
        <w:pStyle w:val="ListParagraph"/>
        <w:numPr>
          <w:ilvl w:val="0"/>
          <w:numId w:val="2"/>
        </w:numPr>
        <w:spacing w:after="50" w:before="50"/>
      </w:pPr>
      <w:r>
        <w:rPr>
          <w:color w:val="222222"/>
          <w:sz w:val="22"/>
          <w:szCs w:val="22"/>
        </w:rPr>
        <w:t xml:space="preserve">Confirmed class imbalance: Approximately 16% of records belong to the minority class (Attrition = Yes). Unaddressed imbalance can bias a classifier towards the majority class, suppressing recall for the class of greatest interest.</w:t>
      </w:r>
    </w:p>
    <w:p>
      <w:pPr>
        <w:pStyle w:val="ListParagraph"/>
        <w:numPr>
          <w:ilvl w:val="0"/>
          <w:numId w:val="2"/>
        </w:numPr>
        <w:spacing w:after="50" w:before="50"/>
      </w:pPr>
      <w:r>
        <w:rPr>
          <w:color w:val="222222"/>
          <w:sz w:val="22"/>
          <w:szCs w:val="22"/>
        </w:rPr>
        <w:t xml:space="preserve">Correlation versus causation: Any patterns identified by the model represent statistical associations in historical data. A feature correlated with attrition in this dataset does not necessarily cause employees to leave. This distinction is critical when communicating findings to stakeholders.</w:t>
      </w:r>
    </w:p>
    <w:p>
      <w:pPr>
        <w:pStyle w:val="ListParagraph"/>
        <w:numPr>
          <w:ilvl w:val="0"/>
          <w:numId w:val="2"/>
        </w:numPr>
        <w:spacing w:after="50" w:before="50"/>
      </w:pPr>
      <w:r>
        <w:rPr>
          <w:color w:val="222222"/>
          <w:sz w:val="22"/>
          <w:szCs w:val="22"/>
        </w:rPr>
        <w:t xml:space="preserve">Non-informative and potentially redundant columns: Three constant-value columns have been identified (EmployeeCount, Over18, StandardHours). Additional columns may also be redundant or have negligible predictive value; this requires further investigation during feature analysis in Week 2.</w:t>
      </w:r>
    </w:p>
    <w:p>
      <w:pPr>
        <w:pStyle w:val="ListParagraph"/>
        <w:numPr>
          <w:ilvl w:val="0"/>
          <w:numId w:val="2"/>
        </w:numPr>
        <w:spacing w:after="50" w:before="50"/>
      </w:pPr>
      <w:r>
        <w:rPr>
          <w:color w:val="222222"/>
          <w:sz w:val="22"/>
          <w:szCs w:val="22"/>
        </w:rPr>
        <w:t xml:space="preserve">Fairness and responsible use: Using demographic features such as Age, Gender, and MaritalStatus in a predictive model raises fairness and privacy concerns. Any real-world deployment of such a model must be reviewed for potential discriminatory impact and must comply with applicable data-protection and employment regulations.</w:t>
      </w:r>
    </w:p>
    <w:p>
      <w:pPr>
        <w:pStyle w:val="ListParagraph"/>
        <w:numPr>
          <w:ilvl w:val="0"/>
          <w:numId w:val="2"/>
        </w:numPr>
        <w:spacing w:after="50" w:before="50"/>
      </w:pPr>
      <w:r>
        <w:rPr>
          <w:color w:val="222222"/>
          <w:sz w:val="22"/>
          <w:szCs w:val="22"/>
        </w:rPr>
        <w:t xml:space="preserve">Data currency: The dataset was collected at an unspecified point in time. Historical workforce trends may differ substantially from current conditions, and predictions based on this data may not accurately reflect contemporary labour market dynamics.</w:t>
      </w:r>
    </w:p>
    <w:p>
      <w:pPr>
        <w:spacing w:after="0" w:before="0"/>
      </w:pPr>
    </w:p>
    <w:p>
      <w:pPr>
        <w:spacing w:after="80" w:before="100"/>
        <w:jc w:val="left"/>
      </w:pPr>
      <w:r>
        <w:rPr>
          <w:b/>
          <w:bCs/>
          <w:i w:val="false"/>
          <w:iCs w:val="false"/>
          <w:color w:val="222222"/>
          <w:sz w:val="23"/>
          <w:szCs w:val="23"/>
        </w:rPr>
        <w:t xml:space="preserve">Questions to Resolve in Week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tblHeader/>
        </w:trPr>
        <w:tc>
          <w:tcPr>
            <w:tcW w:type="dxa" w:w="500"/>
            <w:shd w:fill="1F3D7A" w:color="auto" w:val="clear"/>
            <w:tcMar>
              <w:top w:type="dxa" w:w="80"/>
              <w:left w:type="dxa" w:w="130"/>
              <w:bottom w:type="dxa" w:w="80"/>
              <w:right w:type="dxa" w:w="130"/>
            </w:tcMar>
          </w:tcPr>
          <w:p>
            <w:pPr>
              <w:spacing w:after="30" w:before="30"/>
              <w:jc w:val="left"/>
            </w:pPr>
            <w:r>
              <w:rPr>
                <w:b/>
                <w:bCs/>
                <w:i w:val="false"/>
                <w:iCs w:val="false"/>
                <w:color w:val="FFFFFF"/>
                <w:sz w:val="20"/>
                <w:szCs w:val="20"/>
              </w:rPr>
              <w:t xml:space="preserve">#</w:t>
            </w:r>
          </w:p>
        </w:tc>
        <w:tc>
          <w:tcPr>
            <w:tcW w:type="dxa" w:w="8526"/>
            <w:shd w:fill="1F3D7A" w:color="auto" w:val="clear"/>
            <w:tcMar>
              <w:top w:type="dxa" w:w="80"/>
              <w:left w:type="dxa" w:w="130"/>
              <w:bottom w:type="dxa" w:w="80"/>
              <w:right w:type="dxa" w:w="130"/>
            </w:tcMar>
          </w:tcPr>
          <w:p>
            <w:pPr>
              <w:spacing w:after="30" w:before="30"/>
              <w:jc w:val="left"/>
            </w:pPr>
            <w:r>
              <w:rPr>
                <w:b/>
                <w:bCs/>
                <w:i w:val="false"/>
                <w:iCs w:val="false"/>
                <w:color w:val="FFFFFF"/>
                <w:sz w:val="20"/>
                <w:szCs w:val="20"/>
              </w:rPr>
              <w:t xml:space="preserve">Question for Week 2 Investigation</w:t>
            </w:r>
          </w:p>
        </w:tc>
      </w:tr>
      <w:tr>
        <w:tc>
          <w:tcPr>
            <w:tcW w:type="dxa" w:w="5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1</w:t>
            </w:r>
          </w:p>
        </w:tc>
        <w:tc>
          <w:tcPr>
            <w:tcW w:type="dxa" w:w="85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Which columns should be excluded before model training (e.g., EmployeeCount, Over18, StandardHours, EmployeeNumber)?</w:t>
            </w:r>
          </w:p>
        </w:tc>
      </w:tr>
      <w:tr>
        <w:tc>
          <w:tcPr>
            <w:tcW w:type="dxa" w:w="5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2</w:t>
            </w:r>
          </w:p>
        </w:tc>
        <w:tc>
          <w:tcPr>
            <w:tcW w:type="dxa" w:w="85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Which categorical features require encoding, and which method (label encoding or one-hot encoding) is appropriate for each?</w:t>
            </w:r>
          </w:p>
        </w:tc>
      </w:tr>
      <w:tr>
        <w:tc>
          <w:tcPr>
            <w:tcW w:type="dxa" w:w="5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3</w:t>
            </w:r>
          </w:p>
        </w:tc>
        <w:tc>
          <w:tcPr>
            <w:tcW w:type="dxa" w:w="85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Are any numerical columns highly correlated with each other, suggesting redundancy?</w:t>
            </w:r>
          </w:p>
        </w:tc>
      </w:tr>
      <w:tr>
        <w:tc>
          <w:tcPr>
            <w:tcW w:type="dxa" w:w="5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4</w:t>
            </w:r>
          </w:p>
        </w:tc>
        <w:tc>
          <w:tcPr>
            <w:tcW w:type="dxa" w:w="85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Do any numerical features contain outliers that require treatment?</w:t>
            </w:r>
          </w:p>
        </w:tc>
      </w:tr>
      <w:tr>
        <w:tc>
          <w:tcPr>
            <w:tcW w:type="dxa" w:w="5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5</w:t>
            </w:r>
          </w:p>
        </w:tc>
        <w:tc>
          <w:tcPr>
            <w:tcW w:type="dxa" w:w="85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What preprocessing steps (scaling, encoding, train–test split) should be applied, and in what order?</w:t>
            </w:r>
          </w:p>
        </w:tc>
      </w:tr>
      <w:tr>
        <w:tc>
          <w:tcPr>
            <w:tcW w:type="dxa" w:w="500"/>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6</w:t>
            </w:r>
          </w:p>
        </w:tc>
        <w:tc>
          <w:tcPr>
            <w:tcW w:type="dxa" w:w="8526"/>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Which evaluation metrics should be used alongside accuracy, given the confirmed class imbalance?</w:t>
            </w:r>
          </w:p>
        </w:tc>
      </w:tr>
      <w:tr>
        <w:tc>
          <w:tcPr>
            <w:tcW w:type="dxa" w:w="500"/>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7</w:t>
            </w:r>
          </w:p>
        </w:tc>
        <w:tc>
          <w:tcPr>
            <w:tcW w:type="dxa" w:w="8526"/>
            <w:shd w:fill="E8F1FB" w:color="auto" w:val="clear"/>
            <w:tcMar>
              <w:top w:type="dxa" w:w="80"/>
              <w:left w:type="dxa" w:w="130"/>
              <w:bottom w:type="dxa" w:w="80"/>
              <w:right w:type="dxa" w:w="130"/>
            </w:tcMar>
          </w:tcPr>
          <w:p>
            <w:pPr>
              <w:spacing w:after="30" w:before="30"/>
              <w:jc w:val="left"/>
            </w:pPr>
            <w:r>
              <w:rPr>
                <w:b w:val="false"/>
                <w:bCs w:val="false"/>
                <w:i w:val="false"/>
                <w:iCs w:val="false"/>
                <w:color w:val="000000"/>
                <w:sz w:val="20"/>
                <w:szCs w:val="20"/>
              </w:rPr>
              <w:t xml:space="preserve">How will the train–test split be performed to prevent data leakage during model development?</w:t>
            </w:r>
          </w:p>
        </w:tc>
      </w:tr>
    </w:tbl>
    <w:p>
      <w:pPr>
        <w:spacing w:after="0" w:before="0"/>
      </w:pPr>
    </w:p>
    <w:p>
      <w:pPr>
        <w:pStyle w:val="Heading1"/>
        <w:spacing w:after="120" w:before="300"/>
      </w:pPr>
      <w:r>
        <w:t xml:space="preserve">6.  Week 1 Conclusion and Next Steps</w:t>
      </w:r>
    </w:p>
    <w:p>
      <w:pPr>
        <w:spacing w:after="80" w:before="80"/>
        <w:jc w:val="both"/>
      </w:pPr>
      <w:r>
        <w:rPr>
          <w:b w:val="false"/>
          <w:bCs w:val="false"/>
          <w:i w:val="false"/>
          <w:iCs w:val="false"/>
          <w:color w:val="222222"/>
          <w:sz w:val="22"/>
          <w:szCs w:val="22"/>
        </w:rPr>
        <w:t xml:space="preserve">The following has been established during Week 1 of this project:</w:t>
      </w:r>
    </w:p>
    <w:p>
      <w:pPr>
        <w:spacing w:after="0" w:before="0"/>
      </w:pPr>
    </w:p>
    <w:p>
      <w:pPr>
        <w:pStyle w:val="ListParagraph"/>
        <w:numPr>
          <w:ilvl w:val="0"/>
          <w:numId w:val="2"/>
        </w:numPr>
        <w:spacing w:after="50" w:before="50"/>
      </w:pPr>
      <w:r>
        <w:rPr>
          <w:color w:val="222222"/>
          <w:sz w:val="22"/>
          <w:szCs w:val="22"/>
        </w:rPr>
        <w:t xml:space="preserve">Dataset selected: The IBM HR Analytics Employee Attrition &amp; Performance dataset (WA_Fn-UseC_-HR-Employee-Attrition.csv), containing 1,470 employee records across 35 columns, has been identified and examined.</w:t>
      </w:r>
    </w:p>
    <w:p>
      <w:pPr>
        <w:pStyle w:val="ListParagraph"/>
        <w:numPr>
          <w:ilvl w:val="0"/>
          <w:numId w:val="2"/>
        </w:numPr>
        <w:spacing w:after="50" w:before="50"/>
      </w:pPr>
      <w:r>
        <w:rPr>
          <w:color w:val="222222"/>
          <w:sz w:val="22"/>
          <w:szCs w:val="22"/>
        </w:rPr>
        <w:t xml:space="preserve">Target variable confirmed: Attrition (binary: Yes / No). The class distribution is approximately 16.12% Yes (237 records) and 83.88% No (1,233 records), indicating a notable class imbalance.</w:t>
      </w:r>
    </w:p>
    <w:p>
      <w:pPr>
        <w:pStyle w:val="ListParagraph"/>
        <w:numPr>
          <w:ilvl w:val="0"/>
          <w:numId w:val="2"/>
        </w:numPr>
        <w:spacing w:after="50" w:before="50"/>
      </w:pPr>
      <w:r>
        <w:rPr>
          <w:color w:val="222222"/>
          <w:sz w:val="22"/>
          <w:szCs w:val="22"/>
        </w:rPr>
        <w:t xml:space="preserve">Data quality baseline established: No missing values and no duplicate rows were detected. Three constant-value columns (EmployeeCount, Over18, StandardHours) have been identified as non-informative and flagged for removal.</w:t>
      </w:r>
    </w:p>
    <w:p>
      <w:pPr>
        <w:pStyle w:val="ListParagraph"/>
        <w:numPr>
          <w:ilvl w:val="0"/>
          <w:numId w:val="2"/>
        </w:numPr>
        <w:spacing w:after="50" w:before="50"/>
      </w:pPr>
      <w:r>
        <w:rPr>
          <w:color w:val="222222"/>
          <w:sz w:val="22"/>
          <w:szCs w:val="22"/>
        </w:rPr>
        <w:t xml:space="preserve">Feature categories surveyed: Key categories include employee demographics, job and organisational details, compensation, work conditions, satisfaction scores, and tenure history. All 35 column names have been verified against the uploaded CSV.</w:t>
      </w:r>
    </w:p>
    <w:p>
      <w:pPr>
        <w:pStyle w:val="ListParagraph"/>
        <w:numPr>
          <w:ilvl w:val="0"/>
          <w:numId w:val="2"/>
        </w:numPr>
        <w:spacing w:after="50" w:before="50"/>
      </w:pPr>
      <w:r>
        <w:rPr>
          <w:color w:val="222222"/>
          <w:sz w:val="22"/>
          <w:szCs w:val="22"/>
        </w:rPr>
        <w:t xml:space="preserve">Main preprocessing considerations identified: Class imbalance, categorical feature encoding, removal of constant and non-informative columns, and appropriate evaluation metric selection must all be addressed before model training begins.</w:t>
      </w:r>
    </w:p>
    <w:p>
      <w:pPr>
        <w:spacing w:after="0" w:before="0"/>
      </w:pPr>
    </w:p>
    <w:p>
      <w:pPr>
        <w:spacing w:after="80" w:before="80"/>
        <w:jc w:val="both"/>
      </w:pPr>
      <w:r>
        <w:rPr>
          <w:b w:val="false"/>
          <w:bCs w:val="false"/>
          <w:i w:val="false"/>
          <w:iCs w:val="false"/>
          <w:color w:val="222222"/>
          <w:sz w:val="22"/>
          <w:szCs w:val="22"/>
        </w:rPr>
        <w:t xml:space="preserve">Week 2 will focus on Exploratory Data Analysis (EDA), data visualisations, detailed feature analysis, preprocessing, and preparing a clean, encoded dataset ready for model development. No model training has been conducted at this stage.</w:t>
      </w:r>
    </w:p>
    <w:p>
      <w:pPr>
        <w:spacing w:after="0" w:before="0"/>
      </w:pPr>
    </w:p>
    <w:p>
      <w:pPr>
        <w:pStyle w:val="Heading1"/>
        <w:spacing w:after="120" w:before="300"/>
      </w:pPr>
      <w:r>
        <w:t xml:space="preserve">7.  References</w:t>
      </w:r>
    </w:p>
    <w:p>
      <w:pPr>
        <w:spacing w:after="60" w:before="80"/>
        <w:jc w:val="both"/>
      </w:pPr>
      <w:r>
        <w:rPr>
          <w:b/>
          <w:bCs/>
          <w:sz w:val="22"/>
          <w:szCs w:val="22"/>
        </w:rPr>
        <w:t xml:space="preserve">[1]  </w:t>
      </w:r>
      <w:r>
        <w:rPr>
          <w:sz w:val="22"/>
          <w:szCs w:val="22"/>
        </w:rPr>
        <w:t xml:space="preserve">IBM HR Analytics Employee Attrition &amp; Performance. Kaggle dataset, uploaded by Pavan Subhash. </w:t>
      </w:r>
      <w:hyperlink w:history="1" r:id="rIdixsa6ggmsrilmnsjtiprn">
        <w:r>
          <w:rPr>
            <w:rStyle w:val="Hyperlink"/>
            <w:sz w:val="22"/>
            <w:szCs w:val="22"/>
          </w:rPr>
          <w:t xml:space="preserve">https://www.kaggle.com/datasets/pavansubhasht/ibm-hr-analytics-attrition-dataset</w:t>
        </w:r>
      </w:hyperlink>
      <w:r>
        <w:rPr>
          <w:i/>
          <w:iCs/>
          <w:sz w:val="22"/>
          <w:szCs w:val="22"/>
        </w:rPr>
        <w:t xml:space="preserve">. Accessed: October 2026. The dataset is widely attributed to IBM Watson Analytics; the original IBM primary-source URL has not been independently verified.</w:t>
      </w:r>
    </w:p>
    <w:p>
      <w:pPr>
        <w:spacing w:after="60" w:before="60"/>
        <w:jc w:val="both"/>
      </w:pPr>
      <w:r>
        <w:rPr>
          <w:b/>
          <w:bCs/>
          <w:sz w:val="22"/>
          <w:szCs w:val="22"/>
        </w:rPr>
        <w:t xml:space="preserve">[2]  </w:t>
      </w:r>
      <w:r>
        <w:rPr>
          <w:sz w:val="22"/>
          <w:szCs w:val="22"/>
        </w:rPr>
        <w:t xml:space="preserve">IBM Watson Analytics Sample Data Sets. The filename prefix </w:t>
      </w:r>
      <w:r>
        <w:rPr>
          <w:b/>
          <w:bCs/>
          <w:sz w:val="22"/>
          <w:szCs w:val="22"/>
        </w:rPr>
        <w:t xml:space="preserve">WA_Fn-UseC_</w:t>
      </w:r>
      <w:r>
        <w:rPr>
          <w:i/>
          <w:iCs/>
          <w:sz w:val="22"/>
          <w:szCs w:val="22"/>
        </w:rPr>
        <w:t xml:space="preserve"> follows IBM Watson Analytics fictional use-case naming conventions. Original IBM publication details are unverified. Refer to [1] as the confirmed public distribution source.</w:t>
      </w:r>
    </w:p>
    <w:p>
      <w:pPr>
        <w:spacing w:after="60" w:before="60"/>
        <w:jc w:val="both"/>
      </w:pPr>
      <w:r>
        <w:rPr>
          <w:b/>
          <w:bCs/>
          <w:sz w:val="22"/>
          <w:szCs w:val="22"/>
        </w:rPr>
        <w:t xml:space="preserve">[3]  </w:t>
      </w:r>
      <w:r>
        <w:rPr>
          <w:sz w:val="22"/>
          <w:szCs w:val="22"/>
        </w:rPr>
        <w:t xml:space="preserve">scikit-learn — Supervised Learning. scikit-learn Documentation. </w:t>
      </w:r>
      <w:hyperlink w:history="1" r:id="rIdh63tbu82ve6cubrug_-39">
        <w:r>
          <w:rPr>
            <w:rStyle w:val="Hyperlink"/>
            <w:sz w:val="22"/>
            <w:szCs w:val="22"/>
          </w:rPr>
          <w:t xml:space="preserve">https://scikit-learn.org/stable/supervised_learning.html</w:t>
        </w:r>
      </w:hyperlink>
      <w:r>
        <w:rPr>
          <w:i/>
          <w:iCs/>
          <w:sz w:val="22"/>
          <w:szCs w:val="22"/>
        </w:rPr>
        <w:t xml:space="preserve">. Accessed: October 2026. Background reference for Logistic Regression, Decision Tree, and Random Forest algorithms planned for later project stages.</w:t>
      </w:r>
    </w:p>
    <w:p>
      <w:pPr>
        <w:spacing w:after="0" w:before="0"/>
      </w:pPr>
    </w:p>
    <w:p>
      <w:pPr>
        <w:spacing w:after="80" w:before="80"/>
        <w:jc w:val="both"/>
      </w:pPr>
      <w:r>
        <w:rPr>
          <w:b w:val="false"/>
          <w:bCs w:val="false"/>
          <w:i/>
          <w:iCs/>
          <w:color w:val="555555"/>
          <w:sz w:val="20"/>
          <w:szCs w:val="20"/>
        </w:rPr>
        <w:t xml:space="preserve">Note: No fabricated authors, DOIs, research papers, or article titles have been included. Only verifiable sources with confirmed URLs are cited above. Additional academic references (e.g., textbooks on machine learning or HR analytics) may be added in subsequent project deliverables as the work progresses.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color w:val="666666"/>
        <w:sz w:val="18"/>
        <w:szCs w:val="18"/>
      </w:rPr>
      <w:t xml:space="preserve">Week 1 Dataset Analysis — Employee Attrition Prediction System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pBdr>
        <w:bottom w:val="single" w:color="C0D0EC" w:sz="4" w:space="4"/>
      </w:pBdr>
      <w:spacing w:after="120" w:before="300"/>
    </w:pPr>
    <w:rPr>
      <w:b/>
      <w:bCs/>
      <w:color w:val="1F3D7A"/>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ixsa6ggmsrilmnsjtiprn" Type="http://schemas.openxmlformats.org/officeDocument/2006/relationships/hyperlink" Target="https://www.kaggle.com/datasets/pavansubhasht/ibm-hr-analytics-attrition-dataset" TargetMode="External"/><Relationship Id="rIdh63tbu82ve6cubrug_-39" Type="http://schemas.openxmlformats.org/officeDocument/2006/relationships/hyperlink" Target="https://scikit-learn.org/stable/supervised_learning.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2026-10-27T05:31:51.546Z</dcterms:created>
  <dcterms:modified xsi:type="dcterms:W3CDTF">2026-10-27T05:31:51.551Z</dcterms:modified>
</cp:coreProperties>
</file>

<file path=docProps/custom.xml><?xml version="1.0" encoding="utf-8"?>
<Properties xmlns="http://schemas.openxmlformats.org/officeDocument/2006/custom-properties" xmlns:vt="http://schemas.openxmlformats.org/officeDocument/2006/docPropsVTypes"/>
</file>