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it shows that the effect is horizon-specific: no comparable gap appears at 1-day or 5-day horizons, which argues against a generic high-volatility uplift story.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r>
        <w:t>To assess whether the stacking ensemble's complexity is justified relative to simpler alternatives under the same regime filter (Reviewer #2.3), Table 6b reports majority-class, naive persistence, logistic regression, and single-model XGBoost baselines, each evaluated on the identical High-VIX/Low-VIX split used for the ensemble.</w:t>
      </w:r>
    </w:p>
    <w:p>
      <w:r>
        <w:t>Table 6b. Regime-stratified baseline comparison: simple baselines vs. the stacking ensemble.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w:t>
            </w:r>
          </w:p>
        </w:tc>
        <w:tc>
          <w:tcPr>
            <w:tcW w:type="dxa" w:w="1337"/>
          </w:tcPr>
          <w:p>
            <w:r>
              <w:t>Regime</w:t>
            </w:r>
          </w:p>
        </w:tc>
        <w:tc>
          <w:tcPr>
            <w:tcW w:type="dxa" w:w="1337"/>
          </w:tcPr>
          <w:p>
            <w:r>
              <w:t>N</w:t>
            </w:r>
          </w:p>
        </w:tc>
        <w:tc>
          <w:tcPr>
            <w:tcW w:type="dxa" w:w="1337"/>
          </w:tcPr>
          <w:p>
            <w:r>
              <w:t>Majority BL (%)</w:t>
            </w:r>
          </w:p>
        </w:tc>
        <w:tc>
          <w:tcPr>
            <w:tcW w:type="dxa" w:w="1337"/>
          </w:tcPr>
          <w:p>
            <w:r>
              <w:t>Accuracy (%)</w:t>
            </w:r>
          </w:p>
        </w:tc>
        <w:tc>
          <w:tcPr>
            <w:tcW w:type="dxa" w:w="1337"/>
          </w:tcPr>
          <w:p>
            <w:r>
              <w:t>F1 (%)</w:t>
            </w:r>
          </w:p>
        </w:tc>
        <w:tc>
          <w:tcPr>
            <w:tcW w:type="dxa" w:w="1337"/>
          </w:tcPr>
          <w:p>
            <w:r>
              <w:t>AUC</w:t>
            </w:r>
          </w:p>
        </w:tc>
      </w:tr>
      <w:tr>
        <w:tc>
          <w:tcPr>
            <w:tcW w:type="dxa" w:w="1337"/>
          </w:tcPr>
          <w:p>
            <w:r>
              <w:t>Majority-Class</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Majority-Class</w:t>
            </w:r>
          </w:p>
        </w:tc>
        <w:tc>
          <w:tcPr>
            <w:tcW w:type="dxa" w:w="1337"/>
          </w:tcPr>
          <w:p>
            <w:r>
              <w:t>Low-VIX</w:t>
            </w:r>
          </w:p>
        </w:tc>
        <w:tc>
          <w:tcPr>
            <w:tcW w:type="dxa" w:w="1337"/>
          </w:tcPr>
          <w:p>
            <w:r>
              <w:t>248</w:t>
            </w:r>
          </w:p>
        </w:tc>
        <w:tc>
          <w:tcPr>
            <w:tcW w:type="dxa" w:w="1337"/>
          </w:tcPr>
          <w:p>
            <w:r>
              <w:t>70.2</w:t>
            </w:r>
          </w:p>
        </w:tc>
        <w:tc>
          <w:tcPr>
            <w:tcW w:type="dxa" w:w="1337"/>
          </w:tcPr>
          <w:p>
            <w:r>
              <w:t>70.2</w:t>
            </w:r>
          </w:p>
        </w:tc>
        <w:tc>
          <w:tcPr>
            <w:tcW w:type="dxa" w:w="1337"/>
          </w:tcPr>
          <w:p>
            <w:r>
              <w:t>82.5</w:t>
            </w:r>
          </w:p>
        </w:tc>
        <w:tc>
          <w:tcPr>
            <w:tcW w:type="dxa" w:w="1337"/>
          </w:tcPr>
          <w:p>
            <w:r>
              <w:t>0.500</w:t>
            </w:r>
          </w:p>
        </w:tc>
      </w:tr>
      <w:tr>
        <w:tc>
          <w:tcPr>
            <w:tcW w:type="dxa" w:w="1337"/>
          </w:tcPr>
          <w:p>
            <w:r>
              <w:t>Persistence</w:t>
            </w:r>
          </w:p>
        </w:tc>
        <w:tc>
          <w:tcPr>
            <w:tcW w:type="dxa" w:w="1337"/>
          </w:tcPr>
          <w:p>
            <w:r>
              <w:t>High-VIX</w:t>
            </w:r>
          </w:p>
        </w:tc>
        <w:tc>
          <w:tcPr>
            <w:tcW w:type="dxa" w:w="1337"/>
          </w:tcPr>
          <w:p>
            <w:r>
              <w:t>8</w:t>
            </w:r>
          </w:p>
        </w:tc>
        <w:tc>
          <w:tcPr>
            <w:tcW w:type="dxa" w:w="1337"/>
          </w:tcPr>
          <w:p>
            <w:r>
              <w:t>100.0</w:t>
            </w:r>
          </w:p>
        </w:tc>
        <w:tc>
          <w:tcPr>
            <w:tcW w:type="dxa" w:w="1337"/>
          </w:tcPr>
          <w:p>
            <w:r>
              <w:t>37.5</w:t>
            </w:r>
          </w:p>
        </w:tc>
        <w:tc>
          <w:tcPr>
            <w:tcW w:type="dxa" w:w="1337"/>
          </w:tcPr>
          <w:p>
            <w:r>
              <w:t>54.5</w:t>
            </w:r>
          </w:p>
        </w:tc>
        <w:tc>
          <w:tcPr>
            <w:tcW w:type="dxa" w:w="1337"/>
          </w:tcPr>
          <w:p>
            <w:r>
              <w:t>N/A</w:t>
            </w:r>
          </w:p>
        </w:tc>
      </w:tr>
      <w:tr>
        <w:tc>
          <w:tcPr>
            <w:tcW w:type="dxa" w:w="1337"/>
          </w:tcPr>
          <w:p>
            <w:r>
              <w:t>Persistence</w:t>
            </w:r>
          </w:p>
        </w:tc>
        <w:tc>
          <w:tcPr>
            <w:tcW w:type="dxa" w:w="1337"/>
          </w:tcPr>
          <w:p>
            <w:r>
              <w:t>Low-VIX</w:t>
            </w:r>
          </w:p>
        </w:tc>
        <w:tc>
          <w:tcPr>
            <w:tcW w:type="dxa" w:w="1337"/>
          </w:tcPr>
          <w:p>
            <w:r>
              <w:t>248</w:t>
            </w:r>
          </w:p>
        </w:tc>
        <w:tc>
          <w:tcPr>
            <w:tcW w:type="dxa" w:w="1337"/>
          </w:tcPr>
          <w:p>
            <w:r>
              <w:t>70.2</w:t>
            </w:r>
          </w:p>
        </w:tc>
        <w:tc>
          <w:tcPr>
            <w:tcW w:type="dxa" w:w="1337"/>
          </w:tcPr>
          <w:p>
            <w:r>
              <w:t>50.8</w:t>
            </w:r>
          </w:p>
        </w:tc>
        <w:tc>
          <w:tcPr>
            <w:tcW w:type="dxa" w:w="1337"/>
          </w:tcPr>
          <w:p>
            <w:r>
              <w:t>59.6</w:t>
            </w:r>
          </w:p>
        </w:tc>
        <w:tc>
          <w:tcPr>
            <w:tcW w:type="dxa" w:w="1337"/>
          </w:tcPr>
          <w:p>
            <w:r>
              <w:t>0.487</w:t>
            </w:r>
          </w:p>
        </w:tc>
      </w:tr>
      <w:tr>
        <w:tc>
          <w:tcPr>
            <w:tcW w:type="dxa" w:w="1337"/>
          </w:tcPr>
          <w:p>
            <w:r>
              <w:t>Logistic Reg.</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Logistic Reg.</w:t>
            </w:r>
          </w:p>
        </w:tc>
        <w:tc>
          <w:tcPr>
            <w:tcW w:type="dxa" w:w="1337"/>
          </w:tcPr>
          <w:p>
            <w:r>
              <w:t>Low-VIX</w:t>
            </w:r>
          </w:p>
        </w:tc>
        <w:tc>
          <w:tcPr>
            <w:tcW w:type="dxa" w:w="1337"/>
          </w:tcPr>
          <w:p>
            <w:r>
              <w:t>248</w:t>
            </w:r>
          </w:p>
        </w:tc>
        <w:tc>
          <w:tcPr>
            <w:tcW w:type="dxa" w:w="1337"/>
          </w:tcPr>
          <w:p>
            <w:r>
              <w:t>70.2</w:t>
            </w:r>
          </w:p>
        </w:tc>
        <w:tc>
          <w:tcPr>
            <w:tcW w:type="dxa" w:w="1337"/>
          </w:tcPr>
          <w:p>
            <w:r>
              <w:t>29.8</w:t>
            </w:r>
          </w:p>
        </w:tc>
        <w:tc>
          <w:tcPr>
            <w:tcW w:type="dxa" w:w="1337"/>
          </w:tcPr>
          <w:p>
            <w:r>
              <w:t>1.1</w:t>
            </w:r>
          </w:p>
        </w:tc>
        <w:tc>
          <w:tcPr>
            <w:tcW w:type="dxa" w:w="1337"/>
          </w:tcPr>
          <w:p>
            <w:r>
              <w:t>0.666</w:t>
            </w:r>
          </w:p>
        </w:tc>
      </w:tr>
      <w:tr>
        <w:tc>
          <w:tcPr>
            <w:tcW w:type="dxa" w:w="1337"/>
          </w:tcPr>
          <w:p>
            <w:r>
              <w:t>XGBoost (single)</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XGBoost (single)</w:t>
            </w:r>
          </w:p>
        </w:tc>
        <w:tc>
          <w:tcPr>
            <w:tcW w:type="dxa" w:w="1337"/>
          </w:tcPr>
          <w:p>
            <w:r>
              <w:t>Low-VIX</w:t>
            </w:r>
          </w:p>
        </w:tc>
        <w:tc>
          <w:tcPr>
            <w:tcW w:type="dxa" w:w="1337"/>
          </w:tcPr>
          <w:p>
            <w:r>
              <w:t>248</w:t>
            </w:r>
          </w:p>
        </w:tc>
        <w:tc>
          <w:tcPr>
            <w:tcW w:type="dxa" w:w="1337"/>
          </w:tcPr>
          <w:p>
            <w:r>
              <w:t>70.2</w:t>
            </w:r>
          </w:p>
        </w:tc>
        <w:tc>
          <w:tcPr>
            <w:tcW w:type="dxa" w:w="1337"/>
          </w:tcPr>
          <w:p>
            <w:r>
              <w:t>43.5</w:t>
            </w:r>
          </w:p>
        </w:tc>
        <w:tc>
          <w:tcPr>
            <w:tcW w:type="dxa" w:w="1337"/>
          </w:tcPr>
          <w:p>
            <w:r>
              <w:t>54.2</w:t>
            </w:r>
          </w:p>
        </w:tc>
        <w:tc>
          <w:tcPr>
            <w:tcW w:type="dxa" w:w="1337"/>
          </w:tcPr>
          <w:p>
            <w:r>
              <w:t>0.447</w:t>
            </w:r>
          </w:p>
        </w:tc>
      </w:tr>
      <w:tr>
        <w:tc>
          <w:tcPr>
            <w:tcW w:type="dxa" w:w="1337"/>
          </w:tcPr>
          <w:p>
            <w:r>
              <w:t>Stacking Ensemble</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Stacking Ensemble</w:t>
            </w:r>
          </w:p>
        </w:tc>
        <w:tc>
          <w:tcPr>
            <w:tcW w:type="dxa" w:w="1337"/>
          </w:tcPr>
          <w:p>
            <w:r>
              <w:t>Low-VIX</w:t>
            </w:r>
          </w:p>
        </w:tc>
        <w:tc>
          <w:tcPr>
            <w:tcW w:type="dxa" w:w="1337"/>
          </w:tcPr>
          <w:p>
            <w:r>
              <w:t>248</w:t>
            </w:r>
          </w:p>
        </w:tc>
        <w:tc>
          <w:tcPr>
            <w:tcW w:type="dxa" w:w="1337"/>
          </w:tcPr>
          <w:p>
            <w:r>
              <w:t>70.2</w:t>
            </w:r>
          </w:p>
        </w:tc>
        <w:tc>
          <w:tcPr>
            <w:tcW w:type="dxa" w:w="1337"/>
          </w:tcPr>
          <w:p>
            <w:r>
              <w:t>66.5</w:t>
            </w:r>
          </w:p>
        </w:tc>
        <w:tc>
          <w:tcPr>
            <w:tcW w:type="dxa" w:w="1337"/>
          </w:tcPr>
          <w:p>
            <w:r>
              <w:t>79.7</w:t>
            </w:r>
          </w:p>
        </w:tc>
        <w:tc>
          <w:tcPr>
            <w:tcW w:type="dxa" w:w="1337"/>
          </w:tcPr>
          <w:p>
            <w:r>
              <w:t>0.584</w:t>
            </w:r>
          </w:p>
        </w:tc>
      </w:tr>
    </w:tbl>
    <w:p/>
    <w:p>
      <w:r>
        <w:drawing>
          <wp:inline xmlns:a="http://schemas.openxmlformats.org/drawingml/2006/main" xmlns:pic="http://schemas.openxmlformats.org/drawingml/2006/picture">
            <wp:extent cx="5303520" cy="2616021"/>
            <wp:docPr id="529019811" name="Picture 529019811"/>
            <wp:cNvGraphicFramePr>
              <a:graphicFrameLocks noChangeAspect="1"/>
            </wp:cNvGraphicFramePr>
            <a:graphic>
              <a:graphicData uri="http://schemas.openxmlformats.org/drawingml/2006/picture">
                <pic:pic>
                  <pic:nvPicPr>
                    <pic:cNvPr id="0" name="R06_baseline_comparison.png"/>
                    <pic:cNvPicPr/>
                  </pic:nvPicPr>
                  <pic:blipFill>
                    <a:blip r:embed="rId24"/>
                    <a:stretch>
                      <a:fillRect/>
                    </a:stretch>
                  </pic:blipFill>
                  <pic:spPr>
                    <a:xfrm>
                      <a:off x="0" y="0"/>
                      <a:ext cx="5303520" cy="2616021"/>
                    </a:xfrm>
                    <a:prstGeom prst="rect"/>
                  </pic:spPr>
                </pic:pic>
              </a:graphicData>
            </a:graphic>
          </wp:inline>
        </w:drawing>
      </w:r>
    </w:p>
    <w:p>
      <w:r>
        <w:t>Fig. 3b. Regime-stratified accuracy: simple baselines vs. the stacking ensemble.</w:t>
      </w:r>
    </w:p>
    <w:p>
      <w:r>
        <w:t>On High-VIX (n=8, single class, all Up), every model that predicts Up-leaning matches the 100.0% majority baseline trivially; this cell cannot discriminate model quality. On Low-VIX (n=248), the picture is more informative: naive persistence (50.8%), logistic regression (29.8%), and a single XGBoost model (43.5%) all underperform the 70.2% local majority baseline, while the stacking ensemble (66.5%) comes closer to it without exceeding it. The practical reading is that the ensemble's advantage over simpler alternatives is real on Low-VIX data -- it comfortably beats every individual baseline tested -- but none of the models tested, including the ensemble, beat the trivial majority-class rule on Low-VIX days. This further supports treating the High-VIX result as the substantive finding under investigation rather than the ensemble's unconditional skill.</w:t>
      </w:r>
    </w:p>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11.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12.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13.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13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