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Regime-Conditional Directional Prediction of Bank Nifty: A Stacking Ensemble Approach</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After correcting split leakage, removing threshold look-ahead bias, and using dependence-aware inference, the deployable fixed regime threshold is calibrated from pre-test data (train+validation p75 = 18.71), yielding a sparse High-VIX subset. On the aligned evaluation sample, regime-conditioned accuracy is 100.0% (High-VIX, N=8) versus 66.5% (Low-VIX, N=248), but the High-VIX local majority baseline is also 100.0%. Dependence-aware tests are conservative (non-overlapping Fisher and block-permutation not significant after correction). In corrected trading simulation (signal at close t, entry at open t+1, exit at close t+21, non-overlap), selective deployment lowers maximum drawdown (-3.69% vs -6.62%) but does not exceed buy-and-hold Sharpe (0.455 vs 1.204 at 0 bps; 0.375 vs 1.204 at 50 bps). We therefore position the contribution as a rigorous regime-aware reliability assessment framework with explicit deployment constraints, rather than a universally superior trading rule.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The present study asks a narrow but decision-relevant question: does India VIX condition the directional predictability of Bank Nifty at short and medium horizons when the underlying predictive engine is a modern stacking ensemble? The answer, after correcting for split leakage, threshold look-ahead bias, and overlapping-observation dependence, is: not reliably, at least not in this sample. The ensemble does not dominate naive baselines unconditionally; the unconditioned 21-day test accuracy is below the majority-class rate in a strongly bullish test sample. Partitioning the held-out test period by a pre-test-fixed India VIX threshold does surface a large accuracy gap at the 21-day horizon (100.0% vs 66.5%), but the High-VIX subset contains only eight observations, all realizing the same outcome, and dependence-aware significance tests (non-overlapping Fisher, block-permutation) do not reject the null after correction. We therefore present this as a conditional pattern warranting cautious interpretation and further replication, not as an established regime effect.</w:t>
      </w:r>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shows a large, but statistically unconfirmed, regime-conditional gap when regimes are defined by a pre-test-fixed India VIX threshold and evaluated on a fully held-out period. Second, it shows that the effect is horizon-specific: no comparable gap appears at 1-day or 5-day horizons, which argues against a generic high-volatility uplift story. Third, it converts the statistical result into an explicit, deployable trading rule and reports its risk-adjusted performance honestly: under the corrected protocol the selective rule trades once, is active for 21 of 256 aligned test days, lowers maximum drawdown relative to buy-and-hold (-3.69% vs -6.62%) but does not exceed buy-and-hold Sharpe at any tested transaction-cost level. Fourth, it frames the ensemble plus regime filter as an expert decision system and documents, transparently, the methodological corrections (leakage removal, look-ahead-bias removal, dependence-aware inference) needed before such a system's claims can be trusted.</w:t>
      </w:r>
      <w:r w:rsidR="00FC18EA"/>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r>
              <w:t>Partition held-out test predictions into High-VIX and Low-VIX regimes using a pre-test-fixed India VIX threshold (not the test-period distribution)</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r>
              <w:t>n_estimators=176, max_depth=4, lr=0.0116, subsample=0.774, colsample_bytree=0.775, reg_alpha=0.0002, reg_lambda=4.89; Optuna (100 trials),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r>
              <w:t>n_estimators=130, max_depth=4, lr=0.0100, num_leaves=39, subsample=0.944, colsample_bytree=0.742, reg_alpha=4.04, reg_lambda=5.86; Optuna,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r>
              <w:t>n_estimators=376, max_depth=3, min_samples_split=12, min_samples_leaf=3, max_features=log2; chronological training</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r>
              <w:t>iterations=155, depth=8, lr=0.0125, l2_leaf_reg=9.64, bagging_temperature=0.205; Optuna,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r>
              <w:t>hidden_size=64, seq_len=20, dropout=0.2, lr=0.001, batch_size=64, patience=8, max_epochs=50</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r>
              <w:t>C=1.0 (L2), max_iter=1000; trained on out-of-fold base-learner probabilities</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802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802946"/>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The pre-test-fixed threshold used here differs from a diagnostic partition computed after observing the test period: it is calibrated only from information available before the test window begins (train+validation p75 = 18.71), so it could in principle be applied in real time without access to future data. This is what makes the regime filter deployable rather than merely descriptive. The trade-off is that a pre-test-fixed threshold is not guaranteed to match the test period's own volatility distribution, which is why the resulting High-VIX subset is sparse (n = 8) here and why we report sensitivity to alternative calibration windows (Section 6.3) rather than treating this single threshold choice as definitive.</w:t>
      </w:r>
      <w:r w:rsidR="00F55BD2"/>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14:paraId="03CD7B43" w14:textId="77777777" w:rsidR="00ED66A2" w:rsidRDefault="00000000" w:rsidP="00DF5C9B">
            <w:pPr>
              <w:jc w:val="center"/>
            </w:pPr>
            <w:r>
              <w:rPr>
                <w:sz w:val="20"/>
              </w:rPr>
              <w:t>1-day</w:t>
            </w:r>
          </w:p>
        </w:tc>
        <w:tc>
          <w:tcPr>
            <w:tcW w:w="1642" w:type="dxa"/>
            <w:vAlign w:val="center"/>
          </w:tcPr>
          <w:p w14:paraId="7CFE7E45" w14:textId="77777777" w:rsidR="00ED66A2" w:rsidRDefault="00000000" w:rsidP="00DF5C9B">
            <w:pPr>
              <w:jc w:val="center"/>
            </w:pPr>
            <w:r>
              <w:rPr>
                <w:sz w:val="20"/>
              </w:rPr>
              <w:t>0.4949</w:t>
            </w:r>
          </w:p>
        </w:tc>
        <w:tc>
          <w:tcPr>
            <w:tcW w:w="1344" w:type="dxa"/>
            <w:vAlign w:val="center"/>
          </w:tcPr>
          <w:p w14:paraId="4A3F2177" w14:textId="77777777" w:rsidR="00ED66A2" w:rsidRDefault="00000000" w:rsidP="00DF5C9B">
            <w:pPr>
              <w:jc w:val="center"/>
            </w:pPr>
            <w:r>
              <w:rPr>
                <w:sz w:val="20"/>
              </w:rPr>
              <w:t>0.5444</w:t>
            </w:r>
          </w:p>
        </w:tc>
        <w:tc>
          <w:tcPr>
            <w:tcW w:w="1642" w:type="dxa"/>
            <w:vAlign w:val="center"/>
          </w:tcPr>
          <w:p w14:paraId="72F3AA91" w14:textId="77777777" w:rsidR="00ED66A2" w:rsidRDefault="00000000" w:rsidP="00DF5C9B">
            <w:pPr>
              <w:jc w:val="center"/>
            </w:pPr>
            <w:r>
              <w:rPr>
                <w:sz w:val="20"/>
              </w:rPr>
              <w:t>0.5387</w:t>
            </w:r>
          </w:p>
        </w:tc>
        <w:tc>
          <w:tcPr>
            <w:tcW w:w="1493" w:type="dxa"/>
            <w:vAlign w:val="center"/>
          </w:tcPr>
          <w:p w14:paraId="08E382CD" w14:textId="77777777" w:rsidR="00ED66A2" w:rsidRDefault="00000000" w:rsidP="00DF5C9B">
            <w:pPr>
              <w:jc w:val="center"/>
            </w:pPr>
            <w:r>
              <w:rPr>
                <w:sz w:val="20"/>
              </w:rPr>
              <w:t>0.452</w:t>
            </w:r>
          </w:p>
        </w:tc>
      </w:tr>
      <w:tr w:rsidR="00ED66A2" w14:paraId="61A2B818" w14:textId="77777777" w:rsidTr="00A36C97">
        <w:trPr>
          <w:trHeight w:val="417"/>
          <w:jc w:val="center"/>
        </w:trPr>
        <w:tc>
          <w:tcPr>
            <w:tcW w:w="1344" w:type="dxa"/>
            <w:vAlign w:val="center"/>
          </w:tcPr>
          <w:p w14:paraId="5C4323A3" w14:textId="77777777" w:rsidR="00ED66A2" w:rsidRDefault="00000000" w:rsidP="00DF5C9B">
            <w:pPr>
              <w:jc w:val="center"/>
            </w:pPr>
            <w:r>
              <w:rPr>
                <w:sz w:val="20"/>
              </w:rPr>
              <w:t>5-day</w:t>
            </w:r>
          </w:p>
        </w:tc>
        <w:tc>
          <w:tcPr>
            <w:tcW w:w="1642" w:type="dxa"/>
            <w:vAlign w:val="center"/>
          </w:tcPr>
          <w:p w14:paraId="16BB07CC" w14:textId="77777777" w:rsidR="00ED66A2" w:rsidRDefault="00000000" w:rsidP="00DF5C9B">
            <w:pPr>
              <w:jc w:val="center"/>
            </w:pPr>
            <w:r>
              <w:rPr>
                <w:sz w:val="20"/>
              </w:rPr>
              <w:t>0.5154</w:t>
            </w:r>
          </w:p>
        </w:tc>
        <w:tc>
          <w:tcPr>
            <w:tcW w:w="1344" w:type="dxa"/>
            <w:vAlign w:val="center"/>
          </w:tcPr>
          <w:p w14:paraId="2026DFF3" w14:textId="77777777" w:rsidR="00ED66A2" w:rsidRDefault="00000000" w:rsidP="00DF5C9B">
            <w:pPr>
              <w:jc w:val="center"/>
            </w:pPr>
            <w:r>
              <w:rPr>
                <w:sz w:val="20"/>
              </w:rPr>
              <w:t>0.5620</w:t>
            </w:r>
          </w:p>
        </w:tc>
        <w:tc>
          <w:tcPr>
            <w:tcW w:w="1642" w:type="dxa"/>
            <w:vAlign w:val="center"/>
          </w:tcPr>
          <w:p w14:paraId="0E6A21A8" w14:textId="77777777" w:rsidR="00ED66A2" w:rsidRDefault="00000000" w:rsidP="00DF5C9B">
            <w:pPr>
              <w:jc w:val="center"/>
            </w:pPr>
            <w:r>
              <w:rPr>
                <w:sz w:val="20"/>
              </w:rPr>
              <w:t>0.5290</w:t>
            </w:r>
          </w:p>
        </w:tc>
        <w:tc>
          <w:tcPr>
            <w:tcW w:w="1493" w:type="dxa"/>
            <w:vAlign w:val="center"/>
          </w:tcPr>
          <w:p w14:paraId="1899DC3C" w14:textId="77777777" w:rsidR="00ED66A2" w:rsidRDefault="00000000" w:rsidP="00DF5C9B">
            <w:pPr>
              <w:jc w:val="center"/>
            </w:pPr>
            <w:r>
              <w:rPr>
                <w:sz w:val="20"/>
              </w:rPr>
              <w:t>0.810</w:t>
            </w:r>
          </w:p>
        </w:tc>
      </w:tr>
      <w:tr w:rsidR="00ED66A2" w14:paraId="4D6CCF28" w14:textId="77777777" w:rsidTr="00A36C97">
        <w:trPr>
          <w:trHeight w:val="417"/>
          <w:jc w:val="center"/>
        </w:trPr>
        <w:tc>
          <w:tcPr>
            <w:tcW w:w="1344" w:type="dxa"/>
            <w:vAlign w:val="center"/>
          </w:tcPr>
          <w:p w14:paraId="3A7D69CE" w14:textId="77777777" w:rsidR="00ED66A2" w:rsidRDefault="00000000" w:rsidP="00DF5C9B">
            <w:pPr>
              <w:jc w:val="center"/>
            </w:pPr>
            <w:r>
              <w:rPr>
                <w:sz w:val="20"/>
              </w:rPr>
              <w:t>21-day</w:t>
            </w:r>
          </w:p>
        </w:tc>
        <w:tc>
          <w:tcPr>
            <w:tcW w:w="1642" w:type="dxa"/>
            <w:vAlign w:val="center"/>
          </w:tcPr>
          <w:p w14:paraId="7850CBB0" w14:textId="77777777" w:rsidR="00ED66A2" w:rsidRDefault="00000000" w:rsidP="00DF5C9B">
            <w:pPr>
              <w:jc w:val="center"/>
            </w:pPr>
            <w:r>
              <w:rPr>
                <w:sz w:val="20"/>
              </w:rPr>
              <w:t>0.6758</w:t>
            </w:r>
          </w:p>
        </w:tc>
        <w:tc>
          <w:tcPr>
            <w:tcW w:w="1344" w:type="dxa"/>
            <w:vAlign w:val="center"/>
          </w:tcPr>
          <w:p w14:paraId="4EA3268F" w14:textId="77777777" w:rsidR="00ED66A2" w:rsidRDefault="00000000" w:rsidP="00DF5C9B">
            <w:pPr>
              <w:jc w:val="center"/>
            </w:pPr>
            <w:r>
              <w:rPr>
                <w:sz w:val="20"/>
              </w:rPr>
              <w:t>0.5820</w:t>
            </w:r>
          </w:p>
        </w:tc>
        <w:tc>
          <w:tcPr>
            <w:tcW w:w="1642" w:type="dxa"/>
            <w:vAlign w:val="center"/>
          </w:tcPr>
          <w:p w14:paraId="640B0D18" w14:textId="77777777" w:rsidR="00ED66A2" w:rsidRDefault="00000000" w:rsidP="00DF5C9B">
            <w:pPr>
              <w:jc w:val="center"/>
            </w:pPr>
            <w:r>
              <w:rPr>
                <w:sz w:val="20"/>
              </w:rPr>
              <w:t>0.7109</w:t>
            </w:r>
          </w:p>
        </w:tc>
        <w:tc>
          <w:tcPr>
            <w:tcW w:w="1493" w:type="dxa"/>
            <w:vAlign w:val="center"/>
          </w:tcPr>
          <w:p w14:paraId="1702470F" w14:textId="77777777" w:rsidR="00ED66A2" w:rsidRDefault="00000000" w:rsidP="00DF5C9B">
            <w:pPr>
              <w:jc w:val="center"/>
            </w:pPr>
            <w:r>
              <w:rPr>
                <w:sz w:val="20"/>
              </w:rPr>
              <w:t>0.022</w:t>
            </w:r>
          </w:p>
        </w:tc>
      </w:tr>
    </w:tbl>
    <w:p w14:paraId="62542106" w14:textId="77777777" w:rsidR="00ED66A2" w:rsidRDefault="00ED66A2"/>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7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illustrates the kind of trust filter a deployment policy could use: if the model is used continuously, its decision quality is mediocre; if it is used only when India VIX lies in the upper quartile of the pre-test environment, the observed decision quality in this sample is much higher. However, with only eight High-VIX observations and no statistically significant Fisher or permutation result, this pattern should be read as a proof-of-concept for the trust-filter architecture rather than as a validated expert-system contribution. Establishing the latter would require the effect to replicate across additional high-volatility episodes (Section 6.4).</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7.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14:paraId="2C97DD9F" w14:textId="77777777" w:rsidR="00ED66A2" w:rsidRDefault="00000000" w:rsidP="0030390A">
            <w:pPr>
              <w:jc w:val="center"/>
            </w:pPr>
            <w:r>
              <w:rPr>
                <w:sz w:val="20"/>
              </w:rPr>
              <w:t>1-day</w:t>
            </w:r>
          </w:p>
        </w:tc>
        <w:tc>
          <w:tcPr>
            <w:tcW w:w="799" w:type="dxa"/>
            <w:vAlign w:val="center"/>
          </w:tcPr>
          <w:p w14:paraId="591DFA7F" w14:textId="77777777" w:rsidR="00ED66A2" w:rsidRDefault="00000000" w:rsidP="0030390A">
            <w:pPr>
              <w:jc w:val="center"/>
            </w:pPr>
            <w:r>
              <w:rPr>
                <w:sz w:val="20"/>
              </w:rPr>
              <w:t>58</w:t>
            </w:r>
          </w:p>
        </w:tc>
        <w:tc>
          <w:tcPr>
            <w:tcW w:w="1017" w:type="dxa"/>
            <w:vAlign w:val="center"/>
          </w:tcPr>
          <w:p w14:paraId="6E1FBCE4" w14:textId="77777777" w:rsidR="00ED66A2" w:rsidRDefault="00000000" w:rsidP="0030390A">
            <w:pPr>
              <w:jc w:val="center"/>
            </w:pPr>
            <w:r>
              <w:rPr>
                <w:sz w:val="20"/>
              </w:rPr>
              <w:t>0.500</w:t>
            </w:r>
          </w:p>
        </w:tc>
        <w:tc>
          <w:tcPr>
            <w:tcW w:w="799" w:type="dxa"/>
            <w:vAlign w:val="center"/>
          </w:tcPr>
          <w:p w14:paraId="529E601A" w14:textId="77777777" w:rsidR="00ED66A2" w:rsidRDefault="00000000" w:rsidP="0030390A">
            <w:pPr>
              <w:jc w:val="center"/>
            </w:pPr>
            <w:r>
              <w:rPr>
                <w:sz w:val="20"/>
              </w:rPr>
              <w:t>218</w:t>
            </w:r>
          </w:p>
        </w:tc>
        <w:tc>
          <w:tcPr>
            <w:tcW w:w="1017" w:type="dxa"/>
            <w:vAlign w:val="center"/>
          </w:tcPr>
          <w:p w14:paraId="20D9A73B" w14:textId="77777777" w:rsidR="00ED66A2" w:rsidRDefault="00000000" w:rsidP="0030390A">
            <w:pPr>
              <w:jc w:val="center"/>
            </w:pPr>
            <w:r>
              <w:rPr>
                <w:sz w:val="20"/>
              </w:rPr>
              <w:t>0.493</w:t>
            </w:r>
          </w:p>
        </w:tc>
        <w:tc>
          <w:tcPr>
            <w:tcW w:w="1017" w:type="dxa"/>
            <w:vAlign w:val="center"/>
          </w:tcPr>
          <w:p w14:paraId="58F1377B" w14:textId="77777777" w:rsidR="00ED66A2" w:rsidRDefault="00000000" w:rsidP="0030390A">
            <w:pPr>
              <w:jc w:val="center"/>
            </w:pPr>
            <w:r>
              <w:rPr>
                <w:sz w:val="20"/>
              </w:rPr>
              <w:t>+0.007</w:t>
            </w:r>
          </w:p>
        </w:tc>
        <w:tc>
          <w:tcPr>
            <w:tcW w:w="1454" w:type="dxa"/>
            <w:vAlign w:val="center"/>
          </w:tcPr>
          <w:p w14:paraId="38EA5A9A" w14:textId="77777777" w:rsidR="00ED66A2" w:rsidRDefault="00000000" w:rsidP="0030390A">
            <w:pPr>
              <w:jc w:val="center"/>
            </w:pPr>
            <w:r>
              <w:rPr>
                <w:sz w:val="20"/>
              </w:rPr>
              <w:t>1.000</w:t>
            </w:r>
          </w:p>
        </w:tc>
        <w:tc>
          <w:tcPr>
            <w:tcW w:w="799" w:type="dxa"/>
            <w:vAlign w:val="center"/>
          </w:tcPr>
          <w:p w14:paraId="11A29586" w14:textId="77777777" w:rsidR="00ED66A2" w:rsidRDefault="00000000" w:rsidP="0030390A">
            <w:pPr>
              <w:jc w:val="center"/>
            </w:pPr>
            <w:r>
              <w:rPr>
                <w:sz w:val="20"/>
              </w:rPr>
              <w:t>0.006</w:t>
            </w:r>
          </w:p>
        </w:tc>
        <w:tc>
          <w:tcPr>
            <w:tcW w:w="1172" w:type="dxa"/>
            <w:vAlign w:val="center"/>
          </w:tcPr>
          <w:p w14:paraId="254EE569" w14:textId="77777777" w:rsidR="00ED66A2" w:rsidRDefault="00000000" w:rsidP="0030390A">
            <w:pPr>
              <w:jc w:val="center"/>
            </w:pPr>
            <w:r>
              <w:rPr>
                <w:sz w:val="20"/>
              </w:rPr>
              <w:t>No</w:t>
            </w:r>
          </w:p>
        </w:tc>
      </w:tr>
      <w:tr w:rsidR="00ED66A2" w14:paraId="2E09E28D" w14:textId="77777777" w:rsidTr="0030390A">
        <w:trPr>
          <w:trHeight w:val="316"/>
          <w:jc w:val="center"/>
        </w:trPr>
        <w:tc>
          <w:tcPr>
            <w:tcW w:w="1163" w:type="dxa"/>
            <w:vAlign w:val="center"/>
          </w:tcPr>
          <w:p w14:paraId="160376C0" w14:textId="77777777" w:rsidR="00ED66A2" w:rsidRDefault="00000000" w:rsidP="0030390A">
            <w:pPr>
              <w:jc w:val="center"/>
            </w:pPr>
            <w:r>
              <w:rPr>
                <w:sz w:val="20"/>
              </w:rPr>
              <w:t>5-day</w:t>
            </w:r>
          </w:p>
        </w:tc>
        <w:tc>
          <w:tcPr>
            <w:tcW w:w="799" w:type="dxa"/>
            <w:vAlign w:val="center"/>
          </w:tcPr>
          <w:p w14:paraId="1DEF5F3F" w14:textId="77777777" w:rsidR="00ED66A2" w:rsidRDefault="00000000" w:rsidP="0030390A">
            <w:pPr>
              <w:jc w:val="center"/>
            </w:pPr>
            <w:r>
              <w:rPr>
                <w:sz w:val="20"/>
              </w:rPr>
              <w:t>57</w:t>
            </w:r>
          </w:p>
        </w:tc>
        <w:tc>
          <w:tcPr>
            <w:tcW w:w="1017" w:type="dxa"/>
            <w:vAlign w:val="center"/>
          </w:tcPr>
          <w:p w14:paraId="0325AFE9" w14:textId="77777777" w:rsidR="00ED66A2" w:rsidRDefault="00000000" w:rsidP="0030390A">
            <w:pPr>
              <w:jc w:val="center"/>
            </w:pPr>
            <w:r>
              <w:rPr>
                <w:sz w:val="20"/>
              </w:rPr>
              <w:t>0.528</w:t>
            </w:r>
          </w:p>
        </w:tc>
        <w:tc>
          <w:tcPr>
            <w:tcW w:w="799" w:type="dxa"/>
            <w:vAlign w:val="center"/>
          </w:tcPr>
          <w:p w14:paraId="57DA1DB6" w14:textId="77777777" w:rsidR="00ED66A2" w:rsidRDefault="00000000" w:rsidP="0030390A">
            <w:pPr>
              <w:jc w:val="center"/>
            </w:pPr>
            <w:r>
              <w:rPr>
                <w:sz w:val="20"/>
              </w:rPr>
              <w:t>215</w:t>
            </w:r>
          </w:p>
        </w:tc>
        <w:tc>
          <w:tcPr>
            <w:tcW w:w="1017" w:type="dxa"/>
            <w:vAlign w:val="center"/>
          </w:tcPr>
          <w:p w14:paraId="65B2C56E" w14:textId="77777777" w:rsidR="00ED66A2" w:rsidRDefault="00000000" w:rsidP="0030390A">
            <w:pPr>
              <w:jc w:val="center"/>
            </w:pPr>
            <w:r>
              <w:rPr>
                <w:sz w:val="20"/>
              </w:rPr>
              <w:t>0.511</w:t>
            </w:r>
          </w:p>
        </w:tc>
        <w:tc>
          <w:tcPr>
            <w:tcW w:w="1017" w:type="dxa"/>
            <w:vAlign w:val="center"/>
          </w:tcPr>
          <w:p w14:paraId="164CF68A" w14:textId="77777777" w:rsidR="00ED66A2" w:rsidRDefault="00000000" w:rsidP="0030390A">
            <w:pPr>
              <w:jc w:val="center"/>
            </w:pPr>
            <w:r>
              <w:rPr>
                <w:sz w:val="20"/>
              </w:rPr>
              <w:t>+0.017</w:t>
            </w:r>
          </w:p>
        </w:tc>
        <w:tc>
          <w:tcPr>
            <w:tcW w:w="1454" w:type="dxa"/>
            <w:vAlign w:val="center"/>
          </w:tcPr>
          <w:p w14:paraId="219ABCFD" w14:textId="77777777" w:rsidR="00ED66A2" w:rsidRDefault="00000000" w:rsidP="0030390A">
            <w:pPr>
              <w:jc w:val="center"/>
            </w:pPr>
            <w:r>
              <w:rPr>
                <w:sz w:val="20"/>
              </w:rPr>
              <w:t>0.892</w:t>
            </w:r>
          </w:p>
        </w:tc>
        <w:tc>
          <w:tcPr>
            <w:tcW w:w="799" w:type="dxa"/>
            <w:vAlign w:val="center"/>
          </w:tcPr>
          <w:p w14:paraId="4850F9DF" w14:textId="77777777" w:rsidR="00ED66A2" w:rsidRDefault="00000000" w:rsidP="0030390A">
            <w:pPr>
              <w:jc w:val="center"/>
            </w:pPr>
            <w:r>
              <w:rPr>
                <w:sz w:val="20"/>
              </w:rPr>
              <w:t>0.014</w:t>
            </w:r>
          </w:p>
        </w:tc>
        <w:tc>
          <w:tcPr>
            <w:tcW w:w="1172" w:type="dxa"/>
            <w:vAlign w:val="center"/>
          </w:tcPr>
          <w:p w14:paraId="658EB02F" w14:textId="77777777" w:rsidR="00ED66A2" w:rsidRDefault="00000000" w:rsidP="0030390A">
            <w:pPr>
              <w:jc w:val="center"/>
            </w:pPr>
            <w:r>
              <w:rPr>
                <w:sz w:val="20"/>
              </w:rPr>
              <w:t>No</w:t>
            </w:r>
          </w:p>
        </w:tc>
      </w:tr>
      <w:tr w:rsidR="00ED66A2" w14:paraId="2339E3CE" w14:textId="77777777" w:rsidTr="0030390A">
        <w:trPr>
          <w:trHeight w:val="316"/>
          <w:jc w:val="center"/>
        </w:trPr>
        <w:tc>
          <w:tcPr>
            <w:tcW w:w="1163" w:type="dxa"/>
            <w:vAlign w:val="center"/>
          </w:tcPr>
          <w:p w14:paraId="4C450F24" w14:textId="77777777" w:rsidR="00ED66A2" w:rsidRDefault="00000000" w:rsidP="0030390A">
            <w:pPr>
              <w:jc w:val="center"/>
            </w:pPr>
            <w:r>
              <w:rPr>
                <w:sz w:val="20"/>
              </w:rPr>
              <w:t>21-day</w:t>
            </w:r>
          </w:p>
        </w:tc>
        <w:tc>
          <w:tcPr>
            <w:tcW w:w="799" w:type="dxa"/>
            <w:vAlign w:val="center"/>
          </w:tcPr>
          <w:p w14:paraId="1062C2B4" w14:textId="77777777" w:rsidR="00ED66A2" w:rsidRDefault="00000000" w:rsidP="0030390A">
            <w:pPr>
              <w:jc w:val="center"/>
            </w:pPr>
            <w:r>
              <w:rPr>
                <w:sz w:val="20"/>
              </w:rPr>
              <w:t>8</w:t>
            </w:r>
          </w:p>
        </w:tc>
        <w:tc>
          <w:tcPr>
            <w:tcW w:w="1017" w:type="dxa"/>
            <w:vAlign w:val="center"/>
          </w:tcPr>
          <w:p w14:paraId="37D43913" w14:textId="77777777" w:rsidR="00ED66A2" w:rsidRDefault="00000000" w:rsidP="0030390A">
            <w:pPr>
              <w:jc w:val="center"/>
            </w:pPr>
            <w:r>
              <w:rPr>
                <w:sz w:val="20"/>
              </w:rPr>
              <w:t>1.000</w:t>
            </w:r>
          </w:p>
        </w:tc>
        <w:tc>
          <w:tcPr>
            <w:tcW w:w="799" w:type="dxa"/>
            <w:vAlign w:val="center"/>
          </w:tcPr>
          <w:p w14:paraId="639E64E4" w14:textId="77777777" w:rsidR="00ED66A2" w:rsidRDefault="00000000" w:rsidP="0030390A">
            <w:pPr>
              <w:jc w:val="center"/>
            </w:pPr>
            <w:r>
              <w:rPr>
                <w:sz w:val="20"/>
              </w:rPr>
              <w:t>248</w:t>
            </w:r>
          </w:p>
        </w:tc>
        <w:tc>
          <w:tcPr>
            <w:tcW w:w="1017" w:type="dxa"/>
            <w:vAlign w:val="center"/>
          </w:tcPr>
          <w:p w14:paraId="4E917A9C" w14:textId="77777777" w:rsidR="00ED66A2" w:rsidRDefault="00000000" w:rsidP="0030390A">
            <w:pPr>
              <w:jc w:val="center"/>
            </w:pPr>
            <w:r>
              <w:rPr>
                <w:sz w:val="20"/>
              </w:rPr>
              <w:t>0.665</w:t>
            </w:r>
          </w:p>
        </w:tc>
        <w:tc>
          <w:tcPr>
            <w:tcW w:w="1017" w:type="dxa"/>
            <w:vAlign w:val="center"/>
          </w:tcPr>
          <w:p w14:paraId="3E198F35" w14:textId="77777777" w:rsidR="00ED66A2" w:rsidRDefault="00000000" w:rsidP="0030390A">
            <w:pPr>
              <w:jc w:val="center"/>
            </w:pPr>
            <w:r>
              <w:rPr>
                <w:sz w:val="20"/>
              </w:rPr>
              <w:t>+0.335</w:t>
            </w:r>
          </w:p>
        </w:tc>
        <w:tc>
          <w:tcPr>
            <w:tcW w:w="1454" w:type="dxa"/>
            <w:vAlign w:val="center"/>
          </w:tcPr>
          <w:p w14:paraId="7597CA9A" w14:textId="77777777" w:rsidR="00ED66A2" w:rsidRDefault="00000000" w:rsidP="0030390A">
            <w:pPr>
              <w:jc w:val="center"/>
            </w:pPr>
            <w:r>
              <w:rPr>
                <w:sz w:val="20"/>
              </w:rPr>
              <w:t>1.000</w:t>
            </w:r>
          </w:p>
        </w:tc>
        <w:tc>
          <w:tcPr>
            <w:tcW w:w="799" w:type="dxa"/>
            <w:vAlign w:val="center"/>
          </w:tcPr>
          <w:p w14:paraId="5B447ACB" w14:textId="77777777" w:rsidR="00ED66A2" w:rsidRDefault="00000000" w:rsidP="0030390A">
            <w:pPr>
              <w:jc w:val="center"/>
            </w:pPr>
            <w:r>
              <w:rPr>
                <w:sz w:val="20"/>
              </w:rPr>
              <w:t>N/A</w:t>
            </w:r>
          </w:p>
        </w:tc>
        <w:tc>
          <w:tcPr>
            <w:tcW w:w="1172" w:type="dxa"/>
            <w:vAlign w:val="center"/>
          </w:tcPr>
          <w:p w14:paraId="6D279988" w14:textId="77777777" w:rsidR="00ED66A2" w:rsidRDefault="00000000" w:rsidP="0030390A">
            <w:pPr>
              <w:jc w:val="center"/>
            </w:pPr>
            <w:r>
              <w:rPr>
                <w:sz w:val="20"/>
              </w:rPr>
              <w:t>No</w:t>
            </w:r>
          </w:p>
        </w:tc>
      </w:tr>
    </w:tbl>
    <w:p w14:paraId="7EE510CD" w14:textId="77777777" w:rsidR="00ED66A2" w:rsidRDefault="00ED66A2"/>
    <w:p w14:paraId="34C286CE" w14:textId="77777777" w:rsidR="0068598C" w:rsidRDefault="0068598C">
      <w:r>
        <w:t xml:space="preserve">In </w:t>
      </w:r>
      <w:r w:rsidRPr="0068598C">
        <w:t xml:space="preserve">Fig. 3. </w:t>
      </w:r>
      <w:r>
        <w:t>r</w:t>
      </w:r>
      <w:r w:rsidRPr="0068598C">
        <w:t>egime-conditioned directional accuracy across 1-day, 5-day, and 21-day horizons for the stacking ensemble</w:t>
      </w:r>
      <w:r>
        <w:t xml:space="preserve"> is shown</w:t>
      </w:r>
      <w:r w:rsidRPr="0068598C">
        <w:t>. The effect appears only at the 21-day horizon.</w:t>
      </w:r>
    </w:p>
    <w:p w14:paraId="25BA49E8" w14:textId="77777777" w:rsidR="00ED66A2" w:rsidRDefault="00000000">
      <w:pPr>
        <w:spacing w:before="120" w:after="40"/>
        <w:jc w:val="center"/>
      </w:pPr>
      <w:r>
        <w:rPr>
          <w:noProof/>
        </w:rPr>
        <w:drawing>
          <wp:inline distT="0" distB="0" distL="0" distR="0" wp14:anchorId="5F0D4459" wp14:editId="1B03E7B2">
            <wp:extent cx="5303520" cy="2572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572955"/>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3.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 xml:space="preserve">While, in </w:t>
      </w:r>
      <w:r w:rsidRPr="000A55A1">
        <w:t xml:space="preserve">Fig. 4 </w:t>
      </w:r>
      <w:r>
        <w:t>r</w:t>
      </w:r>
      <w:r w:rsidRPr="000A55A1">
        <w:t>egime-conditioned AUC heatmap</w:t>
      </w:r>
      <w:r>
        <w:t xml:space="preserve"> is shown</w:t>
      </w:r>
      <w:r w:rsidRPr="000A55A1">
        <w:t>. The 21-day High-VIX cell shows the only material threshold-free ranking advantage.</w:t>
      </w:r>
    </w:p>
    <w:p w14:paraId="5FB18F1C" w14:textId="77777777" w:rsidR="00ED66A2" w:rsidRDefault="00000000">
      <w:pPr>
        <w:spacing w:before="120" w:after="40"/>
        <w:jc w:val="center"/>
      </w:pPr>
      <w:r>
        <w:rPr>
          <w:noProof/>
        </w:rPr>
        <w:drawing>
          <wp:inline distT="0" distB="0" distL="0" distR="0" wp14:anchorId="7FDC5793" wp14:editId="4318A048">
            <wp:extent cx="5303520" cy="29703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970382"/>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4.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The statistical result is translated into a conservative deployment test. Sharpe ratios throughout this paper use an annual risk-free rate of 6.5% (India 91-day T-bill, RBI FY2025 average; daily RFR = 6.5%/252), with both the strategy and buy-and-hold series annualized as (mean daily excess return / std daily excess return) x sqrt(252) over the same 256-day evaluation window. Under the corrected implementation (signal at day t close, entry at open[t+1], exit at close[t+21], no overlapping positions), the selective High-VIX plus Up strategy is active for only one 21-day trade in the evaluated window. At zero cost, strategy Sharpe is 0.455 versus 1.204 for buy-and-hold, while maximum drawdown is lower (-3.69% versus -6.62%). Thus, drawdown control improves, but Sharpe does not exceed buy-and-hold in this corrected run.</w:t>
      </w:r>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8. Trading performance of the selective deployment rule versus benchmark strategies on the held-out test period</w:t>
      </w:r>
      <w:r>
        <w:rPr>
          <w:i/>
          <w:sz w:val="20"/>
        </w:rPr>
        <w:t>.</w:t>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5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5.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6.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Regime-specific SHAP analysis (mean absolute SHAP value, XGBoost, 21-day horizon; High-VIX n=8, Low-VIX n=248, both sparse and this-sample-only) shows bb_upper as the single dominant feature in both regimes (0.394 High-VIX vs 0.339 Low-VIX). Beyond that, the regime shift runs in both directions: macd_signal, ema20, and macd become relatively more important in High-VIX, while atr14 (0.019 vs 0.212) and bb_width (0.023 vs 0.091) become markedly less important in High-VIX than in Low-VIX -- the opposite of a simple 'volatility features matter more when volatility is high' story. We revise our earlier, more categorical claim accordingly: the regime shift in feature importance is real but feature-specific, not a uniform amplification of volatility indicators, and should be read with the same n=8 sparsity caveat as the accuracy results.</w:t>
      </w:r>
      <w:r/>
    </w:p>
    <w:p>
      <w:pPr/>
      <w:r>
        <w:drawing>
          <wp:inline xmlns:a="http://schemas.openxmlformats.org/drawingml/2006/main" xmlns:pic="http://schemas.openxmlformats.org/drawingml/2006/picture">
            <wp:extent cx="5303520" cy="3148518"/>
            <wp:docPr id="529019808" name="Picture 529019808"/>
            <wp:cNvGraphicFramePr>
              <a:graphicFrameLocks noChangeAspect="1"/>
            </wp:cNvGraphicFramePr>
            <a:graphic>
              <a:graphicData uri="http://schemas.openxmlformats.org/drawingml/2006/picture">
                <pic:pic>
                  <pic:nvPicPr>
                    <pic:cNvPr id="0" name="R07_shap_regime_comparison.png"/>
                    <pic:cNvPicPr/>
                  </pic:nvPicPr>
                  <pic:blipFill>
                    <a:blip r:embed="rId21"/>
                    <a:stretch>
                      <a:fillRect/>
                    </a:stretch>
                  </pic:blipFill>
                  <pic:spPr>
                    <a:xfrm>
                      <a:off x="0" y="0"/>
                      <a:ext cx="5303520" cy="3148518"/>
                    </a:xfrm>
                    <a:prstGeom prst="rect"/>
                  </pic:spPr>
                </pic:pic>
              </a:graphicData>
            </a:graphic>
          </wp:inline>
        </w:drawing>
      </w:r>
    </w:p>
    <w:p>
      <w:r>
        <w:t>Fig. 11. Regime-specific SHAP feature importance (mean |SHAP|, XGBoost, 21-day horizon; High-VIX n=8, Low-VIX n=248).</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9.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7.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more tentative than in the previous draft. Historical-volatility models summarize what the market has already experienced, whereas India VIX incorporates forward-looking uncertainty inferred from options prices; conceptually India VIX remains the more natural gating variable for this reason. Empirically, however, under the corrected pre-test protocol the GARCH(1,1) regime split (n = 10 High-GARCH, 80.0% accuracy) is no more statistically supported than the VIX split (n = 8, 100.0% accuracy): both non-overlapping Fisher tests return p = 1.000. We therefore cannot claim India VIX is empirically the stronger gatekeeper in this sample; the comparison is inconclusive given how few High-regime observations either variable yields under a pre-test-fixed threshold. Table 10 reports both regime splits and their intersection.</w:t>
      </w:r>
      <w:r w:rsidR="0045021F"/>
      <w:r w:rsidR="0045021F" w:rsidRPr="0045021F"/>
      <w:r w:rsidR="0045021F"/>
      <w:r w:rsidR="0045021F" w:rsidRPr="0045021F"/>
    </w:p>
    <w:p w14:paraId="055BB94E" w14:textId="77777777" w:rsidR="00ED66A2" w:rsidRPr="00127063" w:rsidRDefault="00000000" w:rsidP="00127063">
      <w:pPr>
        <w:spacing w:before="80" w:after="80"/>
        <w:jc w:val="center"/>
        <w:rPr>
          <w:iCs/>
        </w:rPr>
      </w:pPr>
      <w:r w:rsidRPr="00127063">
        <w:rPr>
          <w:iCs/>
          <w:sz w:val="20"/>
        </w:rPr>
        <w:t>Table 10.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Fig. 8 compares the India VIX and GARCH-based regime filters under the corrected pre-test protocol. Neither split reaches statistical significance (Fisher p = 1.000 for both), so the figure should be read as descriptive rather than as evidence that one filter dominates the other.</w:t>
      </w:r>
      <w:r w:rsidR="00A840FF"/>
      <w:r/>
      <w:r w:rsidRPr="00A13D22"/>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8.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11. Threshold sensitivity, quarterly concentration, and independent P1 replication summary.</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9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9. Bootstrap confidence intervals and temporal concentration of the High-VIX result. </w:t>
      </w:r>
    </w:p>
    <w:p w14:paraId="40E5E467" w14:textId="77777777" w:rsidR="00ED66A2" w:rsidRDefault="00ED66A2"/>
    <w:p w14:paraId="4E78280C" w14:textId="77777777" w:rsidR="00ED66A2" w:rsidRDefault="00000000">
      <w:pPr>
        <w:pStyle w:val="Heading2"/>
      </w:pPr>
      <w:r>
        <w:rPr>
          <w:rFonts w:ascii="Times New Roman" w:hAnsi="Times New Roman"/>
        </w:rPr>
        <w:t>6.4.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On inspection, the available secondary pipeline (P1) does not provide a clean independent replication: its regime threshold was calibrated from the test-period VIX distribution rather than a pre-test window -- the same look-ahead-bias pattern this revision corrects for the primary pipeline -- and different snapshots of its regime split in the underlying project are mutually inconsistent in both sample window and High-VIX count. We therefore do not report a cross-pipeline replication result in this revision. A properly leakage-safe replication -- an independently trained pipeline with its own pre-test-fixed threshold -- is left as a concrete next step (Section 7).</w:t>
      </w:r>
    </w:p>
    <w:p w14:paraId="45B47B2A" w14:textId="77777777" w:rsidR="00F90DE7" w:rsidRDefault="00F90DE7">
      <w:pPr>
        <w:spacing w:after="80" w:line="360" w:lineRule="auto"/>
        <w:ind w:firstLine="360"/>
      </w:pPr>
    </w:p>
    <w:p w14:paraId="04B38F87" w14:textId="77777777" w:rsidR="00ED66A2" w:rsidRPr="00BB04E7" w:rsidRDefault="00000000" w:rsidP="00BB04E7">
      <w:pPr>
        <w:spacing w:before="80" w:after="80"/>
        <w:jc w:val="center"/>
        <w:rPr>
          <w:iCs/>
        </w:rPr>
      </w:pPr>
      <w:r w:rsidRPr="00BB04E7">
        <w:rPr>
          <w:iCs/>
          <w:sz w:val="20"/>
        </w:rPr>
        <w:t>Cross-pipeline replication figure omitted in this revision: the only available secondary pipeline (P1) uses a look-ahead-biased, test-period-derived regime threshold and is not a valid leakage-safe comparison (see Section 6.4).</w:t>
      </w:r>
    </w:p>
    <w:p w14:paraId="7795EA22" w14:textId="77777777" w:rsidR="00ED66A2" w:rsidRDefault="00ED66A2"/>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is more nuanced than a simple economic narrative would suggest. Regime-specific SHAP analysis (Section 5.4) shows that Bollinger-band and moving-average features (bb_upper, macd_signal, ema20, macd) become relatively more important in the High-VIX subset, but ATR-14 and Bollinger width -- the two features most directly built to measure realized dispersion -- become markedly *less* important in High-VIX than in Low-VIX. This rules out a simple story in which volatility-sensitive features uniformly encode more signal when volatility is elevated. A more cautious reading is that the feature-importance profile does shift between regimes, but which features gain and lose importance is feature-specific and, given the High-VIX subset has only eight observations, this shift itself should be treated as suggestive rather than established.</w:t>
      </w:r>
    </w:p>
    <w:p w14:paraId="5C347263" w14:textId="77777777" w:rsidR="00ED66A2" w:rsidRDefault="00000000">
      <w:pPr>
        <w:spacing w:after="80" w:line="360" w:lineRule="auto"/>
        <w:ind w:firstLine="360"/>
      </w:pPr>
      <w:r>
        <w:t>This interpretation also explains the absence of a result at 1-day and 5-day horizons. If the effect were merely 'high volatility helps forecasting', the shorter horizons should have improved as well. They do not. The most plausible reading is that the relevant mechanism is medium-term information absorption or momentum continuation rather than short-term directional clarity. That makes the 21-day horizon a natural operational horizon for the system and discourages overextension of the result to day trading or ultra-short tactical signals.</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shows that medium-term Bank Nifty directional behavior is state-sensitive under India VIX conditioning, but the corrected evidence is more nuanced than our earlier draft. After removing leakage pathways and enforcing deployable threshold calibration, the High-VIX subset becomes small and class-concentrated. Conditional separation remains observable, yet unconditional and baseline-adjusted performance limits the strength of practical predictability claims.</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