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FEBD" w14:textId="77777777" w:rsidR="00ED66A2" w:rsidRDefault="00000000">
      <w:pPr>
        <w:spacing w:before="160" w:after="160"/>
        <w:jc w:val="center"/>
      </w:pPr>
      <w:r>
        <w:rPr>
          <w:b/>
          <w:sz w:val="32"/>
        </w:rPr>
        <w:t>India VIX as a Regime Filter for Bank Nifty Directional Prediction: A Leakage-Safe Reliability Assessment</w:t>
      </w:r>
    </w:p>
    <w:p w14:paraId="555CA36D" w14:textId="77777777" w:rsidR="00ED66A2" w:rsidRDefault="00000000">
      <w:pPr>
        <w:pStyle w:val="Heading1"/>
      </w:pPr>
      <w:r>
        <w:rPr>
          <w:rFonts w:ascii="Times New Roman" w:hAnsi="Times New Roman"/>
        </w:rPr>
        <w:t>Abstract</w:t>
      </w:r>
    </w:p>
    <w:p w14:paraId="5DF675B8" w14:textId="77777777"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and uses the exercise to demonstrate how two specific methodological errors -- a test-period-derived (look-ahead-biased) regime threshold and an overlapping-position trading simulation -- can manufacture an apparently strong positive result. After correcting split leakage, removing threshold look-ahead bias, and using dependence-aware inference, the deployable fixed regime threshold (train+validation p75 = 18.71) yields a sparse High-VIX subset. On the aligned evaluation sample, regime-conditioned accuracy is 100.0% (High-VIX, N=8) versus 66.5% (Low-VIX, N=248), but the High-VIX local majority baseline is also 100.0%, and dependence-aware tests (non-overlapping Fisher, block-permutation) are not significant after correction. A year-by-year walk-forward analysis across six independently evaluated years shows the High-VIX advantage in only one year (2021), with the other five years going the other way by 11-39 percentage points -- direct evidence that the primary-sample result is concentrated in a single stress episode rather than reflecting a general regime effect. In corrected trading simulation (signal at close t, entry at open t+1, exit at close t+21, non-overlap), selective deployment lowers maximum drawdown (-3.69% vs -6.62%) but does not exceed buy-and-hold Sharpe at any tested cost level (0.455 vs 1.204 at 0 bps; 0.375 vs 1.204 at 50 bps) -- reversing our earlier, uncorrected claim of Sharpe superiority (2.216 vs 1.963). We therefore position the contribution as a methodological case study in how leakage and look-ahead bias can manufacture an entire positive finding in regime-conditional financial ML, together with a transparent, fully corrected reliability-assessment framework, rather than as evidence of a validated trading edge.</w:t>
      </w:r>
    </w:p>
    <w:p w14:paraId="530F0DFA" w14:textId="77777777"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03980C83" w14:textId="77777777" w:rsidR="00ED66A2" w:rsidRDefault="00000000">
      <w:pPr>
        <w:pStyle w:val="Heading1"/>
      </w:pPr>
      <w:r>
        <w:rPr>
          <w:rFonts w:ascii="Times New Roman" w:hAnsi="Times New Roman"/>
        </w:rPr>
        <w:t>1. Introduction</w:t>
      </w:r>
    </w:p>
    <w:p w14:paraId="7B24A526" w14:textId="7BC7E370"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46651">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Work","type":"article-journal","volume":"25"},"uris":["http://www.mendeley.com/documents/?uuid=59a45523-7225-4fd8-a895-a2f4be183b9a"]},{"id":"ITEM-2","itemData":{"DOI":"https://doi.org/10.1111/j.1540-6261.1991.tb04636.x","ISSN":"00221082","abstract":"The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w:t>
      </w:r>
      <w:r>
        <w:lastRenderedPageBreak/>
        <w:t xml:space="preserve">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47E09F69"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0F505BAF" w14:textId="77777777"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18DA0891" w14:textId="77777777" w:rsidR="00ED66A2" w:rsidRDefault="00000000">
      <w:pPr>
        <w:spacing w:after="80" w:line="360" w:lineRule="auto"/>
        <w:ind w:firstLine="360"/>
      </w:pPr>
      <w:r>
        <w:t>The present study asks a narrow but decision-relevant question: does India VIX condition the directional predictability of Bank Nifty at short and medium horizons when the underlying predictive engine is a modern stacking ensemble? The answer, after correcting for split leakage, threshold look-ahead bias, and overlapping-observation dependence, is: not reliably, at least not in this sample. The ensemble does not dominate naive baselines unconditionally; the unconditioned 21-day test accuracy is below the majority-class rate in a strongly bullish test sample. Partitioning the held-out test period by a pre-test-fixed India VIX threshold does surface a large accuracy gap at the 21-day horizon (100.0% vs 66.5%), but the High-VIX subset contains only eight observations, all realizing the same outcome, and dependence-aware significance tests (non-overlapping Fisher, block-permutation) do not reject the null after correction. We therefore present this as a conditional pattern warranting cautious interpretation and further replication, not as an established regime effect.</w:t>
      </w:r>
      <w:r/>
    </w:p>
    <w:p w14:paraId="7F875ACB" w14:textId="77777777" w:rsidR="00ED66A2" w:rsidRDefault="00000000">
      <w:pPr>
        <w:spacing w:after="80" w:line="360" w:lineRule="auto"/>
        <w:ind w:firstLine="360"/>
      </w:pPr>
      <w:r>
        <w:t>This paper makes four contributions. First, it provides the first evidence in this project context that Bank Nifty directional forecasting accuracy shows a large, but statistically unconfirmed, regime-conditional gap when regimes are defined by a pre-test-fixed India VIX threshold and evaluated on a fully held-out period. Second, using 1-day and 5-day models retrained on the same corrected pipeline, it shows the pattern is not confined to a single horizon in the way we originally expected: the 1-day horizon shows no regime gap (62.5% vs 54.8%, Fisher p=0.734), but the 5-day horizon shows a nominally larger gap than 21-day itself (100.0% vs 55.2%, uncorrected Fisher p=0.011), on the same 8 High-VIX days used throughout. We read this as further evidence of fragility rather than a clean horizon-specific mechanism: with only 8 High-VIX observations shared across all three horizons, single-day outcome flips can move any of these numbers substantially, and the 5-day result has not been subjected to the same dependence-aware protocol (block bootstrap, non-overlapping resampling) applied to the 21-day headline result. Third, it converts the statistical result into an explicit, deployable trading rule and reports its risk-adjusted performance honestly: under the corrected protocol the selective rule trades once, is active for 21 of 256 aligned test days, lowers maximum drawdown relative to buy-and-hold (-3.69% vs -6.62%) but does not exceed buy-and-hold Sharpe at any tested transaction-cost level. Fourth, it frames the ensemble plus regime filter as an expert decision system and documents, transparently, the methodological corrections (leakage removal, look-ahead-bias removal, dependence-aware inference) needed before such a system's claims can be trusted.</w:t>
      </w:r>
      <w:r w:rsidR="00FC18EA"/>
    </w:p>
    <w:p w14:paraId="06B31FD3" w14:textId="503AEFF1"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r w:rsidR="000E5C8F">
        <w:t>generalization</w:t>
      </w:r>
      <w:r>
        <w:t>. Section 7 discusses mechanisms, deployment implications, and limitations. Section 8 concludes.</w:t>
      </w:r>
    </w:p>
    <w:p w14:paraId="20D8A1B8" w14:textId="77777777" w:rsidR="00ED66A2" w:rsidRDefault="00000000">
      <w:pPr>
        <w:pStyle w:val="Heading1"/>
      </w:pPr>
      <w:r>
        <w:rPr>
          <w:rFonts w:ascii="Times New Roman" w:hAnsi="Times New Roman"/>
        </w:rPr>
        <w:t>2. Related Work and Research Positioning</w:t>
      </w:r>
    </w:p>
    <w:p w14:paraId="31C0CEEF" w14:textId="77777777" w:rsidR="00ED66A2" w:rsidRDefault="00000000">
      <w:pPr>
        <w:pStyle w:val="Heading2"/>
      </w:pPr>
      <w:r>
        <w:rPr>
          <w:rFonts w:ascii="Times New Roman" w:hAnsi="Times New Roman"/>
        </w:rPr>
        <w:t>2.1. Regime-dependent predictability and implied volatility</w:t>
      </w:r>
    </w:p>
    <w:p w14:paraId="4CCF7E6A" w14:textId="62E64617" w:rsidR="00ED66A2" w:rsidRDefault="00000000">
      <w:pPr>
        <w:spacing w:after="80" w:line="360" w:lineRule="auto"/>
        <w:ind w:firstLine="360"/>
      </w:pPr>
      <w:r>
        <w:t xml:space="preserve">A substantial strand of finance research argues that predictability is regime-dependent rather than constant. Regime-switching models </w:t>
      </w:r>
      <w:r w:rsidR="000E5C8F">
        <w:t>formalized</w:t>
      </w:r>
      <w:r>
        <w:t xml:space="preserve"> the idea that return-generating processes differ across latent states </w:t>
      </w:r>
      <w:r w:rsidR="007535C2">
        <w:fldChar w:fldCharType="begin" w:fldLock="1"/>
      </w:r>
      <w:r w:rsidR="000E5C8F">
        <w:instrText>ADDIN CSL_CITATION {"citationItems":[{"id":"ITEM-1","itemData":{"DOI":"https://doi.org/10.2307/1912559","abstract":"This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r w:rsidR="000E5C8F">
        <w:t>behavior</w:t>
      </w:r>
      <w:r>
        <w:t xml:space="preserve">, and information processing </w:t>
      </w:r>
      <w:r w:rsidR="00694262">
        <w:fldChar w:fldCharType="begin" w:fldLock="1"/>
      </w:r>
      <w:r w:rsidR="000E5C8F">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4F318F4F" w14:textId="2F33DFC0" w:rsidR="00ED66A2" w:rsidRDefault="00000000">
      <w:pPr>
        <w:spacing w:after="80" w:line="360" w:lineRule="auto"/>
        <w:ind w:firstLine="360"/>
      </w:pPr>
      <w:r>
        <w:lastRenderedPageBreak/>
        <w:t xml:space="preserve">What remains underdeveloped in the emerging-market machine-learning literature is the translation of regime theory into a deployment protocol. Many studies cite volatility clustering or market phases as a </w:t>
      </w:r>
      <w:r w:rsidR="000E5C8F">
        <w:t>stylized</w:t>
      </w:r>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3B53ABA2" w14:textId="77777777" w:rsidR="00ED66A2" w:rsidRDefault="00000000">
      <w:pPr>
        <w:pStyle w:val="Heading2"/>
      </w:pPr>
      <w:r>
        <w:rPr>
          <w:rFonts w:ascii="Times New Roman" w:hAnsi="Times New Roman"/>
        </w:rPr>
        <w:t>2.2. Machine learning and deep learning for directional forecasting</w:t>
      </w:r>
    </w:p>
    <w:p w14:paraId="13EC28D7" w14:textId="04C45626" w:rsidR="00ED66A2" w:rsidRDefault="00000000">
      <w:pPr>
        <w:spacing w:after="80" w:line="360" w:lineRule="auto"/>
        <w:ind w:firstLine="360"/>
      </w:pPr>
      <w:r>
        <w:t>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w:t>
      </w:r>
      <w:r w:rsidR="000E5C8F">
        <w:t xml:space="preserve"> </w:t>
      </w:r>
      <w:r w:rsidR="000E5C8F">
        <w:fldChar w:fldCharType="begin" w:fldLock="1"/>
      </w:r>
      <w:r w:rsidR="006576CE">
        <w:instrText>ADDIN CSL_CITATION {"citationItems":[{"id":"ITEM-1","itemData":{"DOI":"10.1016/j.ejor.2017.11.054","ISSN":"03772217","abstract":"Long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author":[{"dropping-particle":"","family":"Fischer","given":"Thomas","non-dropping-particle":"","parse-names":false,"suffix":""},{"dropping-particle":"","family":"Krauss","given":"Christopher","non-dropping-particle":"","parse-names":false,"suffix":""}],"container-title":"European Journal of Operational Research","id":"ITEM-1","issue":"2","issued":{"date-parts":[["2018"]]},"page":"654-669","publisher":"Elsevier B.V.","title":"Deep learning with long short-term memory networks for financial market predictions","type":"article-journal","volume":"270"},"uris":["http://www.mendeley.com/documents/?uuid=3f726a39-9f96-4adc-a94d-b6b1cdb93b04"]},{"id":"ITEM-2","itemData":{"DOI":"10.1016/j.procs.2018.05.050","ISSN":"18770509","abstract":"The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Science","id":"ITEM-2","issue":"Iccids","issued":{"date-parts":[["2018"]]},"page":"1351-1362","publisher":"Elsevier B.V.","title":"NSE Stock Market Prediction Using Deep-Learning Models","type":"article-journal","volume":"132"},"uris":["http://www.mendeley.com/documents/?uuid=e7a6b981-de14-4599-bf4d-142a53529421"]},{"id":"ITEM-3","itemData":{"DOI":"10.1016/j.procs.2016.06.096","ISSN":"18770509","abstract":"Stock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Science","id":"ITEM-3","issued":{"date-parts":[["2016"]]},"page":"441-449","publisher":"The Author(s)","title":"Prediction Models for Indian Stock Market","type":"article-journal","volume":"89"},"uris":["http://www.mendeley.com/documents/?uuid=fff27e86-2988-4d0c-8b03-6e18b319f8d5"]},{"id":"ITEM-4","itemData":{"DOI":"10.1016/j.eswa.2014.07.040","ISSN":"09574174","abstract":"This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Applications","id":"ITEM-4","issue":"1","issued":{"date-parts":[["2015"]]},"page":"259-268","publisher":"Elsevier Ltd","title":"Predicting stock and stock price index movement using Trend Deterministic Data Preparation and machine learning techniques","type":"article-journal","volume":"42"},"uris":["http://www.mendeley.com/documents/?uuid=447b8aa7-6311-43f8-936d-f6d908fe30a1"]},{"id":"ITEM-5","itemData":{"DOI":"10.1016/j.asoc.2020.106181","ISSN":"15684946","abstract":"Financial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 Journal","id":"ITEM-5","issued":{"date-parts":[["2020"]]},"page":"106181","publisher":"Elsevier B.V.","title":"Financial time series forecasting with deep learning: A systematic literature review: 2005–2019","type":"article-journal","volume":"90"},"uris":["http://www.mendeley.com/documents/?uuid=a6e2a3d6-0974-45d6-a0f0-eae6a41ef26f"]}],"mendeley":{"formattedCitation":"(Fischer &amp; Krauss, 2018; Hiransha et al., 2018; Nayak et al., 2016; Patel et al., 2015; Sezer et al., 2020)","plainTextFormattedCitation":"(Fischer &amp; Krauss, 2018; Hiransha et al., 2018; Nayak et al., 2016; Patel et al., 2015; Sezer et al., 2020)","previouslyFormattedCitation":"(Fischer &amp; Krauss, 2018; Hiransha et al., 2018; Nayak et al., 2016; Patel et al., 2015; Sezer et al., 2020)"},"properties":{"noteIndex":0},"schema":"https://github.com/citation-style-language/schema/raw/master/csl-citation.json"}</w:instrText>
      </w:r>
      <w:r w:rsidR="000E5C8F">
        <w:fldChar w:fldCharType="separate"/>
      </w:r>
      <w:r w:rsidR="000E5C8F" w:rsidRPr="000E5C8F">
        <w:rPr>
          <w:noProof/>
        </w:rPr>
        <w:t>(Fischer &amp; Krauss, 2018; Hiransha et al., 2018; Nayak et al., 2016; Patel et al., 2015; Sezer et al., 2020)</w:t>
      </w:r>
      <w:r w:rsidR="000E5C8F">
        <w:fldChar w:fldCharType="end"/>
      </w:r>
      <w:r>
        <w:t>.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w:t>
      </w:r>
      <w:r w:rsidR="006576CE">
        <w:t xml:space="preserve"> </w:t>
      </w:r>
      <w:r w:rsidR="006576CE">
        <w:fldChar w:fldCharType="begin" w:fldLock="1"/>
      </w:r>
      <w:r w:rsidR="00026047">
        <w:instrText>ADDIN CSL_CITATION {"citationItems":[{"id":"ITEM-1","itemData":{"DOI":"10.1016/j.eswa.2016.02.006","ISSN":"09574174","abstract":"Financial markets play an important role on the economical and social organization of modern society. In these kinds of markets, information is an invaluable asset. However, with the modernization of the financial transactions and the information systems, the large amount of information available for a trader can make prohibitive the analysis of a financial asset. In the last decades, many researchers have attempted to develop computational intelligent methods and algorithms to support the decision-making in different financial market segments. In the literature, there is a huge number of scientific papers that investigate the use of computational intelligence techniques to solve financial market problems. However, only few studies have focused on review the literature of this topic. Most of the existing review articles have a limited scope, either by focusing on a specific financial market application or by focusing on a family of machine learning algorithms. This paper presents a review of the application of several computational intelligent methods in several financial applications. This paper gives an overview of the most important primary studies published from 2009 to 2015, which cover techniques for preprocessing and clustering of financial data, for forecasting future market movements, for mining financial text information, among others. The main contributions of this paper are: (i) a comprehensive review of the literature of this field, (ii) the definition of a systematic procedure for guiding the task of building an intelligent trading system and (iii) a discussion about the main challenges and open problems in this scientific field.","author":[{"dropping-particle":"","family":"Cavalcante","given":"Rodolfo C.","non-dropping-particle":"","parse-names":false,"suffix":""},{"dropping-particle":"","family":"Brasileiro","given":"Rodrigo C.","non-dropping-particle":"","parse-names":false,"suffix":""},{"dropping-particle":"","family":"Souza","given":"Victor L.F.","non-dropping-particle":"","parse-names":false,"suffix":""},{"dropping-particle":"","family":"Nobrega","given":"Jarley P.","non-dropping-particle":"","parse-names":false,"suffix":""},{"dropping-particle":"","family":"Oliveira","given":"Adriano L.I.","non-dropping-particle":"","parse-names":false,"suffix":""}],"container-title":"Expert Systems with Applications","id":"ITEM-1","issued":{"date-parts":[["2016"]]},"page":"194-211","publisher":"Elsevier Ltd","title":"Computational Intelligence and Financial Markets: A Survey and Future Directions","type":"article-journal","volume":"55"},"uris":["http://www.mendeley.com/documents/?uuid=3d4fff9d-d4a6-4cb9-b3be-e8b4cd54ec7a"]}],"mendeley":{"formattedCitation":"(Cavalcante et al., 2016)","plainTextFormattedCitation":"(Cavalcante et al., 2016)","previouslyFormattedCitation":"(Cavalcante et al., 2016)"},"properties":{"noteIndex":0},"schema":"https://github.com/citation-style-language/schema/raw/master/csl-citation.json"}</w:instrText>
      </w:r>
      <w:r w:rsidR="006576CE">
        <w:fldChar w:fldCharType="separate"/>
      </w:r>
      <w:r w:rsidR="006576CE" w:rsidRPr="006576CE">
        <w:rPr>
          <w:noProof/>
        </w:rPr>
        <w:t>(Cavalcante et al., 2016)</w:t>
      </w:r>
      <w:r w:rsidR="006576CE">
        <w:fldChar w:fldCharType="end"/>
      </w:r>
      <w:r>
        <w:t xml:space="preserve"> document that no single algorithm consistently dominates across financial forecasting tasks, while</w:t>
      </w:r>
      <w:r w:rsidR="00026047">
        <w:t xml:space="preserve"> </w:t>
      </w:r>
      <w:r w:rsidR="00026047">
        <w:fldChar w:fldCharType="begin" w:fldLock="1"/>
      </w:r>
      <w:r w:rsidR="00A2706C">
        <w:instrText>ADDIN CSL_CITATION {"citationItems":[{"id":"ITEM-1","itemData":{"DOI":"10.1016/j.eswa.2019.01.012","ISSN":"09574174","abstract":"The search for models to predict the prices of financial markets is still a highly researched topic, despite major related challenges. The prices of financial assets are non-linear, dynamic, and chaotic; thus, they are financial time series that are difficult to predict. Among the latest techniques, machine learning models are some of the most researched, given their capabilities for recognizing complex patterns in various applications. With the high productivity in the machine learning area applied to the prediction of financial market prices, objective methods are required for a consistent analysis of the most relevant bibliography on the subject. This article proposes the use of bibliographic survey techniques that highlight the most important texts for an area of research. Specifically, these techniques are applied to the literature about machine learning for predicting financial market values, resulting in a bibliographical review of the most important studies about this topic. Fifty-seven texts were reviewed, and a classification was proposed for markets, assets, methods, and variables. Among the main results, of particular note is the greater number of studies that use data from the North American market. The most commonly used models for prediction involve support vector machines (SVMs) and neural networks. It was concluded that the research theme is still relevant and that the use of data from developing markets is a research opportunity.","author":[{"dropping-particle":"","family":"Henrique","given":"Bruno Miranda","non-dropping-particle":"","parse-names":false,"suffix":""},{"dropping-particle":"","family":"Sobreiro","given":"Vinicius Amorim","non-dropping-particle":"","parse-names":false,"suffix":""},{"dropping-particle":"","family":"Kimura","given":"Herbert","non-dropping-particle":"","parse-names":false,"suffix":""}],"container-title":"Expert Systems with Applications","id":"ITEM-1","issued":{"date-parts":[["2019"]]},"page":"226-251","publisher":"Elsevier Ltd","title":"Literature review: Machine learning techniques applied to financial market prediction","type":"article-journal","volume":"124"},"uris":["http://www.mendeley.com/documents/?uuid=518e3876-930b-4f38-8936-e8989e24e9de"]}],"mendeley":{"formattedCitation":"(Henrique et al., 2019)","plainTextFormattedCitation":"(Henrique et al., 2019)","previouslyFormattedCitation":"(Henrique et al., 2019)"},"properties":{"noteIndex":0},"schema":"https://github.com/citation-style-language/schema/raw/master/csl-citation.json"}</w:instrText>
      </w:r>
      <w:r w:rsidR="00026047">
        <w:fldChar w:fldCharType="separate"/>
      </w:r>
      <w:r w:rsidR="00026047" w:rsidRPr="00026047">
        <w:rPr>
          <w:noProof/>
        </w:rPr>
        <w:t>(Henrique et al., 2019)</w:t>
      </w:r>
      <w:r w:rsidR="00026047">
        <w:fldChar w:fldCharType="end"/>
      </w:r>
      <w:r w:rsidR="00026047">
        <w:t xml:space="preserve"> </w:t>
      </w:r>
      <w:r>
        <w:t xml:space="preserve">review the ML literature and highlight that robust out-of-sample evaluation methodology remains a persistent challenge. Among directional forecasting benchmarks, </w:t>
      </w:r>
      <w:r w:rsidR="00A2706C">
        <w:fldChar w:fldCharType="begin" w:fldLock="1"/>
      </w:r>
      <w:r w:rsidR="00A2706C">
        <w:instrText>ADDIN CSL_CITATION {"citationItems":[{"id":"ITEM-1","itemData":{"DOI":"10.1016/j.cor.2004.03.016","ISSN":"03050548","abstract":"Support vector machine (SVM) is a very specific type of learning algorithms characterized by the capacity control of the decision function, the use of the kernel functions and the sparsity of the solution. In this paper, we investigate the predictability of financial movement direction with SVM by forecasting the weekly movement direction of NIKKEI 225 index. To evaluate the forecasting ability of SVM, we compare its performance with those of Linear Discriminant Analysis, Quadratic Discriminant Analysis and Elman Backpropagation Neural Networks. The experiment results show that SVM outperforms the other classification methods. Further, we propose a combining model by integrating SVM with the other classification methods. The combining model performs best among all the forecasting methods. © 2004 Elsevier Ltd. All rights reserved.","author":[{"dropping-particle":"","family":"Huang","given":"Wei","non-dropping-particle":"","parse-names":false,"suffix":""},{"dropping-particle":"","family":"Nakamori","given":"Yoshiteru","non-dropping-particle":"","parse-names":false,"suffix":""},{"dropping-particle":"","family":"Wang","given":"Shou Yang","non-dropping-particle":"","parse-names":false,"suffix":""}],"container-title":"Computers and Operations Research","id":"ITEM-1","issue":"10","issued":{"date-parts":[["2005"]]},"page":"2513-2522","title":"Forecasting stock market movement direction with support vector machine","type":"article-journal","volume":"32"},"uris":["http://www.mendeley.com/documents/?uuid=93bf0b74-ff6c-4b42-860f-14975fe4522d"]}],"mendeley":{"formattedCitation":"(Huang et al., 2005)","plainTextFormattedCitation":"(Huang et al., 2005)","previouslyFormattedCitation":"(Huang et al., 2005)"},"properties":{"noteIndex":0},"schema":"https://github.com/citation-style-language/schema/raw/master/csl-citation.json"}</w:instrText>
      </w:r>
      <w:r w:rsidR="00A2706C">
        <w:fldChar w:fldCharType="separate"/>
      </w:r>
      <w:r w:rsidR="00A2706C" w:rsidRPr="00A2706C">
        <w:rPr>
          <w:noProof/>
        </w:rPr>
        <w:t>(Huang et al., 2005)</w:t>
      </w:r>
      <w:r w:rsidR="00A2706C">
        <w:fldChar w:fldCharType="end"/>
      </w:r>
      <w:r>
        <w:t xml:space="preserve"> provided early evidence that technical-indicator classifiers can achieve competitive accuracy using support vector machines, and </w:t>
      </w:r>
      <w:r w:rsidR="00A2706C">
        <w:fldChar w:fldCharType="begin" w:fldLock="1"/>
      </w:r>
      <w:r w:rsidR="00D031D3">
        <w:instrText>ADDIN CSL_CITATION {"citationItems":[{"id":"ITEM-1","itemData":{"DOI":"10.1016/j.eswa.2015.05.013","ISSN":"09574174","abstract":"Stock price direction prediction is an important issue in the financial world. Even small improvements in predictive performance can be very profitable. The purpose of this paper is to benchmark ensemble methods (Random Forest, AdaBoost and Kernel Factory) against single classifier models (Neural Networks, Logistic Regression, Support Vector Machines and K-Nearest Neighbor). We gathered data from 5767 publicly listed European companies and used the area under the receiver operating characteristic curve (AUC) as a performance measure. Our predictions are one year ahead. The results indicate that Random Forest is the top algorithm followed by Support Vector Machines, Kernel Factory, AdaBoost, Neural Networks, K-Nearest Neighbors and Logistic Regression. This study contributes to literature in that it is, to the best of our knowledge, the first to make such an extensive benchmark. The results clearly suggest that novel studies in the domain of stock price direction prediction should include ensembles in their sets of algorithms. Our extensive literature review evidently indicates that this is currently not the case.","author":[{"dropping-particle":"","family":"Ballings","given":"Michel","non-dropping-particle":"","parse-names":false,"suffix":""},{"dropping-particle":"","family":"Poel","given":"Dirk","non-dropping-particle":"Van Den","parse-names":false,"suffix":""},{"dropping-particle":"","family":"Hespeels","given":"Nathalie","non-dropping-particle":"","parse-names":false,"suffix":""},{"dropping-particle":"","family":"Gryp","given":"Ruben","non-dropping-particle":"","parse-names":false,"suffix":""}],"container-title":"Expert Systems with Applications","id":"ITEM-1","issue":"20","issued":{"date-parts":[["2015"]]},"page":"7046-7056","publisher":"Elsevier Ltd","title":"Evaluating multiple classifiers for stock price direction prediction","type":"article-journal","volume":"42"},"uris":["http://www.mendeley.com/documents/?uuid=b37b14df-11fd-4c9d-9636-5a543fc0745b"]}],"mendeley":{"formattedCitation":"(Ballings et al., 2015)","plainTextFormattedCitation":"(Ballings et al., 2015)","previouslyFormattedCitation":"(Ballings et al., 2015)"},"properties":{"noteIndex":0},"schema":"https://github.com/citation-style-language/schema/raw/master/csl-citation.json"}</w:instrText>
      </w:r>
      <w:r w:rsidR="00A2706C">
        <w:fldChar w:fldCharType="separate"/>
      </w:r>
      <w:r w:rsidR="00A2706C" w:rsidRPr="00A2706C">
        <w:rPr>
          <w:noProof/>
        </w:rPr>
        <w:t>(Ballings et al., 2015)</w:t>
      </w:r>
      <w:r w:rsidR="00A2706C">
        <w:fldChar w:fldCharType="end"/>
      </w:r>
      <w:r>
        <w:t xml:space="preserve"> show through multi-classifier comparisons on European equities that ensemble methods offer consistent advantages over individual models. Reviews of deep learning for stock prediction</w:t>
      </w:r>
      <w:r w:rsidR="00D031D3">
        <w:t xml:space="preserve"> </w:t>
      </w:r>
      <w:r w:rsidR="00D031D3">
        <w:fldChar w:fldCharType="begin" w:fldLock="1"/>
      </w:r>
      <w:r w:rsidR="00D031D3">
        <w:instrText>ADDIN CSL_CITATION {"citationItems":[{"id":"ITEM-1","itemData":{"DOI":"10.1016/j.eswa.2021.115537","ISSN":"09574174","abstract":"Stock market prediction has been a classical yet challenging problem, with the attention from both economists and computer scientists. With the purpose of building an effective prediction model, both linear and machine learning tools have been explored for the past couple of decades. Lately, deep learning models have been introduced as new frontiers for this topic and the rapid development is too fast to catch up. Hence, our motivation for this survey is to give a latest review of recent works on deep learning models for stock market prediction. We not only category the different data sources, various neural network structures, and common used evaluation metrics, but also the implementation and reproducibility. Our goal is to help the interested researchers to synchronize with the latest progress and also help them to easily reproduce the previous studies as baselines. Based on the summary, we also highlight some future research directions in this topic.","author":[{"dropping-particle":"","family":"Jiang","given":"Weiwei","non-dropping-particle":"","parse-names":false,"suffix":""}],"container-title":"Expert Systems with Applications","id":"ITEM-1","issue":"March 2020","issued":{"date-parts":[["2021"]]},"page":"115537","publisher":"Elsevier Ltd","title":"Applications of deep learning in stock market prediction: Recent progress","type":"article-journal","volume":"184"},"uris":["http://www.mendeley.com/documents/?uuid=65107918-b051-4712-9349-b11c88ed0ff9"]}],"mendeley":{"formattedCitation":"(Jiang, 2021)","plainTextFormattedCitation":"(Jiang, 2021)","previouslyFormattedCitation":"(Jiang, 2021)"},"properties":{"noteIndex":0},"schema":"https://github.com/citation-style-language/schema/raw/master/csl-citation.json"}</w:instrText>
      </w:r>
      <w:r w:rsidR="00D031D3">
        <w:fldChar w:fldCharType="separate"/>
      </w:r>
      <w:r w:rsidR="00D031D3" w:rsidRPr="00D031D3">
        <w:rPr>
          <w:noProof/>
        </w:rPr>
        <w:t>(Jiang, 2021)</w:t>
      </w:r>
      <w:r w:rsidR="00D031D3">
        <w:fldChar w:fldCharType="end"/>
      </w:r>
      <w:r>
        <w:t xml:space="preserve"> document growing adoption of hybrid sequence-tabular architectures but also emphasise the rarity of deployment translation and regime-conditional reporting. Recent graph-neural forecasting streams further support the need for model-diversification rather than single-model dependence, including architecture families </w:t>
      </w:r>
      <w:r>
        <w:lastRenderedPageBreak/>
        <w:t>such as GATE-GNN and EATSA-GNN, and recent graph-gating designs for non-</w:t>
      </w:r>
      <w:proofErr w:type="spellStart"/>
      <w:r>
        <w:t>i.i.d</w:t>
      </w:r>
      <w:proofErr w:type="spellEnd"/>
      <w:r w:rsidR="00D031D3">
        <w:t xml:space="preserve"> (</w:t>
      </w:r>
      <w:r w:rsidR="00D031D3" w:rsidRPr="00D031D3">
        <w:t>Non-Independent and Identically Distributed</w:t>
      </w:r>
      <w:r w:rsidR="00D031D3">
        <w:t>)</w:t>
      </w:r>
      <w:r>
        <w:t xml:space="preserve">. </w:t>
      </w:r>
      <w:r w:rsidR="00D031D3">
        <w:t>S</w:t>
      </w:r>
      <w:r>
        <w:t>tructures</w:t>
      </w:r>
      <w:r w:rsidR="00D031D3">
        <w:t xml:space="preserve"> </w:t>
      </w:r>
      <w:r w:rsidR="00D031D3">
        <w:fldChar w:fldCharType="begin" w:fldLock="1"/>
      </w:r>
      <w:r w:rsidR="00F55BD2">
        <w:instrText>ADDIN CSL_CITATION {"citationItems":[{"id":"ITEM-1","itemData":{"DOI":"10.1145/3485447.3512201","ISBN":"9781450390965","abstract":"Graph Neural Networks (GNNs) are widely used on a variety of graph-based machine learning tasks. For node-level tasks, GNNs have strong power to model the homophily property of graphs (i.e., connected nodes are more similar), while their ability to capture heterophily property is often doubtful. This is partially caused by the design of the feature transformation with the same kernel for the nodes in the same hop and the followed aggregation operator. One kernel cannot model the similarity and the dissimilarity (i.e., the positive and negative correlation) between node features simultaneously even though we use attention mechanisms like Graph Attention Network (GAT), since the weight calculated by attention is always a positive value. In this paper, we propose a novel GNN model based on a bi-kernel feature transformation and a selection gate. Two kernels capture homophily and heterophily information respectively, and the gate is introduced to select which kernel we should use for the given node pairs. We conduct extensive experiments on various datasets with different homophily-heterophily properties. The experimental results show consistent and significant improvements against state-of-the-art GNN methods.","author":[{"dropping-particle":"","family":"Du","given":"Lun","non-dropping-particle":"","parse-names":false,"suffix":""},{"dropping-particle":"","family":"Shi","given":"Xiaozhou","non-dropping-particle":"","parse-names":false,"suffix":""},{"dropping-particle":"","family":"Fu","given":"Qiang","non-dropping-particle":"","parse-names":false,"suffix":""},{"dropping-particle":"","family":"Ma","given":"Xiaojun","non-dropping-particle":"","parse-names":false,"suffix":""},{"dropping-particle":"","family":"Liu","given":"Hengyu","non-dropping-particle":"","parse-names":false,"suffix":""},{"dropping-particle":"","family":"Han","given":"Shi","non-dropping-particle":"","parse-names":false,"suffix":""},{"dropping-particle":"","family":"Zhang","given":"Dongmei","non-dropping-particle":"","parse-names":false,"suffix":""}],"container-title":"WWW 2022 - Proceedings of the ACM Web Conference 2022","id":"ITEM-1","issue":"1","issued":{"date-parts":[["2022"]]},"number-of-pages":"1550-1558","publisher":"Association for Computing Machinery","title":"GBK-GNN: Gated Bi-Kernel Graph Neural Networks for Modeling Both Homophily and Heterophily","type":"book","volume":"1"},"uris":["http://www.mendeley.com/documents/?uuid=9697d80b-8e09-4041-ac4e-1baf2d6ee3a7"]},{"id":"ITEM-2","itemData":{"DOI":"10.1109/TNNLS.2026.3709308","ISSN":"21622388","abstract":"Graph neural networks (GNNs) often struggle in class-imbalanced settings, where minority classes are underrepresented, and predictions are biased toward the majority. We propose PIMPC-GNN, a physics-informed multiphase consensus framework for imbalanced node classification. Our method integrates three complementary dynamics: 1) thermodynamic diffusion, which spreads minority labels to capture long-range dependencies; 2) Kuramoto synchronization, which aligns minority nodes through oscillatory consensus; and 3) spectral embedding, which separates classes via structural regularization. These perspectives are combined through class-adaptive ensemble weighting and trained with an imbalance-aware loss that couples balanced cross-entropy with physics-based constraints. Across five benchmark datasets and imbalance ratios from 5 to 100, PIMPC-GNN outperforms 14 state-of-the-art (SOTA) baselines, achieving notable gains in minority-class recall and balanced accuracy. Beyond empirical improvements, the framework also provides interpretable insights into consensus dynamics in graph learning. The implementation code is available at https://github.com/afofanah/PIMPC-GNN .","author":[{"dropping-particle":"","family":"Fofanah","given":"Abdul Joseph","non-dropping-particle":"","parse-names":false,"suffix":""},{"dropping-particle":"","family":"Wen","given":"Lian","non-dropping-particle":"","parse-names":false,"suffix":""},{"dropping-particle":"","family":"Chen","given":"David","non-dropping-particle":"","parse-names":false,"suffix":""}],"container-title":"IEEE Transactions on Neural Networks and Learning Systems","id":"ITEM-2","issue":"October","issued":{"date-parts":[["2026"]]},"page":"1-15","title":"PIMPC-GNN: Physics-Informed Multiphase Consensus Learning for Enhancing Imbalanced Node Classification in Graph Neural Networks","type":"article-journal"},"uris":["http://www.mendeley.com/documents/?uuid=07a7d761-c795-4235-a414-64ec7a41f121"]},{"id":"ITEM-3","itemData":{"DOI":"10.1016/j.neucom.2024.128686","ISSN":"18728286","abstract":"Graph Neural Networks (GNNs) have fundamentally transformed the way in which we handle and examine data originating from non-Euclidean domains. Traditional approaches to imbalanced node classification problems, such as resampling, are ineffective because they do not take into account the underlying network structure of the edges. The limited methods available to capture the intricate connections encoded in the edges of a graph pose a significant challenge for GNNs in accurately classifying nodes. We propose EATSA-GNN model to enhance GNN node classification using Edge-Aware and Two-Stage Attention Mechanisms (EATSA-GNN). EATSA-GNN focuses its initial attention on edge traits, enabling the model to differentiate the variable significance of different connections between nodes, referred to as Teacher-Attention (TA). In the second step, attention is directed towards the nodes, incorporating the knowledge obtained from the edge-level analysis referred to as Student-Attention (SA). Employing this dual strategy ensures a more sophisticated comprehension of the graph's framework, resulting in improved classification precision. The EATSA-GNN model's contribution to the field of GNNs lies in its ability to utilise both node and edge information in a cohesive manner, resulting in more accurate node classifications. This highlights the essence of the model and its potential. Comparing the EATSA-GNN model to state-of-the-arts methods with two different variants shows how strong it is and how well it can handle complex problems for node classification. This solidifies its position as one of leading solution in the field of GNN architectures and their use in complex networked systems. The exceptional performance of EATSA-GNN not only showcases its effectiveness but also underscores its potential to greatly influence the future advancement of the GNN framework. Implementation of the proposed EATSA-GNN can be accessed here https://github.com/afofanah/EATSA-GNN.","author":[{"dropping-particle":"","family":"Fofanah","given":"Abdul Joseph","non-dropping-particle":"","parse-names":false,"suffix":""},{"dropping-particle":"","family":"Leigh","given":"Alpha Omar","non-dropping-particle":"","parse-names":false,"suffix":""}],"container-title":"Neurocomputing","id":"ITEM-3","issue":"May 2024","issued":{"date-parts":[["2025"]]},"page":"128686","publisher":"Elsevier B.V.","title":"EATSA-GNN: Edge-Aware and Two-Stage attention for enhancing graph neural networks based on teacher–student mechanisms for graph node classification","type":"article-journal","volume":"612"},"uris":["http://www.mendeley.com/documents/?uuid=dab9657a-7b3b-4846-8747-8ee8029a6713"]},{"id":"ITEM-4","itemData":{"DOI":"10.1016/j.eswa.2024.124602","ISSN":"09574174","abstract":"Significant challenges arise when Graph Neural Networks (GNNs) try to deal with uneven data. Specifically in signed and weighted graph structures. This makes classification tasks less effective. Within the GNN context, researchers have found traditional solutions like resampling, reweighting, and synthetic sample generation to be inadequate. GATE-GNN, a novel architecture designed specifically for imbalanced datasets, overcomes these limitations. GATE-GNN integrates an ensemble of network modules that harness the spatial features of graph networks and effectively utilise embedding information from earlier layers. This unique approach not only bolsters generalisation by reducing volatility. It also refines the optimisation algorithm, resulting in more accurate and stable classification outcomes. We rigorously tested the effectiveness of GATE-GNN on four widely recognised datasets: Cora, NELL, Citeseer, and PubMed. We performed a comparative analysis against established methods such as Graph Convolutional Networks (GCN), Graph Sample and Aggregate (GraphSAGE), Propagation Multilayer Perceptron PMLP), Imbalanced Node Sampling GNN (INS-GNN), GNN-Curriculum Learning (GNN-CL) and Graph Attention Networks (GAT). Empirical results demonstrate that GATE-GNN significantly outperforms these existing models, achieving an average improvement in classification accuracy of approximately 5%–10% over the previous best results. Additionally, GATE-GNN presents a marked reduction in training time. This underscores its efficiency and suitability for practical applications in imbalanced graph data scenarios. Implementation of the proposed GATE-GNN can be accessed here https://github.com/afofanah/GATE-GNN.","author":[{"dropping-particle":"","family":"Fofanah","given":"Abdul Joseph","non-dropping-particle":"","parse-names":false,"suffix":""},{"dropping-particle":"","family":"Chen","given":"David","non-dropping-particle":"","parse-names":false,"suffix":""},{"dropping-particle":"","family":"Wen","given":"Lian","non-dropping-particle":"","parse-names":false,"suffix":""},{"dropping-particle":"","family":"Zhang","given":"Shaoyang","non-dropping-particle":"","parse-names":false,"suffix":""}],"container-title":"Expert Systems with Applications","id":"ITEM-4","issue":"PB","issued":{"date-parts":[["2024"]]},"page":"124602","publisher":"Elsevier Ltd","title":"Addressing imbalance in graph datasets: Introducing GATE-GNN with graph ensemble weight attention and transfer learning for enhanced node classification","type":"article-journal","volume":"255"},"uris":["http://www.mendeley.com/documents/?uuid=efd8ab23-3fcc-4d0f-8db9-6254721e7f00"]}],"mendeley":{"formattedCitation":"(Du et al., 2022; Fofanah et al., 2024, 2026; Fofanah &amp; Leigh, 2025)","plainTextFormattedCitation":"(Du et al., 2022; Fofanah et al., 2024, 2026; Fofanah &amp; Leigh, 2025)","previouslyFormattedCitation":"(Du et al., 2022; Fofanah et al., 2024, 2026; Fofanah &amp; Leigh, 2025)"},"properties":{"noteIndex":0},"schema":"https://github.com/citation-style-language/schema/raw/master/csl-citation.json"}</w:instrText>
      </w:r>
      <w:r w:rsidR="00D031D3">
        <w:fldChar w:fldCharType="separate"/>
      </w:r>
      <w:r w:rsidR="00537CAE" w:rsidRPr="00537CAE">
        <w:rPr>
          <w:noProof/>
        </w:rPr>
        <w:t>(Du et al., 2022; Fofanah et al., 2024, 2026; Fofanah &amp; Leigh, 2025)</w:t>
      </w:r>
      <w:r w:rsidR="00D031D3">
        <w:fldChar w:fldCharType="end"/>
      </w:r>
      <w:r>
        <w:t>.</w:t>
      </w:r>
    </w:p>
    <w:p w14:paraId="65E7826A" w14:textId="5A8CE0CF" w:rsidR="00ED66A2" w:rsidRDefault="00000000">
      <w:pPr>
        <w:spacing w:after="80" w:line="360" w:lineRule="auto"/>
        <w:ind w:firstLine="360"/>
      </w:pPr>
      <w:r>
        <w:t xml:space="preserve">Stacked ensembles offer a natural response to this problem. </w:t>
      </w:r>
      <w:r w:rsidR="008A4DEF">
        <w:fldChar w:fldCharType="begin" w:fldLock="1"/>
      </w:r>
      <w:r w:rsidR="000E5C8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1992)","previouslyFormattedCitation":"(Wolpert,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r w:rsidR="00F55BD2">
        <w:t>maximize</w:t>
      </w:r>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7D831331" w14:textId="77777777" w:rsidR="00ED66A2" w:rsidRDefault="00000000">
      <w:pPr>
        <w:pStyle w:val="Heading2"/>
      </w:pPr>
      <w:r>
        <w:rPr>
          <w:rFonts w:ascii="Times New Roman" w:hAnsi="Times New Roman"/>
        </w:rPr>
        <w:t>2.3. Machine learning in Indian equity markets</w:t>
      </w:r>
    </w:p>
    <w:p w14:paraId="28843437" w14:textId="77777777"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2D3EDBB"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7541146" w14:textId="77777777" w:rsidR="00ED66A2" w:rsidRDefault="00000000">
      <w:pPr>
        <w:pStyle w:val="Heading2"/>
      </w:pPr>
      <w:r>
        <w:rPr>
          <w:rFonts w:ascii="Times New Roman" w:hAnsi="Times New Roman"/>
        </w:rPr>
        <w:t>2.4. Expert systems, explainability, and decision support</w:t>
      </w:r>
    </w:p>
    <w:p w14:paraId="7F278B75" w14:textId="20E852D3"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F46651">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DOI":"https://dl.acm.org/doi/abs/10.5555/3295222.3295230","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approaches.","author":[{"dropping-particle":"","family":"Lundberg","given":"S.M.","non-dropping-particle":"","parse-names":false,"suffix":""},{"dropping-particle":"","family":"Lee","given":"S.I","non-dropping-particle":"","parse-names":false,"suffix":""}],"container-title":"31st Conference on Neural Information Processing Systems (NIPS 2017), Long Beach, CA, USA","id":"ITEM-2","issued":{"date-parts":[["2017"]]},"page":"1-10","title":"A unified approach to interpreting model predictions","type":"article-journal"},"uris":["http://www.mendeley.com/documents/?uuid=9343ed2e-1d5e-4721-851d-c76ab24d50af"]}],"mendeley":{"formattedCitation":"(Chong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2B1E1053"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B650DB4" w14:textId="77777777" w:rsidR="00ED66A2" w:rsidRDefault="00000000">
      <w:pPr>
        <w:pStyle w:val="Heading2"/>
      </w:pPr>
      <w:r>
        <w:rPr>
          <w:rFonts w:ascii="Times New Roman" w:hAnsi="Times New Roman"/>
        </w:rPr>
        <w:t>2.5. Research gap and contribution mapping</w:t>
      </w:r>
    </w:p>
    <w:p w14:paraId="2ECB8C28"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CCA53C"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32EBCC4F"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35E9DB" w14:textId="77777777" w:rsidTr="002936C1">
        <w:trPr>
          <w:trHeight w:val="373"/>
          <w:jc w:val="center"/>
        </w:trPr>
        <w:tc>
          <w:tcPr>
            <w:tcW w:w="3123" w:type="dxa"/>
            <w:vAlign w:val="center"/>
          </w:tcPr>
          <w:p w14:paraId="1B09C08D" w14:textId="77777777" w:rsidR="00ED66A2" w:rsidRDefault="00000000" w:rsidP="002936C1">
            <w:pPr>
              <w:jc w:val="center"/>
            </w:pPr>
            <w:r>
              <w:rPr>
                <w:b/>
                <w:sz w:val="20"/>
              </w:rPr>
              <w:t>Research gap</w:t>
            </w:r>
          </w:p>
        </w:tc>
        <w:tc>
          <w:tcPr>
            <w:tcW w:w="2851" w:type="dxa"/>
            <w:vAlign w:val="center"/>
          </w:tcPr>
          <w:p w14:paraId="602CB07F" w14:textId="77777777" w:rsidR="00ED66A2" w:rsidRDefault="00000000" w:rsidP="002936C1">
            <w:pPr>
              <w:jc w:val="center"/>
            </w:pPr>
            <w:r>
              <w:rPr>
                <w:b/>
                <w:sz w:val="20"/>
              </w:rPr>
              <w:t>Risk if ignored</w:t>
            </w:r>
          </w:p>
        </w:tc>
        <w:tc>
          <w:tcPr>
            <w:tcW w:w="3705" w:type="dxa"/>
            <w:vAlign w:val="center"/>
          </w:tcPr>
          <w:p w14:paraId="2D7BD8B9" w14:textId="77777777" w:rsidR="00ED66A2" w:rsidRDefault="00000000" w:rsidP="002936C1">
            <w:pPr>
              <w:jc w:val="center"/>
            </w:pPr>
            <w:r>
              <w:rPr>
                <w:b/>
                <w:sz w:val="20"/>
              </w:rPr>
              <w:t>Design choice in this study</w:t>
            </w:r>
          </w:p>
        </w:tc>
      </w:tr>
      <w:tr w:rsidR="00ED66A2" w14:paraId="1082EF54" w14:textId="77777777" w:rsidTr="002936C1">
        <w:trPr>
          <w:trHeight w:val="798"/>
          <w:jc w:val="center"/>
        </w:trPr>
        <w:tc>
          <w:tcPr>
            <w:tcW w:w="3123" w:type="dxa"/>
            <w:vAlign w:val="center"/>
          </w:tcPr>
          <w:p w14:paraId="46593653" w14:textId="77777777" w:rsidR="00ED66A2" w:rsidRDefault="00000000" w:rsidP="002936C1">
            <w:pPr>
              <w:jc w:val="center"/>
            </w:pPr>
            <w:r>
              <w:rPr>
                <w:sz w:val="20"/>
              </w:rPr>
              <w:t>No India VIX regime analysis in prior Bank Nifty directional work</w:t>
            </w:r>
          </w:p>
        </w:tc>
        <w:tc>
          <w:tcPr>
            <w:tcW w:w="2851" w:type="dxa"/>
            <w:vAlign w:val="center"/>
          </w:tcPr>
          <w:p w14:paraId="6785D7BB" w14:textId="77777777" w:rsidR="00ED66A2" w:rsidRDefault="00000000" w:rsidP="002936C1">
            <w:pPr>
              <w:jc w:val="center"/>
            </w:pPr>
            <w:r>
              <w:rPr>
                <w:sz w:val="20"/>
              </w:rPr>
              <w:t>Pooled results may hide state-dependent predictability</w:t>
            </w:r>
          </w:p>
        </w:tc>
        <w:tc>
          <w:tcPr>
            <w:tcW w:w="3705" w:type="dxa"/>
            <w:vAlign w:val="center"/>
          </w:tcPr>
          <w:p>
            <w:r>
              <w:t>Partition held-out test predictions into High-VIX and Low-VIX regimes using a pre-test-fixed India VIX threshold (not the test-period distribution)</w:t>
            </w:r>
          </w:p>
        </w:tc>
      </w:tr>
      <w:tr w:rsidR="00ED66A2" w14:paraId="01666AD1" w14:textId="77777777" w:rsidTr="002936C1">
        <w:trPr>
          <w:trHeight w:val="798"/>
          <w:jc w:val="center"/>
        </w:trPr>
        <w:tc>
          <w:tcPr>
            <w:tcW w:w="3123" w:type="dxa"/>
            <w:vAlign w:val="center"/>
          </w:tcPr>
          <w:p w14:paraId="0A2433FF" w14:textId="77777777" w:rsidR="00ED66A2" w:rsidRDefault="00000000" w:rsidP="002936C1">
            <w:pPr>
              <w:jc w:val="center"/>
            </w:pPr>
            <w:r>
              <w:rPr>
                <w:sz w:val="20"/>
              </w:rPr>
              <w:t>Single-model claims dominate the literature</w:t>
            </w:r>
          </w:p>
        </w:tc>
        <w:tc>
          <w:tcPr>
            <w:tcW w:w="2851" w:type="dxa"/>
            <w:vAlign w:val="center"/>
          </w:tcPr>
          <w:p w14:paraId="29EB863E" w14:textId="77777777" w:rsidR="00ED66A2" w:rsidRDefault="00000000" w:rsidP="002936C1">
            <w:pPr>
              <w:jc w:val="center"/>
            </w:pPr>
            <w:r>
              <w:rPr>
                <w:sz w:val="20"/>
              </w:rPr>
              <w:t>Apparent superiority may reflect model-specific inductive bias</w:t>
            </w:r>
          </w:p>
        </w:tc>
        <w:tc>
          <w:tcPr>
            <w:tcW w:w="3705" w:type="dxa"/>
            <w:vAlign w:val="center"/>
          </w:tcPr>
          <w:p w14:paraId="4B89D2BD"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065D1BDA" w14:textId="77777777" w:rsidTr="002936C1">
        <w:trPr>
          <w:trHeight w:val="781"/>
          <w:jc w:val="center"/>
        </w:trPr>
        <w:tc>
          <w:tcPr>
            <w:tcW w:w="3123" w:type="dxa"/>
            <w:vAlign w:val="center"/>
          </w:tcPr>
          <w:p w14:paraId="511C7259" w14:textId="77777777" w:rsidR="00ED66A2" w:rsidRDefault="00000000" w:rsidP="002936C1">
            <w:pPr>
              <w:jc w:val="center"/>
            </w:pPr>
            <w:r>
              <w:rPr>
                <w:sz w:val="20"/>
              </w:rPr>
              <w:t>Weak connection between prediction metrics and trading decisions</w:t>
            </w:r>
          </w:p>
        </w:tc>
        <w:tc>
          <w:tcPr>
            <w:tcW w:w="2851" w:type="dxa"/>
            <w:vAlign w:val="center"/>
          </w:tcPr>
          <w:p w14:paraId="4B5B906E" w14:textId="77777777" w:rsidR="00ED66A2" w:rsidRDefault="00000000" w:rsidP="002936C1">
            <w:pPr>
              <w:jc w:val="center"/>
            </w:pPr>
            <w:r>
              <w:rPr>
                <w:sz w:val="20"/>
              </w:rPr>
              <w:t>Statistically interesting results may be economically unusable</w:t>
            </w:r>
          </w:p>
        </w:tc>
        <w:tc>
          <w:tcPr>
            <w:tcW w:w="3705" w:type="dxa"/>
            <w:vAlign w:val="center"/>
          </w:tcPr>
          <w:p w14:paraId="12C0B7F0" w14:textId="77777777" w:rsidR="00ED66A2" w:rsidRDefault="00000000" w:rsidP="002936C1">
            <w:pPr>
              <w:jc w:val="left"/>
            </w:pPr>
            <w:r>
              <w:rPr>
                <w:sz w:val="20"/>
              </w:rPr>
              <w:t>Translate the signal into a selective long-only deployment rule and compare against benchmark strategies</w:t>
            </w:r>
          </w:p>
        </w:tc>
      </w:tr>
      <w:tr w:rsidR="00ED66A2" w14:paraId="62793F26" w14:textId="77777777" w:rsidTr="002936C1">
        <w:trPr>
          <w:trHeight w:val="798"/>
          <w:jc w:val="center"/>
        </w:trPr>
        <w:tc>
          <w:tcPr>
            <w:tcW w:w="3123" w:type="dxa"/>
            <w:vAlign w:val="center"/>
          </w:tcPr>
          <w:p w14:paraId="3D022D5F" w14:textId="77777777" w:rsidR="00ED66A2" w:rsidRDefault="00000000" w:rsidP="002936C1">
            <w:pPr>
              <w:jc w:val="center"/>
            </w:pPr>
            <w:r>
              <w:rPr>
                <w:sz w:val="20"/>
              </w:rPr>
              <w:t>Limited robustness reporting around regime findings</w:t>
            </w:r>
          </w:p>
        </w:tc>
        <w:tc>
          <w:tcPr>
            <w:tcW w:w="2851" w:type="dxa"/>
            <w:vAlign w:val="center"/>
          </w:tcPr>
          <w:p w14:paraId="179371AD" w14:textId="77777777" w:rsidR="00ED66A2" w:rsidRDefault="00000000" w:rsidP="002936C1">
            <w:pPr>
              <w:jc w:val="center"/>
            </w:pPr>
            <w:r>
              <w:rPr>
                <w:sz w:val="20"/>
              </w:rPr>
              <w:t>Results may be threshold-specific or sample-fragile</w:t>
            </w:r>
          </w:p>
        </w:tc>
        <w:tc>
          <w:tcPr>
            <w:tcW w:w="3705" w:type="dxa"/>
            <w:vAlign w:val="center"/>
          </w:tcPr>
          <w:p w14:paraId="0E7CBD5D" w14:textId="77777777" w:rsidR="00ED66A2" w:rsidRDefault="00000000" w:rsidP="002936C1">
            <w:pPr>
              <w:jc w:val="left"/>
            </w:pPr>
            <w:r>
              <w:rPr>
                <w:sz w:val="20"/>
              </w:rPr>
              <w:t>Stress the result via threshold sensitivity, transaction costs, GARCH, bootstrap uncertainty, and cross-pipeline replication</w:t>
            </w:r>
          </w:p>
        </w:tc>
      </w:tr>
    </w:tbl>
    <w:p w14:paraId="60786EA4" w14:textId="77777777" w:rsidR="00ED66A2" w:rsidRDefault="00ED66A2"/>
    <w:p w14:paraId="0739819E" w14:textId="77777777" w:rsidR="00ED66A2" w:rsidRDefault="00000000">
      <w:pPr>
        <w:pStyle w:val="Heading1"/>
      </w:pPr>
      <w:r>
        <w:rPr>
          <w:rFonts w:ascii="Times New Roman" w:hAnsi="Times New Roman"/>
        </w:rPr>
        <w:t>3. Data, Features, and Model Architecture</w:t>
      </w:r>
    </w:p>
    <w:p w14:paraId="442E3D6D" w14:textId="77777777" w:rsidR="00ED66A2" w:rsidRDefault="00000000">
      <w:pPr>
        <w:pStyle w:val="Heading2"/>
      </w:pPr>
      <w:r>
        <w:rPr>
          <w:rFonts w:ascii="Times New Roman" w:hAnsi="Times New Roman"/>
        </w:rPr>
        <w:t>3.1. Data and sample construction</w:t>
      </w:r>
    </w:p>
    <w:p w14:paraId="3CF74CD3"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764B0667" w14:textId="77777777" w:rsidR="00ED66A2" w:rsidRDefault="00000000">
      <w:pPr>
        <w:spacing w:after="80" w:line="360" w:lineRule="auto"/>
        <w:ind w:firstLine="360"/>
      </w:pPr>
      <w:r>
        <w:t xml:space="preserve">A strict chronological split is maintained throughout the pipeline. The Table 2 shows sample construction, temporal splits, and India VIX regime counts for the evaluation. The training window runs from 23 May 2016 to 11 September 2023 and contains 1,794 trading days. The validation window runs from 20 October 2023 to 4 December 2024 and contains 273 trading days. The held-out test window runs from 14 January 2025 to 25 February 2026 and contains 276 labelled trading days, with a 256-row aligned evaluation sample after the BiLSTM 20-day lookback is accounted for. No row from the test set is used during feature scaling, model fitting, </w:t>
      </w:r>
      <w:r>
        <w:lastRenderedPageBreak/>
        <w:t>hyperparameter search, or meta-learner training. The test set therefore serves as the only surface on which the regime-conditioned result is measured.</w:t>
      </w:r>
    </w:p>
    <w:p w14:paraId="37418FC2"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6934E682"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7B54604" w14:textId="77777777" w:rsidTr="00040C97">
        <w:trPr>
          <w:trHeight w:val="564"/>
          <w:jc w:val="center"/>
        </w:trPr>
        <w:tc>
          <w:tcPr>
            <w:tcW w:w="1978" w:type="dxa"/>
            <w:vAlign w:val="center"/>
          </w:tcPr>
          <w:p w14:paraId="2D7BEBAF" w14:textId="77777777" w:rsidR="00ED66A2" w:rsidRDefault="00000000" w:rsidP="00040C97">
            <w:pPr>
              <w:jc w:val="center"/>
            </w:pPr>
            <w:r>
              <w:rPr>
                <w:b/>
                <w:sz w:val="20"/>
              </w:rPr>
              <w:t>Split / regime</w:t>
            </w:r>
          </w:p>
        </w:tc>
        <w:tc>
          <w:tcPr>
            <w:tcW w:w="2521" w:type="dxa"/>
            <w:vAlign w:val="center"/>
          </w:tcPr>
          <w:p w14:paraId="060D65FB" w14:textId="77777777" w:rsidR="00ED66A2" w:rsidRDefault="00000000" w:rsidP="00040C97">
            <w:pPr>
              <w:jc w:val="center"/>
            </w:pPr>
            <w:r>
              <w:rPr>
                <w:b/>
                <w:sz w:val="20"/>
              </w:rPr>
              <w:t>Date range</w:t>
            </w:r>
          </w:p>
        </w:tc>
        <w:tc>
          <w:tcPr>
            <w:tcW w:w="1279" w:type="dxa"/>
            <w:vAlign w:val="center"/>
          </w:tcPr>
          <w:p w14:paraId="4B0DF3A6" w14:textId="77777777" w:rsidR="00ED66A2" w:rsidRDefault="00000000" w:rsidP="00040C97">
            <w:pPr>
              <w:jc w:val="center"/>
            </w:pPr>
            <w:r>
              <w:rPr>
                <w:b/>
                <w:sz w:val="20"/>
              </w:rPr>
              <w:t>Trading days</w:t>
            </w:r>
          </w:p>
        </w:tc>
        <w:tc>
          <w:tcPr>
            <w:tcW w:w="3781" w:type="dxa"/>
            <w:vAlign w:val="center"/>
          </w:tcPr>
          <w:p w14:paraId="7148FA3F" w14:textId="77777777" w:rsidR="00ED66A2" w:rsidRDefault="00000000" w:rsidP="00040C97">
            <w:pPr>
              <w:jc w:val="center"/>
            </w:pPr>
            <w:r>
              <w:rPr>
                <w:b/>
                <w:sz w:val="20"/>
              </w:rPr>
              <w:t>Comment</w:t>
            </w:r>
          </w:p>
        </w:tc>
      </w:tr>
      <w:tr w:rsidR="00ED66A2" w14:paraId="72E7D562" w14:textId="77777777" w:rsidTr="00040C97">
        <w:trPr>
          <w:trHeight w:val="582"/>
          <w:jc w:val="center"/>
        </w:trPr>
        <w:tc>
          <w:tcPr>
            <w:tcW w:w="1978" w:type="dxa"/>
            <w:vAlign w:val="center"/>
          </w:tcPr>
          <w:p w14:paraId="204BB623" w14:textId="77777777" w:rsidR="00ED66A2" w:rsidRDefault="00000000" w:rsidP="00040C97">
            <w:pPr>
              <w:jc w:val="center"/>
            </w:pPr>
            <w:r>
              <w:rPr>
                <w:sz w:val="20"/>
              </w:rPr>
              <w:t>Training</w:t>
            </w:r>
          </w:p>
        </w:tc>
        <w:tc>
          <w:tcPr>
            <w:tcW w:w="2521" w:type="dxa"/>
            <w:vAlign w:val="center"/>
          </w:tcPr>
          <w:p w14:paraId="1397166A" w14:textId="77777777" w:rsidR="00ED66A2" w:rsidRDefault="00000000" w:rsidP="00040C97">
            <w:pPr>
              <w:jc w:val="center"/>
            </w:pPr>
            <w:r>
              <w:rPr>
                <w:sz w:val="20"/>
              </w:rPr>
              <w:t>2016-05-23 to 2023-09-11</w:t>
            </w:r>
          </w:p>
        </w:tc>
        <w:tc>
          <w:tcPr>
            <w:tcW w:w="1279" w:type="dxa"/>
            <w:vAlign w:val="center"/>
          </w:tcPr>
          <w:p w14:paraId="26438EBE" w14:textId="77777777" w:rsidR="00ED66A2" w:rsidRDefault="00000000" w:rsidP="00040C97">
            <w:pPr>
              <w:jc w:val="center"/>
            </w:pPr>
            <w:r>
              <w:rPr>
                <w:sz w:val="20"/>
              </w:rPr>
              <w:t>1,794</w:t>
            </w:r>
          </w:p>
        </w:tc>
        <w:tc>
          <w:tcPr>
            <w:tcW w:w="3781" w:type="dxa"/>
            <w:vAlign w:val="center"/>
          </w:tcPr>
          <w:p w14:paraId="08C7C546" w14:textId="77777777" w:rsidR="00ED66A2" w:rsidRDefault="00000000" w:rsidP="00040C97">
            <w:pPr>
              <w:jc w:val="left"/>
            </w:pPr>
            <w:r>
              <w:rPr>
                <w:sz w:val="20"/>
              </w:rPr>
              <w:t>Leakage-corrected boundary; used for feature scaling, base learners, and time-series CV</w:t>
            </w:r>
          </w:p>
        </w:tc>
      </w:tr>
      <w:tr w:rsidR="00ED66A2" w14:paraId="32756CDE" w14:textId="77777777" w:rsidTr="00040C97">
        <w:trPr>
          <w:trHeight w:val="564"/>
          <w:jc w:val="center"/>
        </w:trPr>
        <w:tc>
          <w:tcPr>
            <w:tcW w:w="1978" w:type="dxa"/>
            <w:vAlign w:val="center"/>
          </w:tcPr>
          <w:p w14:paraId="42F21154" w14:textId="77777777" w:rsidR="00ED66A2" w:rsidRDefault="00000000" w:rsidP="00040C97">
            <w:pPr>
              <w:jc w:val="center"/>
            </w:pPr>
            <w:r>
              <w:rPr>
                <w:sz w:val="20"/>
              </w:rPr>
              <w:t>Validation</w:t>
            </w:r>
          </w:p>
        </w:tc>
        <w:tc>
          <w:tcPr>
            <w:tcW w:w="2521" w:type="dxa"/>
            <w:vAlign w:val="center"/>
          </w:tcPr>
          <w:p w14:paraId="5B8F9FC0" w14:textId="77777777" w:rsidR="00ED66A2" w:rsidRDefault="00000000" w:rsidP="00040C97">
            <w:pPr>
              <w:jc w:val="center"/>
            </w:pPr>
            <w:r>
              <w:rPr>
                <w:sz w:val="20"/>
              </w:rPr>
              <w:t>2023-10-20 to 2024-12-04</w:t>
            </w:r>
          </w:p>
        </w:tc>
        <w:tc>
          <w:tcPr>
            <w:tcW w:w="1279" w:type="dxa"/>
            <w:vAlign w:val="center"/>
          </w:tcPr>
          <w:p w14:paraId="2FF07998" w14:textId="77777777" w:rsidR="00ED66A2" w:rsidRDefault="00000000" w:rsidP="00040C97">
            <w:pPr>
              <w:jc w:val="center"/>
            </w:pPr>
            <w:r>
              <w:rPr>
                <w:sz w:val="20"/>
              </w:rPr>
              <w:t>273</w:t>
            </w:r>
          </w:p>
        </w:tc>
        <w:tc>
          <w:tcPr>
            <w:tcW w:w="3781" w:type="dxa"/>
            <w:vAlign w:val="center"/>
          </w:tcPr>
          <w:p w14:paraId="377584D3" w14:textId="77777777" w:rsidR="00ED66A2" w:rsidRDefault="00000000" w:rsidP="00040C97">
            <w:pPr>
              <w:jc w:val="left"/>
            </w:pPr>
            <w:r>
              <w:rPr>
                <w:sz w:val="20"/>
              </w:rPr>
              <w:t>Leakage-corrected boundary; used for tuning decisions and early stopping</w:t>
            </w:r>
          </w:p>
        </w:tc>
      </w:tr>
      <w:tr w:rsidR="00ED66A2" w14:paraId="75613C2F" w14:textId="77777777" w:rsidTr="00040C97">
        <w:trPr>
          <w:trHeight w:val="282"/>
          <w:jc w:val="center"/>
        </w:trPr>
        <w:tc>
          <w:tcPr>
            <w:tcW w:w="1978" w:type="dxa"/>
            <w:vAlign w:val="center"/>
          </w:tcPr>
          <w:p w14:paraId="5DDE4ECC" w14:textId="77777777" w:rsidR="00ED66A2" w:rsidRDefault="00000000" w:rsidP="00040C97">
            <w:pPr>
              <w:jc w:val="center"/>
            </w:pPr>
            <w:r>
              <w:rPr>
                <w:sz w:val="20"/>
              </w:rPr>
              <w:t>Test</w:t>
            </w:r>
          </w:p>
        </w:tc>
        <w:tc>
          <w:tcPr>
            <w:tcW w:w="2521" w:type="dxa"/>
            <w:vAlign w:val="center"/>
          </w:tcPr>
          <w:p w14:paraId="3481D342" w14:textId="77777777" w:rsidR="00ED66A2" w:rsidRDefault="00000000" w:rsidP="00040C97">
            <w:pPr>
              <w:jc w:val="center"/>
            </w:pPr>
            <w:r>
              <w:rPr>
                <w:sz w:val="20"/>
              </w:rPr>
              <w:t>2025-01-14 to 2026-02-25</w:t>
            </w:r>
          </w:p>
        </w:tc>
        <w:tc>
          <w:tcPr>
            <w:tcW w:w="1279" w:type="dxa"/>
            <w:vAlign w:val="center"/>
          </w:tcPr>
          <w:p w14:paraId="73925B12" w14:textId="77777777" w:rsidR="00ED66A2" w:rsidRDefault="00000000" w:rsidP="00040C97">
            <w:pPr>
              <w:jc w:val="center"/>
            </w:pPr>
            <w:r>
              <w:rPr>
                <w:sz w:val="20"/>
              </w:rPr>
              <w:t>276</w:t>
            </w:r>
          </w:p>
        </w:tc>
        <w:tc>
          <w:tcPr>
            <w:tcW w:w="3781" w:type="dxa"/>
            <w:vAlign w:val="center"/>
          </w:tcPr>
          <w:p w14:paraId="50BCC869" w14:textId="77777777" w:rsidR="00ED66A2" w:rsidRDefault="00000000" w:rsidP="00040C97">
            <w:pPr>
              <w:jc w:val="left"/>
            </w:pPr>
            <w:r>
              <w:rPr>
                <w:sz w:val="20"/>
              </w:rPr>
              <w:t>Strictly held out; 256-row aligned evaluation after BiLSTM 20-day lookback</w:t>
            </w:r>
          </w:p>
        </w:tc>
      </w:tr>
      <w:tr w:rsidR="00ED66A2" w14:paraId="4C31C1F4" w14:textId="77777777" w:rsidTr="00F55BD2">
        <w:trPr>
          <w:trHeight w:val="548"/>
          <w:jc w:val="center"/>
        </w:trPr>
        <w:tc>
          <w:tcPr>
            <w:tcW w:w="1978" w:type="dxa"/>
            <w:vAlign w:val="center"/>
          </w:tcPr>
          <w:p w14:paraId="2E4EC153" w14:textId="77777777" w:rsidR="00ED66A2" w:rsidRDefault="00000000" w:rsidP="00040C97">
            <w:pPr>
              <w:jc w:val="center"/>
            </w:pPr>
            <w:r>
              <w:rPr>
                <w:sz w:val="20"/>
              </w:rPr>
              <w:t>High-VIX test days</w:t>
            </w:r>
          </w:p>
        </w:tc>
        <w:tc>
          <w:tcPr>
            <w:tcW w:w="2521" w:type="dxa"/>
            <w:vAlign w:val="center"/>
          </w:tcPr>
          <w:p w14:paraId="1E5B5682" w14:textId="77777777" w:rsidR="00ED66A2" w:rsidRDefault="00000000" w:rsidP="00040C97">
            <w:pPr>
              <w:jc w:val="center"/>
            </w:pPr>
            <w:r>
              <w:rPr>
                <w:sz w:val="20"/>
              </w:rPr>
              <w:t>VIX ≥ 18.71 (train+val p75; fixed pre-test)</w:t>
            </w:r>
          </w:p>
        </w:tc>
        <w:tc>
          <w:tcPr>
            <w:tcW w:w="1279" w:type="dxa"/>
            <w:vAlign w:val="center"/>
          </w:tcPr>
          <w:p w14:paraId="31128C66" w14:textId="77777777" w:rsidR="00ED66A2" w:rsidRDefault="00000000" w:rsidP="00040C97">
            <w:pPr>
              <w:jc w:val="center"/>
            </w:pPr>
            <w:r>
              <w:rPr>
                <w:sz w:val="20"/>
              </w:rPr>
              <w:t>8</w:t>
            </w:r>
          </w:p>
        </w:tc>
        <w:tc>
          <w:tcPr>
            <w:tcW w:w="3781" w:type="dxa"/>
            <w:vAlign w:val="center"/>
          </w:tcPr>
          <w:p w14:paraId="2FA0F05C" w14:textId="77777777" w:rsidR="00ED66A2" w:rsidRDefault="00000000" w:rsidP="00040C97">
            <w:pPr>
              <w:jc w:val="left"/>
            </w:pPr>
            <w:r>
              <w:rPr>
                <w:sz w:val="20"/>
              </w:rPr>
              <w:t>3.1% of the 256-row aligned evaluation sample</w:t>
            </w:r>
          </w:p>
        </w:tc>
      </w:tr>
      <w:tr w:rsidR="00ED66A2" w14:paraId="44E55EA5" w14:textId="77777777" w:rsidTr="00F55BD2">
        <w:trPr>
          <w:trHeight w:val="440"/>
          <w:jc w:val="center"/>
        </w:trPr>
        <w:tc>
          <w:tcPr>
            <w:tcW w:w="1978" w:type="dxa"/>
            <w:vAlign w:val="center"/>
          </w:tcPr>
          <w:p w14:paraId="2BEA80E3" w14:textId="77777777" w:rsidR="00ED66A2" w:rsidRDefault="00000000" w:rsidP="00040C97">
            <w:pPr>
              <w:jc w:val="center"/>
            </w:pPr>
            <w:r>
              <w:rPr>
                <w:sz w:val="20"/>
              </w:rPr>
              <w:t>Low-VIX test days</w:t>
            </w:r>
          </w:p>
        </w:tc>
        <w:tc>
          <w:tcPr>
            <w:tcW w:w="2521" w:type="dxa"/>
            <w:vAlign w:val="center"/>
          </w:tcPr>
          <w:p w14:paraId="5E5F56BC" w14:textId="77777777" w:rsidR="00ED66A2" w:rsidRDefault="00000000" w:rsidP="00040C97">
            <w:pPr>
              <w:jc w:val="center"/>
            </w:pPr>
            <w:r>
              <w:rPr>
                <w:sz w:val="20"/>
              </w:rPr>
              <w:t>VIX &lt; 18.71</w:t>
            </w:r>
          </w:p>
        </w:tc>
        <w:tc>
          <w:tcPr>
            <w:tcW w:w="1279" w:type="dxa"/>
            <w:vAlign w:val="center"/>
          </w:tcPr>
          <w:p w14:paraId="0A8F5513" w14:textId="77777777" w:rsidR="00ED66A2" w:rsidRDefault="00000000" w:rsidP="00040C97">
            <w:pPr>
              <w:jc w:val="center"/>
            </w:pPr>
            <w:r>
              <w:rPr>
                <w:sz w:val="20"/>
              </w:rPr>
              <w:t>248</w:t>
            </w:r>
          </w:p>
        </w:tc>
        <w:tc>
          <w:tcPr>
            <w:tcW w:w="3781" w:type="dxa"/>
            <w:vAlign w:val="center"/>
          </w:tcPr>
          <w:p w14:paraId="37BF6729" w14:textId="77777777" w:rsidR="00ED66A2" w:rsidRDefault="00000000" w:rsidP="00040C97">
            <w:pPr>
              <w:jc w:val="left"/>
            </w:pPr>
            <w:r>
              <w:rPr>
                <w:sz w:val="20"/>
              </w:rPr>
              <w:t>96.9% of the aligned evaluation sample</w:t>
            </w:r>
          </w:p>
        </w:tc>
      </w:tr>
    </w:tbl>
    <w:p w14:paraId="2E6CB61C" w14:textId="77777777" w:rsidR="00ED66A2" w:rsidRDefault="00ED66A2"/>
    <w:p w14:paraId="1B9325AB" w14:textId="77777777" w:rsidR="00ED66A2" w:rsidRDefault="00000000">
      <w:pPr>
        <w:pStyle w:val="Heading2"/>
      </w:pPr>
      <w:r>
        <w:rPr>
          <w:rFonts w:ascii="Times New Roman" w:hAnsi="Times New Roman"/>
        </w:rPr>
        <w:t>3.2. Prediction targets and feature engineering</w:t>
      </w:r>
    </w:p>
    <w:p w14:paraId="7718CE42" w14:textId="08B106FA"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r w:rsidR="00F55BD2">
        <w:t>generalizes</w:t>
      </w:r>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0DADC293" w14:textId="77777777"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w:t>
      </w:r>
      <w:r>
        <w:lastRenderedPageBreak/>
        <w:t xml:space="preserve">OHLCV data: MACD line, signal line, histogram, EMA-20, RSI-14, stochastic </w:t>
      </w:r>
      <w:r w:rsidR="00541B59">
        <w:t>%</w:t>
      </w:r>
      <w:r>
        <w:t xml:space="preserve">K, stochastic </w:t>
      </w:r>
      <w:r w:rsidR="00541B59">
        <w:t>%</w:t>
      </w:r>
      <w:r>
        <w:t xml:space="preserve">D, ROC-10, Bollinger upper band, Bollinger lower band, Bollinger width, ATR-14, and log-return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5E0E39F9"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2D2E49D"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C6FEAF2" w14:textId="77777777" w:rsidTr="001A1C9C">
        <w:trPr>
          <w:trHeight w:val="290"/>
          <w:jc w:val="center"/>
        </w:trPr>
        <w:tc>
          <w:tcPr>
            <w:tcW w:w="1893" w:type="dxa"/>
            <w:vAlign w:val="center"/>
          </w:tcPr>
          <w:p w14:paraId="4F994F19" w14:textId="77777777" w:rsidR="00ED66A2" w:rsidRDefault="00000000" w:rsidP="001A1C9C">
            <w:pPr>
              <w:jc w:val="center"/>
            </w:pPr>
            <w:r>
              <w:rPr>
                <w:b/>
                <w:sz w:val="20"/>
              </w:rPr>
              <w:t>Feature family</w:t>
            </w:r>
          </w:p>
        </w:tc>
        <w:tc>
          <w:tcPr>
            <w:tcW w:w="3642" w:type="dxa"/>
            <w:vAlign w:val="center"/>
          </w:tcPr>
          <w:p w14:paraId="477C59C8" w14:textId="77777777" w:rsidR="00ED66A2" w:rsidRDefault="00000000" w:rsidP="001A1C9C">
            <w:pPr>
              <w:jc w:val="center"/>
            </w:pPr>
            <w:r>
              <w:rPr>
                <w:b/>
                <w:sz w:val="20"/>
              </w:rPr>
              <w:t>Variables</w:t>
            </w:r>
          </w:p>
        </w:tc>
        <w:tc>
          <w:tcPr>
            <w:tcW w:w="3496" w:type="dxa"/>
            <w:vAlign w:val="center"/>
          </w:tcPr>
          <w:p w14:paraId="088D367C" w14:textId="77777777" w:rsidR="00ED66A2" w:rsidRDefault="00000000" w:rsidP="001A1C9C">
            <w:pPr>
              <w:jc w:val="center"/>
            </w:pPr>
            <w:r>
              <w:rPr>
                <w:b/>
                <w:sz w:val="20"/>
              </w:rPr>
              <w:t>Economic role</w:t>
            </w:r>
          </w:p>
        </w:tc>
      </w:tr>
      <w:tr w:rsidR="00ED66A2" w14:paraId="18410EDF" w14:textId="77777777" w:rsidTr="001A1C9C">
        <w:trPr>
          <w:trHeight w:val="580"/>
          <w:jc w:val="center"/>
        </w:trPr>
        <w:tc>
          <w:tcPr>
            <w:tcW w:w="1893" w:type="dxa"/>
            <w:vAlign w:val="center"/>
          </w:tcPr>
          <w:p w14:paraId="5C950CB8" w14:textId="77777777" w:rsidR="00ED66A2" w:rsidRDefault="00000000" w:rsidP="001A1C9C">
            <w:pPr>
              <w:jc w:val="center"/>
            </w:pPr>
            <w:r>
              <w:rPr>
                <w:sz w:val="20"/>
              </w:rPr>
              <w:t>Trend</w:t>
            </w:r>
          </w:p>
        </w:tc>
        <w:tc>
          <w:tcPr>
            <w:tcW w:w="3642" w:type="dxa"/>
            <w:vAlign w:val="center"/>
          </w:tcPr>
          <w:p w14:paraId="5D15E1A2" w14:textId="77777777" w:rsidR="00ED66A2" w:rsidRDefault="00000000" w:rsidP="001A1C9C">
            <w:pPr>
              <w:jc w:val="center"/>
            </w:pPr>
            <w:r>
              <w:rPr>
                <w:sz w:val="20"/>
              </w:rPr>
              <w:t>EMA-20, MACD line, MACD signal, MACD histogram</w:t>
            </w:r>
          </w:p>
        </w:tc>
        <w:tc>
          <w:tcPr>
            <w:tcW w:w="3496" w:type="dxa"/>
            <w:vAlign w:val="center"/>
          </w:tcPr>
          <w:p w14:paraId="2B7DE82F" w14:textId="77777777" w:rsidR="00ED66A2" w:rsidRDefault="00000000" w:rsidP="001A1C9C">
            <w:pPr>
              <w:jc w:val="left"/>
            </w:pPr>
            <w:r>
              <w:rPr>
                <w:sz w:val="20"/>
              </w:rPr>
              <w:t>Capture medium-term direction and crossover intensity</w:t>
            </w:r>
          </w:p>
        </w:tc>
      </w:tr>
      <w:tr w:rsidR="00ED66A2" w14:paraId="46EAC4C5" w14:textId="77777777" w:rsidTr="001A1C9C">
        <w:trPr>
          <w:trHeight w:val="600"/>
          <w:jc w:val="center"/>
        </w:trPr>
        <w:tc>
          <w:tcPr>
            <w:tcW w:w="1893" w:type="dxa"/>
            <w:vAlign w:val="center"/>
          </w:tcPr>
          <w:p w14:paraId="12E4328B" w14:textId="77777777" w:rsidR="00ED66A2" w:rsidRDefault="00000000" w:rsidP="001A1C9C">
            <w:pPr>
              <w:jc w:val="center"/>
            </w:pPr>
            <w:r>
              <w:rPr>
                <w:sz w:val="20"/>
              </w:rPr>
              <w:t>Momentum</w:t>
            </w:r>
          </w:p>
        </w:tc>
        <w:tc>
          <w:tcPr>
            <w:tcW w:w="3642" w:type="dxa"/>
            <w:vAlign w:val="center"/>
          </w:tcPr>
          <w:p w14:paraId="5773B472" w14:textId="77777777" w:rsidR="00ED66A2" w:rsidRDefault="00000000" w:rsidP="001A1C9C">
            <w:pPr>
              <w:jc w:val="center"/>
            </w:pPr>
            <w:r>
              <w:rPr>
                <w:sz w:val="20"/>
              </w:rPr>
              <w:t>RSI-14, stochastic %K, stochastic %D, ROC-10</w:t>
            </w:r>
          </w:p>
        </w:tc>
        <w:tc>
          <w:tcPr>
            <w:tcW w:w="3496" w:type="dxa"/>
            <w:vAlign w:val="center"/>
          </w:tcPr>
          <w:p w14:paraId="0CDE4ADD" w14:textId="77777777" w:rsidR="00ED66A2" w:rsidRDefault="00000000" w:rsidP="001A1C9C">
            <w:pPr>
              <w:jc w:val="left"/>
            </w:pPr>
            <w:r>
              <w:rPr>
                <w:sz w:val="20"/>
              </w:rPr>
              <w:t>Measure directional persistence and overbought-oversold pressure</w:t>
            </w:r>
          </w:p>
        </w:tc>
      </w:tr>
      <w:tr w:rsidR="00ED66A2" w14:paraId="76C37EA8" w14:textId="77777777" w:rsidTr="001A1C9C">
        <w:trPr>
          <w:trHeight w:val="580"/>
          <w:jc w:val="center"/>
        </w:trPr>
        <w:tc>
          <w:tcPr>
            <w:tcW w:w="1893" w:type="dxa"/>
            <w:vAlign w:val="center"/>
          </w:tcPr>
          <w:p w14:paraId="378B9428" w14:textId="77777777" w:rsidR="00ED66A2" w:rsidRDefault="00000000" w:rsidP="001A1C9C">
            <w:pPr>
              <w:jc w:val="center"/>
            </w:pPr>
            <w:r>
              <w:rPr>
                <w:sz w:val="20"/>
              </w:rPr>
              <w:t>Volatility</w:t>
            </w:r>
          </w:p>
        </w:tc>
        <w:tc>
          <w:tcPr>
            <w:tcW w:w="3642" w:type="dxa"/>
            <w:vAlign w:val="center"/>
          </w:tcPr>
          <w:p w14:paraId="00BF8D2A" w14:textId="77777777" w:rsidR="00ED66A2" w:rsidRDefault="00000000" w:rsidP="001A1C9C">
            <w:pPr>
              <w:jc w:val="center"/>
            </w:pPr>
            <w:r>
              <w:rPr>
                <w:sz w:val="20"/>
              </w:rPr>
              <w:t>ATR-14, Bollinger upper, lower, width</w:t>
            </w:r>
          </w:p>
        </w:tc>
        <w:tc>
          <w:tcPr>
            <w:tcW w:w="3496" w:type="dxa"/>
            <w:vAlign w:val="center"/>
          </w:tcPr>
          <w:p w14:paraId="4F973470" w14:textId="77777777" w:rsidR="00ED66A2" w:rsidRDefault="00000000" w:rsidP="001A1C9C">
            <w:pPr>
              <w:jc w:val="left"/>
            </w:pPr>
            <w:r>
              <w:rPr>
                <w:sz w:val="20"/>
              </w:rPr>
              <w:t>Track dispersion and breakout conditions</w:t>
            </w:r>
          </w:p>
        </w:tc>
      </w:tr>
      <w:tr w:rsidR="00ED66A2" w14:paraId="1AA5E0FA" w14:textId="77777777" w:rsidTr="001A1C9C">
        <w:trPr>
          <w:trHeight w:val="580"/>
          <w:jc w:val="center"/>
        </w:trPr>
        <w:tc>
          <w:tcPr>
            <w:tcW w:w="1893" w:type="dxa"/>
            <w:vAlign w:val="center"/>
          </w:tcPr>
          <w:p w14:paraId="44DEF3C2" w14:textId="77777777" w:rsidR="00ED66A2" w:rsidRDefault="00000000" w:rsidP="001A1C9C">
            <w:pPr>
              <w:jc w:val="center"/>
            </w:pPr>
            <w:r>
              <w:rPr>
                <w:sz w:val="20"/>
              </w:rPr>
              <w:t>Short-memory returns</w:t>
            </w:r>
          </w:p>
        </w:tc>
        <w:tc>
          <w:tcPr>
            <w:tcW w:w="3642" w:type="dxa"/>
            <w:vAlign w:val="center"/>
          </w:tcPr>
          <w:p w14:paraId="383A35B7" w14:textId="77777777" w:rsidR="00ED66A2" w:rsidRDefault="00000000" w:rsidP="001A1C9C">
            <w:pPr>
              <w:jc w:val="center"/>
            </w:pPr>
            <w:r>
              <w:rPr>
                <w:sz w:val="20"/>
              </w:rPr>
              <w:t>Log-return lags 1, 2, 3, 5</w:t>
            </w:r>
          </w:p>
        </w:tc>
        <w:tc>
          <w:tcPr>
            <w:tcW w:w="3496" w:type="dxa"/>
            <w:vAlign w:val="center"/>
          </w:tcPr>
          <w:p w14:paraId="2C2B77F6" w14:textId="77777777" w:rsidR="00ED66A2" w:rsidRDefault="00000000" w:rsidP="001A1C9C">
            <w:pPr>
              <w:jc w:val="left"/>
            </w:pPr>
            <w:r>
              <w:rPr>
                <w:sz w:val="20"/>
              </w:rPr>
              <w:t>Preserve recent directional state for tabular and sequence learners</w:t>
            </w:r>
          </w:p>
        </w:tc>
      </w:tr>
    </w:tbl>
    <w:p w14:paraId="7138B6A2" w14:textId="77777777" w:rsidR="00ED66A2" w:rsidRDefault="00000000">
      <w:pPr>
        <w:pStyle w:val="Heading2"/>
      </w:pPr>
      <w:r>
        <w:rPr>
          <w:rFonts w:ascii="Times New Roman" w:hAnsi="Times New Roman"/>
        </w:rPr>
        <w:t>3.3. Stacking ensemble and sequence learner</w:t>
      </w:r>
    </w:p>
    <w:p w14:paraId="27C35000" w14:textId="77777777"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w:t>
      </w:r>
      <w:r>
        <w:lastRenderedPageBreak/>
        <w:t>validation rather than random shuffles. Each base learner emits a class-1 probability for the Up class. Fig. 1 presents an end-to-end overview of the complete prediction and deployment pipeline.</w:t>
      </w:r>
    </w:p>
    <w:p w14:paraId="0AE0E040" w14:textId="6F3FB36B"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0E5C8F">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7007BF54"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443EFAD" w14:textId="77777777"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6D4EAAEB" w14:textId="77777777"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7DFFE8F0" w14:textId="77777777"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5D982ADC" w14:textId="77777777" w:rsidR="00FE4D45" w:rsidRPr="002F33B0" w:rsidRDefault="00FE4D45" w:rsidP="00FE4D45">
      <w:pPr>
        <w:spacing w:after="0"/>
        <w:rPr>
          <w:iCs/>
          <w:szCs w:val="26"/>
        </w:rPr>
      </w:pPr>
    </w:p>
    <w:p w14:paraId="31B1148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1CA05B5C" w14:textId="77777777" w:rsidTr="003953F8">
        <w:trPr>
          <w:trHeight w:val="265"/>
          <w:jc w:val="center"/>
        </w:trPr>
        <w:tc>
          <w:tcPr>
            <w:tcW w:w="1444" w:type="dxa"/>
            <w:vAlign w:val="center"/>
          </w:tcPr>
          <w:p w14:paraId="716CB037" w14:textId="77777777" w:rsidR="00ED66A2" w:rsidRDefault="00000000" w:rsidP="003953F8">
            <w:pPr>
              <w:jc w:val="center"/>
            </w:pPr>
            <w:r>
              <w:rPr>
                <w:b/>
                <w:sz w:val="20"/>
              </w:rPr>
              <w:t>Layer</w:t>
            </w:r>
          </w:p>
        </w:tc>
        <w:tc>
          <w:tcPr>
            <w:tcW w:w="2166" w:type="dxa"/>
            <w:vAlign w:val="center"/>
          </w:tcPr>
          <w:p w14:paraId="71B12AE2" w14:textId="77777777" w:rsidR="00ED66A2" w:rsidRDefault="00000000" w:rsidP="003953F8">
            <w:pPr>
              <w:jc w:val="center"/>
            </w:pPr>
            <w:r>
              <w:rPr>
                <w:b/>
                <w:sz w:val="20"/>
              </w:rPr>
              <w:t>Model</w:t>
            </w:r>
          </w:p>
        </w:tc>
        <w:tc>
          <w:tcPr>
            <w:tcW w:w="2889" w:type="dxa"/>
            <w:vAlign w:val="center"/>
          </w:tcPr>
          <w:p w14:paraId="34C71883" w14:textId="77777777" w:rsidR="00ED66A2" w:rsidRDefault="00000000" w:rsidP="003953F8">
            <w:pPr>
              <w:jc w:val="center"/>
            </w:pPr>
            <w:r>
              <w:rPr>
                <w:b/>
                <w:sz w:val="20"/>
              </w:rPr>
              <w:t>Purpose</w:t>
            </w:r>
          </w:p>
        </w:tc>
        <w:tc>
          <w:tcPr>
            <w:tcW w:w="2889" w:type="dxa"/>
            <w:vAlign w:val="center"/>
          </w:tcPr>
          <w:p>
            <w:r>
              <w:t>Key configuration</w:t>
            </w:r>
          </w:p>
        </w:tc>
      </w:tr>
      <w:tr w:rsidR="00ED66A2" w14:paraId="42F465F5" w14:textId="77777777" w:rsidTr="003953F8">
        <w:trPr>
          <w:trHeight w:val="265"/>
          <w:jc w:val="center"/>
        </w:trPr>
        <w:tc>
          <w:tcPr>
            <w:tcW w:w="1444" w:type="dxa"/>
            <w:vAlign w:val="center"/>
          </w:tcPr>
          <w:p w14:paraId="4EDDA1ED" w14:textId="77777777" w:rsidR="00ED66A2" w:rsidRDefault="00000000" w:rsidP="003953F8">
            <w:pPr>
              <w:jc w:val="center"/>
            </w:pPr>
            <w:r>
              <w:rPr>
                <w:sz w:val="20"/>
              </w:rPr>
              <w:t>Base learner</w:t>
            </w:r>
          </w:p>
        </w:tc>
        <w:tc>
          <w:tcPr>
            <w:tcW w:w="2166" w:type="dxa"/>
            <w:vAlign w:val="center"/>
          </w:tcPr>
          <w:p w14:paraId="2799E235" w14:textId="77777777" w:rsidR="00ED66A2" w:rsidRDefault="00000000" w:rsidP="003953F8">
            <w:pPr>
              <w:jc w:val="center"/>
            </w:pPr>
            <w:r>
              <w:rPr>
                <w:sz w:val="20"/>
              </w:rPr>
              <w:t>XGBoost</w:t>
            </w:r>
          </w:p>
        </w:tc>
        <w:tc>
          <w:tcPr>
            <w:tcW w:w="2889" w:type="dxa"/>
            <w:vAlign w:val="center"/>
          </w:tcPr>
          <w:p w14:paraId="5587CE50" w14:textId="77777777" w:rsidR="00ED66A2" w:rsidRDefault="00000000" w:rsidP="003953F8">
            <w:pPr>
              <w:jc w:val="center"/>
            </w:pPr>
            <w:r>
              <w:rPr>
                <w:sz w:val="20"/>
              </w:rPr>
              <w:t>Nonlinear tabular classification</w:t>
            </w:r>
          </w:p>
        </w:tc>
        <w:tc>
          <w:tcPr>
            <w:tcW w:w="2889" w:type="dxa"/>
            <w:vAlign w:val="center"/>
          </w:tcPr>
          <w:p>
            <w:r>
              <w:t>n_estimators=176, max_depth=4, lr=0.0116, subsample=0.774, colsample_bytree=0.775, reg_alpha=0.0002, reg_lambda=4.89; Optuna (100 trials), time-series CV</w:t>
            </w:r>
          </w:p>
        </w:tc>
      </w:tr>
      <w:tr w:rsidR="00ED66A2" w14:paraId="0F2B07C1" w14:textId="77777777" w:rsidTr="003953F8">
        <w:trPr>
          <w:trHeight w:val="531"/>
          <w:jc w:val="center"/>
        </w:trPr>
        <w:tc>
          <w:tcPr>
            <w:tcW w:w="1444" w:type="dxa"/>
            <w:vAlign w:val="center"/>
          </w:tcPr>
          <w:p w14:paraId="34F8376E" w14:textId="77777777" w:rsidR="00ED66A2" w:rsidRDefault="00000000" w:rsidP="003953F8">
            <w:pPr>
              <w:jc w:val="center"/>
            </w:pPr>
            <w:r>
              <w:rPr>
                <w:sz w:val="20"/>
              </w:rPr>
              <w:t>Base learner</w:t>
            </w:r>
          </w:p>
        </w:tc>
        <w:tc>
          <w:tcPr>
            <w:tcW w:w="2166" w:type="dxa"/>
            <w:vAlign w:val="center"/>
          </w:tcPr>
          <w:p w14:paraId="31733F1E" w14:textId="77777777" w:rsidR="00ED66A2" w:rsidRDefault="00000000" w:rsidP="003953F8">
            <w:pPr>
              <w:jc w:val="center"/>
            </w:pPr>
            <w:r>
              <w:rPr>
                <w:sz w:val="20"/>
              </w:rPr>
              <w:t>LightGBM</w:t>
            </w:r>
          </w:p>
        </w:tc>
        <w:tc>
          <w:tcPr>
            <w:tcW w:w="2889" w:type="dxa"/>
            <w:vAlign w:val="center"/>
          </w:tcPr>
          <w:p w14:paraId="2D4938AB" w14:textId="77777777" w:rsidR="00ED66A2" w:rsidRDefault="00000000" w:rsidP="003953F8">
            <w:pPr>
              <w:jc w:val="center"/>
            </w:pPr>
            <w:r>
              <w:rPr>
                <w:sz w:val="20"/>
              </w:rPr>
              <w:t>Gradient boosting with efficient leaf-wise growth</w:t>
            </w:r>
          </w:p>
        </w:tc>
        <w:tc>
          <w:tcPr>
            <w:tcW w:w="2889" w:type="dxa"/>
            <w:vAlign w:val="center"/>
          </w:tcPr>
          <w:p>
            <w:r>
              <w:t>n_estimators=130, max_depth=4, lr=0.0100, num_leaves=39, subsample=0.944, colsample_bytree=0.742, reg_alpha=4.04, reg_lambda=5.86; Optuna, time-series CV</w:t>
            </w:r>
          </w:p>
        </w:tc>
      </w:tr>
      <w:tr w:rsidR="00ED66A2" w14:paraId="4A17F136" w14:textId="77777777" w:rsidTr="003953F8">
        <w:trPr>
          <w:trHeight w:val="549"/>
          <w:jc w:val="center"/>
        </w:trPr>
        <w:tc>
          <w:tcPr>
            <w:tcW w:w="1444" w:type="dxa"/>
            <w:vAlign w:val="center"/>
          </w:tcPr>
          <w:p w14:paraId="00D535FB" w14:textId="77777777" w:rsidR="00ED66A2" w:rsidRDefault="00000000" w:rsidP="003953F8">
            <w:pPr>
              <w:jc w:val="center"/>
            </w:pPr>
            <w:r>
              <w:rPr>
                <w:sz w:val="20"/>
              </w:rPr>
              <w:t>Base learner</w:t>
            </w:r>
          </w:p>
        </w:tc>
        <w:tc>
          <w:tcPr>
            <w:tcW w:w="2166" w:type="dxa"/>
            <w:vAlign w:val="center"/>
          </w:tcPr>
          <w:p w14:paraId="0E84A0E0" w14:textId="77777777" w:rsidR="00ED66A2" w:rsidRDefault="00000000" w:rsidP="003953F8">
            <w:pPr>
              <w:jc w:val="center"/>
            </w:pPr>
            <w:r>
              <w:rPr>
                <w:sz w:val="20"/>
              </w:rPr>
              <w:t>Random Forest</w:t>
            </w:r>
          </w:p>
        </w:tc>
        <w:tc>
          <w:tcPr>
            <w:tcW w:w="2889" w:type="dxa"/>
            <w:vAlign w:val="center"/>
          </w:tcPr>
          <w:p w14:paraId="111C57D1" w14:textId="77777777" w:rsidR="00ED66A2" w:rsidRDefault="00000000" w:rsidP="003953F8">
            <w:pPr>
              <w:jc w:val="center"/>
            </w:pPr>
            <w:r>
              <w:rPr>
                <w:sz w:val="20"/>
              </w:rPr>
              <w:t>Variance reduction and nonlinear interactions</w:t>
            </w:r>
          </w:p>
        </w:tc>
        <w:tc>
          <w:tcPr>
            <w:tcW w:w="2889" w:type="dxa"/>
            <w:vAlign w:val="center"/>
          </w:tcPr>
          <w:p>
            <w:r>
              <w:t>n_estimators=376, max_depth=3, min_samples_split=12, min_samples_leaf=3, max_features=log2; chronological training</w:t>
            </w:r>
          </w:p>
        </w:tc>
      </w:tr>
      <w:tr w:rsidR="00ED66A2" w14:paraId="62074046" w14:textId="77777777" w:rsidTr="003953F8">
        <w:trPr>
          <w:trHeight w:val="531"/>
          <w:jc w:val="center"/>
        </w:trPr>
        <w:tc>
          <w:tcPr>
            <w:tcW w:w="1444" w:type="dxa"/>
            <w:vAlign w:val="center"/>
          </w:tcPr>
          <w:p w14:paraId="138D7ECC" w14:textId="77777777" w:rsidR="00ED66A2" w:rsidRDefault="00000000" w:rsidP="003953F8">
            <w:pPr>
              <w:jc w:val="center"/>
            </w:pPr>
            <w:r>
              <w:rPr>
                <w:sz w:val="20"/>
              </w:rPr>
              <w:t>Base learner</w:t>
            </w:r>
          </w:p>
        </w:tc>
        <w:tc>
          <w:tcPr>
            <w:tcW w:w="2166" w:type="dxa"/>
            <w:vAlign w:val="center"/>
          </w:tcPr>
          <w:p w14:paraId="36460F8F" w14:textId="77777777" w:rsidR="00ED66A2" w:rsidRDefault="00000000" w:rsidP="003953F8">
            <w:pPr>
              <w:jc w:val="center"/>
            </w:pPr>
            <w:proofErr w:type="spellStart"/>
            <w:r>
              <w:rPr>
                <w:sz w:val="20"/>
              </w:rPr>
              <w:t>CatBoost</w:t>
            </w:r>
            <w:proofErr w:type="spellEnd"/>
          </w:p>
        </w:tc>
        <w:tc>
          <w:tcPr>
            <w:tcW w:w="2889" w:type="dxa"/>
            <w:vAlign w:val="center"/>
          </w:tcPr>
          <w:p w14:paraId="38CFA44F" w14:textId="77777777" w:rsidR="00ED66A2" w:rsidRDefault="00000000" w:rsidP="003953F8">
            <w:pPr>
              <w:jc w:val="center"/>
            </w:pPr>
            <w:r>
              <w:rPr>
                <w:sz w:val="20"/>
              </w:rPr>
              <w:t>Ordered boosting on structured indicators</w:t>
            </w:r>
          </w:p>
        </w:tc>
        <w:tc>
          <w:tcPr>
            <w:tcW w:w="2889" w:type="dxa"/>
            <w:vAlign w:val="center"/>
          </w:tcPr>
          <w:p>
            <w:r>
              <w:t>iterations=155, depth=8, lr=0.0125, l2_leaf_reg=9.64, bagging_temperature=0.205; Optuna, probability output</w:t>
            </w:r>
          </w:p>
        </w:tc>
      </w:tr>
      <w:tr w:rsidR="00ED66A2" w14:paraId="6645F0C9" w14:textId="77777777" w:rsidTr="003953F8">
        <w:trPr>
          <w:trHeight w:val="531"/>
          <w:jc w:val="center"/>
        </w:trPr>
        <w:tc>
          <w:tcPr>
            <w:tcW w:w="1444" w:type="dxa"/>
            <w:vAlign w:val="center"/>
          </w:tcPr>
          <w:p w14:paraId="4B39B4B7" w14:textId="77777777" w:rsidR="00ED66A2" w:rsidRDefault="00000000" w:rsidP="003953F8">
            <w:pPr>
              <w:jc w:val="center"/>
            </w:pPr>
            <w:r>
              <w:rPr>
                <w:sz w:val="20"/>
              </w:rPr>
              <w:t>Base learner</w:t>
            </w:r>
          </w:p>
        </w:tc>
        <w:tc>
          <w:tcPr>
            <w:tcW w:w="2166" w:type="dxa"/>
            <w:vAlign w:val="center"/>
          </w:tcPr>
          <w:p w14:paraId="7FD6B0E9"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6A4DD214" w14:textId="77777777" w:rsidR="00ED66A2" w:rsidRDefault="00000000" w:rsidP="003953F8">
            <w:pPr>
              <w:jc w:val="center"/>
            </w:pPr>
            <w:r>
              <w:rPr>
                <w:sz w:val="20"/>
              </w:rPr>
              <w:t>Sequence modelling over 20-day windows</w:t>
            </w:r>
          </w:p>
        </w:tc>
        <w:tc>
          <w:tcPr>
            <w:tcW w:w="2889" w:type="dxa"/>
            <w:vAlign w:val="center"/>
          </w:tcPr>
          <w:p>
            <w:r>
              <w:t>hidden_size=64, seq_len=20, dropout=0.2, lr=0.001, batch_size=64, patience=8, max_epochs=50</w:t>
            </w:r>
          </w:p>
        </w:tc>
      </w:tr>
      <w:tr w:rsidR="00ED66A2" w14:paraId="6E5B9083" w14:textId="77777777" w:rsidTr="003953F8">
        <w:trPr>
          <w:trHeight w:val="531"/>
          <w:jc w:val="center"/>
        </w:trPr>
        <w:tc>
          <w:tcPr>
            <w:tcW w:w="1444" w:type="dxa"/>
            <w:vAlign w:val="center"/>
          </w:tcPr>
          <w:p w14:paraId="243335E6" w14:textId="77777777" w:rsidR="00ED66A2" w:rsidRDefault="00000000" w:rsidP="003953F8">
            <w:pPr>
              <w:jc w:val="center"/>
            </w:pPr>
            <w:r>
              <w:rPr>
                <w:sz w:val="20"/>
              </w:rPr>
              <w:t>Meta learner</w:t>
            </w:r>
          </w:p>
        </w:tc>
        <w:tc>
          <w:tcPr>
            <w:tcW w:w="2166" w:type="dxa"/>
            <w:vAlign w:val="center"/>
          </w:tcPr>
          <w:p w14:paraId="5BA77B17" w14:textId="77777777" w:rsidR="00ED66A2" w:rsidRDefault="00000000" w:rsidP="003953F8">
            <w:pPr>
              <w:jc w:val="center"/>
            </w:pPr>
            <w:r>
              <w:rPr>
                <w:sz w:val="20"/>
              </w:rPr>
              <w:t>Ridge logistic regression</w:t>
            </w:r>
          </w:p>
        </w:tc>
        <w:tc>
          <w:tcPr>
            <w:tcW w:w="2889" w:type="dxa"/>
            <w:vAlign w:val="center"/>
          </w:tcPr>
          <w:p w14:paraId="432A0695" w14:textId="77777777" w:rsidR="00ED66A2" w:rsidRDefault="00000000" w:rsidP="003953F8">
            <w:pPr>
              <w:jc w:val="center"/>
            </w:pPr>
            <w:r>
              <w:rPr>
                <w:sz w:val="20"/>
              </w:rPr>
              <w:t>Stack out-of-fold probabilities</w:t>
            </w:r>
          </w:p>
        </w:tc>
        <w:tc>
          <w:tcPr>
            <w:tcW w:w="2889" w:type="dxa"/>
            <w:vAlign w:val="center"/>
          </w:tcPr>
          <w:p>
            <w:r>
              <w:t>C=1.0 (L2), max_iter=1000; trained on out-of-fold base-learner probabilities</w:t>
            </w:r>
          </w:p>
        </w:tc>
      </w:tr>
    </w:tbl>
    <w:p w14:paraId="49C3D266" w14:textId="77777777" w:rsidR="00ED66A2" w:rsidRDefault="00ED66A2"/>
    <w:p w14:paraId="786B609A" w14:textId="77777777"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4A65F413"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7D3AA28F" w14:textId="751E8F7A" w:rsidR="00A36C97" w:rsidRPr="000E5C8F" w:rsidRDefault="00000000" w:rsidP="000E5C8F">
      <w:pPr>
        <w:spacing w:before="80" w:after="80"/>
        <w:jc w:val="center"/>
        <w:rPr>
          <w:iCs/>
        </w:rPr>
      </w:pPr>
      <w:r w:rsidRPr="00DB17B5">
        <w:rPr>
          <w:iCs/>
          <w:sz w:val="20"/>
        </w:rPr>
        <w:t>Fig. 2. Meta-learner coefficient heatmap.</w:t>
      </w:r>
    </w:p>
    <w:p w14:paraId="4D7B33EC" w14:textId="77777777" w:rsidR="00ED66A2" w:rsidRDefault="00000000">
      <w:pPr>
        <w:pStyle w:val="Heading2"/>
      </w:pPr>
      <w:r>
        <w:rPr>
          <w:rFonts w:ascii="Times New Roman" w:hAnsi="Times New Roman"/>
        </w:rPr>
        <w:t>3.4. Regime definition and diagnostic interpretation</w:t>
      </w:r>
    </w:p>
    <w:p w14:paraId="0A83B4D6" w14:textId="77777777" w:rsidR="00ED66A2" w:rsidRDefault="00000000">
      <w:pPr>
        <w:spacing w:after="80" w:line="360" w:lineRule="auto"/>
        <w:ind w:firstLine="360"/>
      </w:pPr>
      <w:r>
        <w:t xml:space="preserve">The regime rule is now defined without look-ahead bias. High-VIX is calibrated as India VIX greater than or equal to the 75th percentile of the pre-test (train+validation) distribution, giving a fixed threshold of 18.71 rather than the previously used test-derived 15.08. Under this </w:t>
      </w:r>
      <w:r>
        <w:lastRenderedPageBreak/>
        <w:t>fixed rule, the held-out test window contains far fewer High-VIX observations, which materially affects both statistical power and deployment frequency.</w:t>
      </w:r>
    </w:p>
    <w:p w14:paraId="79BD2FE2" w14:textId="6E5D9D3E" w:rsidR="00ED66A2" w:rsidRDefault="00000000">
      <w:pPr>
        <w:spacing w:after="80" w:line="360" w:lineRule="auto"/>
        <w:ind w:firstLine="360"/>
      </w:pPr>
      <w:r>
        <w:t>The pre-test-fixed threshold used here differs from a diagnostic partition computed after observing the test period: it is calibrated only from information available before the test window begins (train+validation p75 = 18.71), so it could in principle be applied in real time without access to future data. This is what makes the regime filter deployable rather than merely descriptive. The trade-off is that a pre-test-fixed threshold is not guaranteed to match the test period's own volatility distribution, which is why the resulting High-VIX subset is sparse (n = 8) here and why we report sensitivity to alternative calibration windows (Section 6.3) rather than treating this single threshold choice as definitive.</w:t>
      </w:r>
      <w:r w:rsidR="00F55BD2"/>
      <w:r/>
    </w:p>
    <w:p w14:paraId="69E2EF81"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420B1230" w14:textId="77777777" w:rsidR="00ED66A2" w:rsidRDefault="00000000">
      <w:pPr>
        <w:pStyle w:val="Heading1"/>
      </w:pPr>
      <w:r>
        <w:rPr>
          <w:rFonts w:ascii="Times New Roman" w:hAnsi="Times New Roman"/>
        </w:rPr>
        <w:t>4. Experimental Design and Evaluation Protocol</w:t>
      </w:r>
    </w:p>
    <w:p w14:paraId="3DC58B9C" w14:textId="77777777"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5E89C725" w14:textId="77777777" w:rsidR="00ED66A2" w:rsidRDefault="00000000">
      <w:pPr>
        <w:spacing w:after="80" w:line="360" w:lineRule="auto"/>
        <w:ind w:firstLine="360"/>
      </w:pPr>
      <w:r>
        <w:t>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informative rather than less, because it shows the regime filter is discovering concentration of reliability rather than polishing an already dominant unconditional classifier.</w:t>
      </w:r>
    </w:p>
    <w:p w14:paraId="66A9D0B9" w14:textId="77777777" w:rsidR="00ED66A2" w:rsidRDefault="00000000">
      <w:pPr>
        <w:spacing w:after="80" w:line="360" w:lineRule="auto"/>
        <w:ind w:firstLine="360"/>
      </w:pPr>
      <w:r>
        <w:lastRenderedPageBreak/>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1BB933D5"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2B063810" w14:textId="77777777"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28A194CE" w14:textId="77777777"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44C55704" w14:textId="77777777" w:rsidTr="00A36C97">
        <w:trPr>
          <w:trHeight w:val="368"/>
          <w:jc w:val="center"/>
        </w:trPr>
        <w:tc>
          <w:tcPr>
            <w:tcW w:w="1762" w:type="dxa"/>
            <w:vAlign w:val="center"/>
          </w:tcPr>
          <w:p w14:paraId="59D67841" w14:textId="77777777" w:rsidR="00ED66A2" w:rsidRDefault="00000000" w:rsidP="0045021F">
            <w:pPr>
              <w:jc w:val="center"/>
            </w:pPr>
            <w:r>
              <w:rPr>
                <w:b/>
                <w:sz w:val="20"/>
              </w:rPr>
              <w:t>Metric</w:t>
            </w:r>
          </w:p>
        </w:tc>
        <w:tc>
          <w:tcPr>
            <w:tcW w:w="2937" w:type="dxa"/>
            <w:vAlign w:val="center"/>
          </w:tcPr>
          <w:p w14:paraId="13D03227" w14:textId="77777777" w:rsidR="00ED66A2" w:rsidRDefault="00000000" w:rsidP="0045021F">
            <w:pPr>
              <w:jc w:val="center"/>
            </w:pPr>
            <w:r>
              <w:rPr>
                <w:b/>
                <w:sz w:val="20"/>
              </w:rPr>
              <w:t>What it measures</w:t>
            </w:r>
          </w:p>
        </w:tc>
        <w:tc>
          <w:tcPr>
            <w:tcW w:w="4406" w:type="dxa"/>
            <w:vAlign w:val="center"/>
          </w:tcPr>
          <w:p w14:paraId="3520C228" w14:textId="77777777" w:rsidR="00ED66A2" w:rsidRDefault="00000000" w:rsidP="0045021F">
            <w:pPr>
              <w:jc w:val="center"/>
            </w:pPr>
            <w:r>
              <w:rPr>
                <w:b/>
                <w:sz w:val="20"/>
              </w:rPr>
              <w:t>Why it matters here</w:t>
            </w:r>
          </w:p>
        </w:tc>
      </w:tr>
      <w:tr w:rsidR="00ED66A2" w14:paraId="27E4F023" w14:textId="77777777" w:rsidTr="0045021F">
        <w:trPr>
          <w:trHeight w:val="493"/>
          <w:jc w:val="center"/>
        </w:trPr>
        <w:tc>
          <w:tcPr>
            <w:tcW w:w="1762" w:type="dxa"/>
            <w:vAlign w:val="center"/>
          </w:tcPr>
          <w:p w14:paraId="61A8102A" w14:textId="77777777" w:rsidR="00ED66A2" w:rsidRDefault="00000000" w:rsidP="0045021F">
            <w:pPr>
              <w:jc w:val="center"/>
            </w:pPr>
            <w:r>
              <w:rPr>
                <w:sz w:val="20"/>
              </w:rPr>
              <w:t>Accuracy</w:t>
            </w:r>
          </w:p>
        </w:tc>
        <w:tc>
          <w:tcPr>
            <w:tcW w:w="2937" w:type="dxa"/>
            <w:vAlign w:val="center"/>
          </w:tcPr>
          <w:p w14:paraId="078101B0" w14:textId="77777777" w:rsidR="00ED66A2" w:rsidRDefault="00000000" w:rsidP="0045021F">
            <w:pPr>
              <w:jc w:val="center"/>
            </w:pPr>
            <w:r>
              <w:rPr>
                <w:sz w:val="20"/>
              </w:rPr>
              <w:t>Thresholded directional correctness</w:t>
            </w:r>
          </w:p>
        </w:tc>
        <w:tc>
          <w:tcPr>
            <w:tcW w:w="4406" w:type="dxa"/>
            <w:vAlign w:val="center"/>
          </w:tcPr>
          <w:p w14:paraId="7B2A7C06" w14:textId="77777777" w:rsidR="00ED66A2" w:rsidRDefault="00000000" w:rsidP="0045021F">
            <w:pPr>
              <w:jc w:val="left"/>
            </w:pPr>
            <w:r>
              <w:rPr>
                <w:sz w:val="20"/>
              </w:rPr>
              <w:t>Directly tests whether Up/Down calls are right within each regime</w:t>
            </w:r>
          </w:p>
        </w:tc>
      </w:tr>
      <w:tr w:rsidR="00ED66A2" w14:paraId="3976B1D7" w14:textId="77777777" w:rsidTr="0045021F">
        <w:trPr>
          <w:trHeight w:val="509"/>
          <w:jc w:val="center"/>
        </w:trPr>
        <w:tc>
          <w:tcPr>
            <w:tcW w:w="1762" w:type="dxa"/>
            <w:vAlign w:val="center"/>
          </w:tcPr>
          <w:p w14:paraId="14DD2F3B" w14:textId="77777777" w:rsidR="00ED66A2" w:rsidRDefault="00000000" w:rsidP="0045021F">
            <w:pPr>
              <w:jc w:val="center"/>
            </w:pPr>
            <w:r>
              <w:rPr>
                <w:sz w:val="20"/>
              </w:rPr>
              <w:t>AUC</w:t>
            </w:r>
          </w:p>
        </w:tc>
        <w:tc>
          <w:tcPr>
            <w:tcW w:w="2937" w:type="dxa"/>
            <w:vAlign w:val="center"/>
          </w:tcPr>
          <w:p w14:paraId="0469ACF9" w14:textId="77777777" w:rsidR="00ED66A2" w:rsidRDefault="00000000" w:rsidP="0045021F">
            <w:pPr>
              <w:jc w:val="center"/>
            </w:pPr>
            <w:r>
              <w:rPr>
                <w:sz w:val="20"/>
              </w:rPr>
              <w:t>Threshold-free ranking quality</w:t>
            </w:r>
          </w:p>
        </w:tc>
        <w:tc>
          <w:tcPr>
            <w:tcW w:w="4406" w:type="dxa"/>
            <w:vAlign w:val="center"/>
          </w:tcPr>
          <w:p w14:paraId="651D8B52" w14:textId="77777777" w:rsidR="00ED66A2" w:rsidRDefault="00000000" w:rsidP="0045021F">
            <w:pPr>
              <w:jc w:val="left"/>
            </w:pPr>
            <w:r>
              <w:rPr>
                <w:sz w:val="20"/>
              </w:rPr>
              <w:t>Checks whether the regime result is more than a 0.50 cutoff artifact</w:t>
            </w:r>
          </w:p>
        </w:tc>
      </w:tr>
      <w:tr w:rsidR="00ED66A2" w14:paraId="43C8A31F" w14:textId="77777777" w:rsidTr="0045021F">
        <w:trPr>
          <w:trHeight w:val="493"/>
          <w:jc w:val="center"/>
        </w:trPr>
        <w:tc>
          <w:tcPr>
            <w:tcW w:w="1762" w:type="dxa"/>
            <w:vAlign w:val="center"/>
          </w:tcPr>
          <w:p w14:paraId="199151E9" w14:textId="77777777"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77001216" w14:textId="77777777" w:rsidR="00ED66A2" w:rsidRDefault="00000000" w:rsidP="0045021F">
            <w:pPr>
              <w:jc w:val="center"/>
            </w:pPr>
            <w:r>
              <w:rPr>
                <w:sz w:val="20"/>
              </w:rPr>
              <w:t>Significance and effect size of regime split</w:t>
            </w:r>
          </w:p>
        </w:tc>
        <w:tc>
          <w:tcPr>
            <w:tcW w:w="4406" w:type="dxa"/>
            <w:vAlign w:val="center"/>
          </w:tcPr>
          <w:p w14:paraId="58C2C9E8" w14:textId="77777777" w:rsidR="00ED66A2" w:rsidRDefault="00000000" w:rsidP="0045021F">
            <w:pPr>
              <w:jc w:val="left"/>
            </w:pPr>
            <w:r>
              <w:rPr>
                <w:sz w:val="20"/>
              </w:rPr>
              <w:t>Quantifies the credibility and magnitude of High-VIX advantage</w:t>
            </w:r>
          </w:p>
        </w:tc>
      </w:tr>
      <w:tr w:rsidR="00ED66A2" w14:paraId="0C230B16" w14:textId="77777777" w:rsidTr="0045021F">
        <w:trPr>
          <w:trHeight w:val="493"/>
          <w:jc w:val="center"/>
        </w:trPr>
        <w:tc>
          <w:tcPr>
            <w:tcW w:w="1762" w:type="dxa"/>
            <w:vAlign w:val="center"/>
          </w:tcPr>
          <w:p w14:paraId="0326ADF0" w14:textId="77777777" w:rsidR="00ED66A2" w:rsidRDefault="00000000" w:rsidP="0045021F">
            <w:pPr>
              <w:jc w:val="center"/>
            </w:pPr>
            <w:r>
              <w:rPr>
                <w:sz w:val="20"/>
              </w:rPr>
              <w:t>Sharpe ratio</w:t>
            </w:r>
          </w:p>
        </w:tc>
        <w:tc>
          <w:tcPr>
            <w:tcW w:w="2937" w:type="dxa"/>
            <w:vAlign w:val="center"/>
          </w:tcPr>
          <w:p w14:paraId="7DEB8336" w14:textId="77777777" w:rsidR="00ED66A2" w:rsidRDefault="00000000" w:rsidP="0045021F">
            <w:pPr>
              <w:jc w:val="center"/>
            </w:pPr>
            <w:r>
              <w:rPr>
                <w:sz w:val="20"/>
              </w:rPr>
              <w:t>Risk-adjusted return</w:t>
            </w:r>
          </w:p>
        </w:tc>
        <w:tc>
          <w:tcPr>
            <w:tcW w:w="4406" w:type="dxa"/>
            <w:vAlign w:val="center"/>
          </w:tcPr>
          <w:p w14:paraId="4F15A335" w14:textId="77777777" w:rsidR="00ED66A2" w:rsidRDefault="00000000" w:rsidP="0045021F">
            <w:pPr>
              <w:jc w:val="left"/>
            </w:pPr>
            <w:r>
              <w:rPr>
                <w:sz w:val="20"/>
              </w:rPr>
              <w:t>Most relevant summary for selective deployment rather than constant exposure</w:t>
            </w:r>
          </w:p>
        </w:tc>
      </w:tr>
      <w:tr w:rsidR="00ED66A2" w14:paraId="4925A092" w14:textId="77777777" w:rsidTr="0045021F">
        <w:trPr>
          <w:trHeight w:val="493"/>
          <w:jc w:val="center"/>
        </w:trPr>
        <w:tc>
          <w:tcPr>
            <w:tcW w:w="1762" w:type="dxa"/>
            <w:vAlign w:val="center"/>
          </w:tcPr>
          <w:p w14:paraId="376D14DF" w14:textId="77777777" w:rsidR="00ED66A2" w:rsidRDefault="00000000" w:rsidP="0045021F">
            <w:pPr>
              <w:jc w:val="center"/>
            </w:pPr>
            <w:r>
              <w:rPr>
                <w:sz w:val="20"/>
              </w:rPr>
              <w:t>Maximum drawdown</w:t>
            </w:r>
          </w:p>
        </w:tc>
        <w:tc>
          <w:tcPr>
            <w:tcW w:w="2937" w:type="dxa"/>
            <w:vAlign w:val="center"/>
          </w:tcPr>
          <w:p w14:paraId="6EC68C98" w14:textId="77777777" w:rsidR="00ED66A2" w:rsidRDefault="00000000" w:rsidP="0045021F">
            <w:pPr>
              <w:jc w:val="center"/>
            </w:pPr>
            <w:r>
              <w:rPr>
                <w:sz w:val="20"/>
              </w:rPr>
              <w:t>Peak-to-trough loss severity</w:t>
            </w:r>
          </w:p>
        </w:tc>
        <w:tc>
          <w:tcPr>
            <w:tcW w:w="4406" w:type="dxa"/>
            <w:vAlign w:val="center"/>
          </w:tcPr>
          <w:p w14:paraId="520C9E66" w14:textId="77777777" w:rsidR="00ED66A2" w:rsidRDefault="00000000" w:rsidP="0045021F">
            <w:pPr>
              <w:jc w:val="left"/>
            </w:pPr>
            <w:r>
              <w:rPr>
                <w:sz w:val="20"/>
              </w:rPr>
              <w:t>Important because the system is intended as a risk-aware expert filter</w:t>
            </w:r>
          </w:p>
        </w:tc>
      </w:tr>
    </w:tbl>
    <w:p w14:paraId="438DE1FF" w14:textId="77777777" w:rsidR="00ED66A2" w:rsidRDefault="00ED66A2" w:rsidP="00541B59">
      <w:pPr>
        <w:spacing w:after="0"/>
      </w:pPr>
    </w:p>
    <w:p w14:paraId="3523CF20" w14:textId="77777777" w:rsidR="00ED66A2" w:rsidRDefault="00000000">
      <w:pPr>
        <w:pStyle w:val="Heading1"/>
      </w:pPr>
      <w:r>
        <w:rPr>
          <w:rFonts w:ascii="Times New Roman" w:hAnsi="Times New Roman"/>
        </w:rPr>
        <w:t>5. Empirical Results</w:t>
      </w:r>
    </w:p>
    <w:p w14:paraId="39CDD026" w14:textId="77777777" w:rsidR="00ED66A2" w:rsidRDefault="00000000">
      <w:pPr>
        <w:pStyle w:val="Heading2"/>
      </w:pPr>
      <w:r>
        <w:rPr>
          <w:rFonts w:ascii="Times New Roman" w:hAnsi="Times New Roman"/>
        </w:rPr>
        <w:t>5.1. Unconditioned test-set performance</w:t>
      </w:r>
    </w:p>
    <w:p w14:paraId="27B70D42"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34847372" w14:textId="77777777" w:rsidR="00ED66A2" w:rsidRDefault="00000000">
      <w:pPr>
        <w:spacing w:after="80" w:line="360" w:lineRule="auto"/>
        <w:ind w:firstLine="360"/>
      </w:pPr>
      <w:r>
        <w:t xml:space="preserve">That baseline is methodologically useful because it prevents overclaiming. The study does not rely on selective reporting of the best overall horizon or on replacing hard benchmarks with </w:t>
      </w:r>
      <w:r>
        <w:lastRenderedPageBreak/>
        <w:t>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584DA76B"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15C6B9AA" w14:textId="77777777" w:rsidTr="00A36C97">
        <w:trPr>
          <w:trHeight w:val="417"/>
          <w:jc w:val="center"/>
        </w:trPr>
        <w:tc>
          <w:tcPr>
            <w:tcW w:w="1344" w:type="dxa"/>
            <w:vAlign w:val="center"/>
          </w:tcPr>
          <w:p w14:paraId="361C86E4" w14:textId="77777777" w:rsidR="00ED66A2" w:rsidRDefault="00000000" w:rsidP="00DF5C9B">
            <w:pPr>
              <w:jc w:val="center"/>
            </w:pPr>
            <w:r>
              <w:rPr>
                <w:b/>
                <w:sz w:val="20"/>
              </w:rPr>
              <w:t>Horizon</w:t>
            </w:r>
          </w:p>
        </w:tc>
        <w:tc>
          <w:tcPr>
            <w:tcW w:w="1642" w:type="dxa"/>
            <w:vAlign w:val="center"/>
          </w:tcPr>
          <w:p w14:paraId="7F6FBC8E" w14:textId="77777777" w:rsidR="00ED66A2" w:rsidRDefault="00000000" w:rsidP="00DF5C9B">
            <w:pPr>
              <w:jc w:val="center"/>
            </w:pPr>
            <w:r>
              <w:rPr>
                <w:b/>
                <w:sz w:val="20"/>
              </w:rPr>
              <w:t>Test accuracy</w:t>
            </w:r>
          </w:p>
        </w:tc>
        <w:tc>
          <w:tcPr>
            <w:tcW w:w="1344" w:type="dxa"/>
            <w:vAlign w:val="center"/>
          </w:tcPr>
          <w:p w14:paraId="7CA18AB8" w14:textId="77777777" w:rsidR="00ED66A2" w:rsidRDefault="00000000" w:rsidP="00DF5C9B">
            <w:pPr>
              <w:jc w:val="center"/>
            </w:pPr>
            <w:r>
              <w:rPr>
                <w:b/>
                <w:sz w:val="20"/>
              </w:rPr>
              <w:t>Test AUC</w:t>
            </w:r>
          </w:p>
        </w:tc>
        <w:tc>
          <w:tcPr>
            <w:tcW w:w="1642" w:type="dxa"/>
            <w:vAlign w:val="center"/>
          </w:tcPr>
          <w:p w14:paraId="5C53ADDA" w14:textId="77777777" w:rsidR="00ED66A2" w:rsidRDefault="00000000" w:rsidP="00DF5C9B">
            <w:pPr>
              <w:jc w:val="center"/>
            </w:pPr>
            <w:r>
              <w:rPr>
                <w:b/>
                <w:sz w:val="20"/>
              </w:rPr>
              <w:t>Naive majority</w:t>
            </w:r>
          </w:p>
        </w:tc>
        <w:tc>
          <w:tcPr>
            <w:tcW w:w="1493" w:type="dxa"/>
            <w:vAlign w:val="center"/>
          </w:tcPr>
          <w:p w14:paraId="11416B86" w14:textId="77777777" w:rsidR="00ED66A2" w:rsidRDefault="00000000" w:rsidP="00DF5C9B">
            <w:pPr>
              <w:jc w:val="center"/>
            </w:pPr>
            <w:r>
              <w:rPr>
                <w:b/>
                <w:sz w:val="20"/>
              </w:rPr>
              <w:t>McNemar p</w:t>
            </w:r>
          </w:p>
        </w:tc>
      </w:tr>
      <w:tr w:rsidR="00ED66A2" w14:paraId="1B1DAB59" w14:textId="77777777" w:rsidTr="00A36C97">
        <w:trPr>
          <w:trHeight w:val="417"/>
          <w:jc w:val="center"/>
        </w:trPr>
        <w:tc>
          <w:tcPr>
            <w:tcW w:w="1344" w:type="dxa"/>
            <w:vAlign w:val="center"/>
          </w:tcPr>
          <w:p>
            <w:r>
              <w:t>1-day</w:t>
            </w:r>
          </w:p>
        </w:tc>
        <w:tc>
          <w:tcPr>
            <w:tcW w:w="1642" w:type="dxa"/>
            <w:vAlign w:val="center"/>
          </w:tcPr>
          <w:p>
            <w:r>
              <w:t>0.5508</w:t>
            </w:r>
          </w:p>
        </w:tc>
        <w:tc>
          <w:tcPr>
            <w:tcW w:w="1344" w:type="dxa"/>
            <w:vAlign w:val="center"/>
          </w:tcPr>
          <w:p>
            <w:r>
              <w:t>0.5265</w:t>
            </w:r>
          </w:p>
        </w:tc>
        <w:tc>
          <w:tcPr>
            <w:tcW w:w="1642" w:type="dxa"/>
            <w:vAlign w:val="center"/>
          </w:tcPr>
          <w:p>
            <w:r>
              <w:t>0.5508</w:t>
            </w:r>
          </w:p>
        </w:tc>
        <w:tc>
          <w:tcPr>
            <w:tcW w:w="1493" w:type="dxa"/>
            <w:vAlign w:val="center"/>
          </w:tcPr>
          <w:p>
            <w:r>
              <w:t>1.000</w:t>
            </w:r>
          </w:p>
        </w:tc>
      </w:tr>
      <w:tr w:rsidR="00ED66A2" w14:paraId="61A2B818" w14:textId="77777777" w:rsidTr="00A36C97">
        <w:trPr>
          <w:trHeight w:val="417"/>
          <w:jc w:val="center"/>
        </w:trPr>
        <w:tc>
          <w:tcPr>
            <w:tcW w:w="1344" w:type="dxa"/>
            <w:vAlign w:val="center"/>
          </w:tcPr>
          <w:p>
            <w:r>
              <w:t>5-day</w:t>
            </w:r>
          </w:p>
        </w:tc>
        <w:tc>
          <w:tcPr>
            <w:tcW w:w="1642" w:type="dxa"/>
            <w:vAlign w:val="center"/>
          </w:tcPr>
          <w:p>
            <w:r>
              <w:t>0.5664</w:t>
            </w:r>
          </w:p>
        </w:tc>
        <w:tc>
          <w:tcPr>
            <w:tcW w:w="1344" w:type="dxa"/>
            <w:vAlign w:val="center"/>
          </w:tcPr>
          <w:p>
            <w:r>
              <w:t>0.4894</w:t>
            </w:r>
          </w:p>
        </w:tc>
        <w:tc>
          <w:tcPr>
            <w:tcW w:w="1642" w:type="dxa"/>
            <w:vAlign w:val="center"/>
          </w:tcPr>
          <w:p>
            <w:r>
              <w:t>0.5664</w:t>
            </w:r>
          </w:p>
        </w:tc>
        <w:tc>
          <w:tcPr>
            <w:tcW w:w="1493" w:type="dxa"/>
            <w:vAlign w:val="center"/>
          </w:tcPr>
          <w:p>
            <w:r>
              <w:t>1.000</w:t>
            </w:r>
          </w:p>
        </w:tc>
      </w:tr>
      <w:tr w:rsidR="00ED66A2" w14:paraId="4D6CCF28" w14:textId="77777777" w:rsidTr="00A36C97">
        <w:trPr>
          <w:trHeight w:val="417"/>
          <w:jc w:val="center"/>
        </w:trPr>
        <w:tc>
          <w:tcPr>
            <w:tcW w:w="1344" w:type="dxa"/>
            <w:vAlign w:val="center"/>
          </w:tcPr>
          <w:p>
            <w:r>
              <w:t>21-day</w:t>
            </w:r>
          </w:p>
        </w:tc>
        <w:tc>
          <w:tcPr>
            <w:tcW w:w="1642" w:type="dxa"/>
            <w:vAlign w:val="center"/>
          </w:tcPr>
          <w:p>
            <w:r>
              <w:t>0.6758</w:t>
            </w:r>
          </w:p>
        </w:tc>
        <w:tc>
          <w:tcPr>
            <w:tcW w:w="1344" w:type="dxa"/>
            <w:vAlign w:val="center"/>
          </w:tcPr>
          <w:p>
            <w:r>
              <w:t>0.5820</w:t>
            </w:r>
          </w:p>
        </w:tc>
        <w:tc>
          <w:tcPr>
            <w:tcW w:w="1642" w:type="dxa"/>
            <w:vAlign w:val="center"/>
          </w:tcPr>
          <w:p>
            <w:r>
              <w:t>0.7109</w:t>
            </w:r>
          </w:p>
        </w:tc>
        <w:tc>
          <w:tcPr>
            <w:tcW w:w="1493" w:type="dxa"/>
            <w:vAlign w:val="center"/>
          </w:tcPr>
          <w:p>
            <w:r>
              <w:t>0.022</w:t>
            </w:r>
          </w:p>
        </w:tc>
      </w:tr>
    </w:tbl>
    <w:p w14:paraId="62542106" w14:textId="77777777" w:rsidR="00ED66A2" w:rsidRDefault="00ED66A2"/>
    <w:p>
      <w:r>
        <w:t>To assess whether the stacking ensemble's complexity is justified relative to simpler alternatives under the same regime filter (Reviewer #2.3), Table 6b reports majority-class, naive persistence, logistic regression, and single-model XGBoost baselines, each evaluated on the identical High-VIX/Low-VIX split used for the ensemble.</w:t>
      </w:r>
    </w:p>
    <w:p>
      <w:r>
        <w:t>Table 6b. Regime-stratified baseline comparison: simple baselines vs. the stacking ensemble.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Model</w:t>
            </w:r>
          </w:p>
        </w:tc>
        <w:tc>
          <w:tcPr>
            <w:tcW w:type="dxa" w:w="1337"/>
          </w:tcPr>
          <w:p>
            <w:r>
              <w:t>Regime</w:t>
            </w:r>
          </w:p>
        </w:tc>
        <w:tc>
          <w:tcPr>
            <w:tcW w:type="dxa" w:w="1337"/>
          </w:tcPr>
          <w:p>
            <w:r>
              <w:t>N</w:t>
            </w:r>
          </w:p>
        </w:tc>
        <w:tc>
          <w:tcPr>
            <w:tcW w:type="dxa" w:w="1337"/>
          </w:tcPr>
          <w:p>
            <w:r>
              <w:t>Majority BL (%)</w:t>
            </w:r>
          </w:p>
        </w:tc>
        <w:tc>
          <w:tcPr>
            <w:tcW w:type="dxa" w:w="1337"/>
          </w:tcPr>
          <w:p>
            <w:r>
              <w:t>Accuracy (%)</w:t>
            </w:r>
          </w:p>
        </w:tc>
        <w:tc>
          <w:tcPr>
            <w:tcW w:type="dxa" w:w="1337"/>
          </w:tcPr>
          <w:p>
            <w:r>
              <w:t>F1 (%)</w:t>
            </w:r>
          </w:p>
        </w:tc>
        <w:tc>
          <w:tcPr>
            <w:tcW w:type="dxa" w:w="1337"/>
          </w:tcPr>
          <w:p>
            <w:r>
              <w:t>AUC</w:t>
            </w:r>
          </w:p>
        </w:tc>
      </w:tr>
      <w:tr>
        <w:tc>
          <w:tcPr>
            <w:tcW w:type="dxa" w:w="1337"/>
          </w:tcPr>
          <w:p>
            <w:r>
              <w:t>Majority-Class</w:t>
            </w:r>
          </w:p>
        </w:tc>
        <w:tc>
          <w:tcPr>
            <w:tcW w:type="dxa" w:w="1337"/>
          </w:tcPr>
          <w:p>
            <w:r>
              <w:t>High-VIX</w:t>
            </w:r>
          </w:p>
        </w:tc>
        <w:tc>
          <w:tcPr>
            <w:tcW w:type="dxa" w:w="1337"/>
          </w:tcPr>
          <w:p>
            <w:r>
              <w:t>8</w:t>
            </w:r>
          </w:p>
        </w:tc>
        <w:tc>
          <w:tcPr>
            <w:tcW w:type="dxa" w:w="1337"/>
          </w:tcPr>
          <w:p>
            <w:r>
              <w:t>100.0</w:t>
            </w:r>
          </w:p>
        </w:tc>
        <w:tc>
          <w:tcPr>
            <w:tcW w:type="dxa" w:w="1337"/>
          </w:tcPr>
          <w:p>
            <w:r>
              <w:t>100.0</w:t>
            </w:r>
          </w:p>
        </w:tc>
        <w:tc>
          <w:tcPr>
            <w:tcW w:type="dxa" w:w="1337"/>
          </w:tcPr>
          <w:p>
            <w:r>
              <w:t>100.0</w:t>
            </w:r>
          </w:p>
        </w:tc>
        <w:tc>
          <w:tcPr>
            <w:tcW w:type="dxa" w:w="1337"/>
          </w:tcPr>
          <w:p>
            <w:r>
              <w:t>N/A</w:t>
            </w:r>
          </w:p>
        </w:tc>
      </w:tr>
      <w:tr>
        <w:tc>
          <w:tcPr>
            <w:tcW w:type="dxa" w:w="1337"/>
          </w:tcPr>
          <w:p>
            <w:r>
              <w:t>Majority-Class</w:t>
            </w:r>
          </w:p>
        </w:tc>
        <w:tc>
          <w:tcPr>
            <w:tcW w:type="dxa" w:w="1337"/>
          </w:tcPr>
          <w:p>
            <w:r>
              <w:t>Low-VIX</w:t>
            </w:r>
          </w:p>
        </w:tc>
        <w:tc>
          <w:tcPr>
            <w:tcW w:type="dxa" w:w="1337"/>
          </w:tcPr>
          <w:p>
            <w:r>
              <w:t>248</w:t>
            </w:r>
          </w:p>
        </w:tc>
        <w:tc>
          <w:tcPr>
            <w:tcW w:type="dxa" w:w="1337"/>
          </w:tcPr>
          <w:p>
            <w:r>
              <w:t>70.2</w:t>
            </w:r>
          </w:p>
        </w:tc>
        <w:tc>
          <w:tcPr>
            <w:tcW w:type="dxa" w:w="1337"/>
          </w:tcPr>
          <w:p>
            <w:r>
              <w:t>70.2</w:t>
            </w:r>
          </w:p>
        </w:tc>
        <w:tc>
          <w:tcPr>
            <w:tcW w:type="dxa" w:w="1337"/>
          </w:tcPr>
          <w:p>
            <w:r>
              <w:t>82.5</w:t>
            </w:r>
          </w:p>
        </w:tc>
        <w:tc>
          <w:tcPr>
            <w:tcW w:type="dxa" w:w="1337"/>
          </w:tcPr>
          <w:p>
            <w:r>
              <w:t>0.500</w:t>
            </w:r>
          </w:p>
        </w:tc>
      </w:tr>
      <w:tr>
        <w:tc>
          <w:tcPr>
            <w:tcW w:type="dxa" w:w="1337"/>
          </w:tcPr>
          <w:p>
            <w:r>
              <w:t>Persistence</w:t>
            </w:r>
          </w:p>
        </w:tc>
        <w:tc>
          <w:tcPr>
            <w:tcW w:type="dxa" w:w="1337"/>
          </w:tcPr>
          <w:p>
            <w:r>
              <w:t>High-VIX</w:t>
            </w:r>
          </w:p>
        </w:tc>
        <w:tc>
          <w:tcPr>
            <w:tcW w:type="dxa" w:w="1337"/>
          </w:tcPr>
          <w:p>
            <w:r>
              <w:t>8</w:t>
            </w:r>
          </w:p>
        </w:tc>
        <w:tc>
          <w:tcPr>
            <w:tcW w:type="dxa" w:w="1337"/>
          </w:tcPr>
          <w:p>
            <w:r>
              <w:t>100.0</w:t>
            </w:r>
          </w:p>
        </w:tc>
        <w:tc>
          <w:tcPr>
            <w:tcW w:type="dxa" w:w="1337"/>
          </w:tcPr>
          <w:p>
            <w:r>
              <w:t>37.5</w:t>
            </w:r>
          </w:p>
        </w:tc>
        <w:tc>
          <w:tcPr>
            <w:tcW w:type="dxa" w:w="1337"/>
          </w:tcPr>
          <w:p>
            <w:r>
              <w:t>54.5</w:t>
            </w:r>
          </w:p>
        </w:tc>
        <w:tc>
          <w:tcPr>
            <w:tcW w:type="dxa" w:w="1337"/>
          </w:tcPr>
          <w:p>
            <w:r>
              <w:t>N/A</w:t>
            </w:r>
          </w:p>
        </w:tc>
      </w:tr>
      <w:tr>
        <w:tc>
          <w:tcPr>
            <w:tcW w:type="dxa" w:w="1337"/>
          </w:tcPr>
          <w:p>
            <w:r>
              <w:t>Persistence</w:t>
            </w:r>
          </w:p>
        </w:tc>
        <w:tc>
          <w:tcPr>
            <w:tcW w:type="dxa" w:w="1337"/>
          </w:tcPr>
          <w:p>
            <w:r>
              <w:t>Low-VIX</w:t>
            </w:r>
          </w:p>
        </w:tc>
        <w:tc>
          <w:tcPr>
            <w:tcW w:type="dxa" w:w="1337"/>
          </w:tcPr>
          <w:p>
            <w:r>
              <w:t>248</w:t>
            </w:r>
          </w:p>
        </w:tc>
        <w:tc>
          <w:tcPr>
            <w:tcW w:type="dxa" w:w="1337"/>
          </w:tcPr>
          <w:p>
            <w:r>
              <w:t>70.2</w:t>
            </w:r>
          </w:p>
        </w:tc>
        <w:tc>
          <w:tcPr>
            <w:tcW w:type="dxa" w:w="1337"/>
          </w:tcPr>
          <w:p>
            <w:r>
              <w:t>50.8</w:t>
            </w:r>
          </w:p>
        </w:tc>
        <w:tc>
          <w:tcPr>
            <w:tcW w:type="dxa" w:w="1337"/>
          </w:tcPr>
          <w:p>
            <w:r>
              <w:t>59.6</w:t>
            </w:r>
          </w:p>
        </w:tc>
        <w:tc>
          <w:tcPr>
            <w:tcW w:type="dxa" w:w="1337"/>
          </w:tcPr>
          <w:p>
            <w:r>
              <w:t>0.487</w:t>
            </w:r>
          </w:p>
        </w:tc>
      </w:tr>
      <w:tr>
        <w:tc>
          <w:tcPr>
            <w:tcW w:type="dxa" w:w="1337"/>
          </w:tcPr>
          <w:p>
            <w:r>
              <w:t>Logistic Reg.</w:t>
            </w:r>
          </w:p>
        </w:tc>
        <w:tc>
          <w:tcPr>
            <w:tcW w:type="dxa" w:w="1337"/>
          </w:tcPr>
          <w:p>
            <w:r>
              <w:t>High-VIX</w:t>
            </w:r>
          </w:p>
        </w:tc>
        <w:tc>
          <w:tcPr>
            <w:tcW w:type="dxa" w:w="1337"/>
          </w:tcPr>
          <w:p>
            <w:r>
              <w:t>8</w:t>
            </w:r>
          </w:p>
        </w:tc>
        <w:tc>
          <w:tcPr>
            <w:tcW w:type="dxa" w:w="1337"/>
          </w:tcPr>
          <w:p>
            <w:r>
              <w:t>100.0</w:t>
            </w:r>
          </w:p>
        </w:tc>
        <w:tc>
          <w:tcPr>
            <w:tcW w:type="dxa" w:w="1337"/>
          </w:tcPr>
          <w:p>
            <w:r>
              <w:t>0.0</w:t>
            </w:r>
          </w:p>
        </w:tc>
        <w:tc>
          <w:tcPr>
            <w:tcW w:type="dxa" w:w="1337"/>
          </w:tcPr>
          <w:p>
            <w:r>
              <w:t>0.0</w:t>
            </w:r>
          </w:p>
        </w:tc>
        <w:tc>
          <w:tcPr>
            <w:tcW w:type="dxa" w:w="1337"/>
          </w:tcPr>
          <w:p>
            <w:r>
              <w:t>N/A</w:t>
            </w:r>
          </w:p>
        </w:tc>
      </w:tr>
      <w:tr>
        <w:tc>
          <w:tcPr>
            <w:tcW w:type="dxa" w:w="1337"/>
          </w:tcPr>
          <w:p>
            <w:r>
              <w:t>Logistic Reg.</w:t>
            </w:r>
          </w:p>
        </w:tc>
        <w:tc>
          <w:tcPr>
            <w:tcW w:type="dxa" w:w="1337"/>
          </w:tcPr>
          <w:p>
            <w:r>
              <w:t>Low-VIX</w:t>
            </w:r>
          </w:p>
        </w:tc>
        <w:tc>
          <w:tcPr>
            <w:tcW w:type="dxa" w:w="1337"/>
          </w:tcPr>
          <w:p>
            <w:r>
              <w:t>248</w:t>
            </w:r>
          </w:p>
        </w:tc>
        <w:tc>
          <w:tcPr>
            <w:tcW w:type="dxa" w:w="1337"/>
          </w:tcPr>
          <w:p>
            <w:r>
              <w:t>70.2</w:t>
            </w:r>
          </w:p>
        </w:tc>
        <w:tc>
          <w:tcPr>
            <w:tcW w:type="dxa" w:w="1337"/>
          </w:tcPr>
          <w:p>
            <w:r>
              <w:t>29.8</w:t>
            </w:r>
          </w:p>
        </w:tc>
        <w:tc>
          <w:tcPr>
            <w:tcW w:type="dxa" w:w="1337"/>
          </w:tcPr>
          <w:p>
            <w:r>
              <w:t>1.1</w:t>
            </w:r>
          </w:p>
        </w:tc>
        <w:tc>
          <w:tcPr>
            <w:tcW w:type="dxa" w:w="1337"/>
          </w:tcPr>
          <w:p>
            <w:r>
              <w:t>0.666</w:t>
            </w:r>
          </w:p>
        </w:tc>
      </w:tr>
      <w:tr>
        <w:tc>
          <w:tcPr>
            <w:tcW w:type="dxa" w:w="1337"/>
          </w:tcPr>
          <w:p>
            <w:r>
              <w:t>XGBoost (single)</w:t>
            </w:r>
          </w:p>
        </w:tc>
        <w:tc>
          <w:tcPr>
            <w:tcW w:type="dxa" w:w="1337"/>
          </w:tcPr>
          <w:p>
            <w:r>
              <w:t>High-VIX</w:t>
            </w:r>
          </w:p>
        </w:tc>
        <w:tc>
          <w:tcPr>
            <w:tcW w:type="dxa" w:w="1337"/>
          </w:tcPr>
          <w:p>
            <w:r>
              <w:t>8</w:t>
            </w:r>
          </w:p>
        </w:tc>
        <w:tc>
          <w:tcPr>
            <w:tcW w:type="dxa" w:w="1337"/>
          </w:tcPr>
          <w:p>
            <w:r>
              <w:t>100.0</w:t>
            </w:r>
          </w:p>
        </w:tc>
        <w:tc>
          <w:tcPr>
            <w:tcW w:type="dxa" w:w="1337"/>
          </w:tcPr>
          <w:p>
            <w:r>
              <w:t>0.0</w:t>
            </w:r>
          </w:p>
        </w:tc>
        <w:tc>
          <w:tcPr>
            <w:tcW w:type="dxa" w:w="1337"/>
          </w:tcPr>
          <w:p>
            <w:r>
              <w:t>0.0</w:t>
            </w:r>
          </w:p>
        </w:tc>
        <w:tc>
          <w:tcPr>
            <w:tcW w:type="dxa" w:w="1337"/>
          </w:tcPr>
          <w:p>
            <w:r>
              <w:t>N/A</w:t>
            </w:r>
          </w:p>
        </w:tc>
      </w:tr>
      <w:tr>
        <w:tc>
          <w:tcPr>
            <w:tcW w:type="dxa" w:w="1337"/>
          </w:tcPr>
          <w:p>
            <w:r>
              <w:t>XGBoost (single)</w:t>
            </w:r>
          </w:p>
        </w:tc>
        <w:tc>
          <w:tcPr>
            <w:tcW w:type="dxa" w:w="1337"/>
          </w:tcPr>
          <w:p>
            <w:r>
              <w:t>Low-VIX</w:t>
            </w:r>
          </w:p>
        </w:tc>
        <w:tc>
          <w:tcPr>
            <w:tcW w:type="dxa" w:w="1337"/>
          </w:tcPr>
          <w:p>
            <w:r>
              <w:t>248</w:t>
            </w:r>
          </w:p>
        </w:tc>
        <w:tc>
          <w:tcPr>
            <w:tcW w:type="dxa" w:w="1337"/>
          </w:tcPr>
          <w:p>
            <w:r>
              <w:t>70.2</w:t>
            </w:r>
          </w:p>
        </w:tc>
        <w:tc>
          <w:tcPr>
            <w:tcW w:type="dxa" w:w="1337"/>
          </w:tcPr>
          <w:p>
            <w:r>
              <w:t>43.5</w:t>
            </w:r>
          </w:p>
        </w:tc>
        <w:tc>
          <w:tcPr>
            <w:tcW w:type="dxa" w:w="1337"/>
          </w:tcPr>
          <w:p>
            <w:r>
              <w:t>54.2</w:t>
            </w:r>
          </w:p>
        </w:tc>
        <w:tc>
          <w:tcPr>
            <w:tcW w:type="dxa" w:w="1337"/>
          </w:tcPr>
          <w:p>
            <w:r>
              <w:t>0.447</w:t>
            </w:r>
          </w:p>
        </w:tc>
      </w:tr>
      <w:tr>
        <w:tc>
          <w:tcPr>
            <w:tcW w:type="dxa" w:w="1337"/>
          </w:tcPr>
          <w:p>
            <w:r>
              <w:t>Stacking Ensemble</w:t>
            </w:r>
          </w:p>
        </w:tc>
        <w:tc>
          <w:tcPr>
            <w:tcW w:type="dxa" w:w="1337"/>
          </w:tcPr>
          <w:p>
            <w:r>
              <w:t>High-VIX</w:t>
            </w:r>
          </w:p>
        </w:tc>
        <w:tc>
          <w:tcPr>
            <w:tcW w:type="dxa" w:w="1337"/>
          </w:tcPr>
          <w:p>
            <w:r>
              <w:t>8</w:t>
            </w:r>
          </w:p>
        </w:tc>
        <w:tc>
          <w:tcPr>
            <w:tcW w:type="dxa" w:w="1337"/>
          </w:tcPr>
          <w:p>
            <w:r>
              <w:t>100.0</w:t>
            </w:r>
          </w:p>
        </w:tc>
        <w:tc>
          <w:tcPr>
            <w:tcW w:type="dxa" w:w="1337"/>
          </w:tcPr>
          <w:p>
            <w:r>
              <w:t>100.0</w:t>
            </w:r>
          </w:p>
        </w:tc>
        <w:tc>
          <w:tcPr>
            <w:tcW w:type="dxa" w:w="1337"/>
          </w:tcPr>
          <w:p>
            <w:r>
              <w:t>100.0</w:t>
            </w:r>
          </w:p>
        </w:tc>
        <w:tc>
          <w:tcPr>
            <w:tcW w:type="dxa" w:w="1337"/>
          </w:tcPr>
          <w:p>
            <w:r>
              <w:t>N/A</w:t>
            </w:r>
          </w:p>
        </w:tc>
      </w:tr>
      <w:tr>
        <w:tc>
          <w:tcPr>
            <w:tcW w:type="dxa" w:w="1337"/>
          </w:tcPr>
          <w:p>
            <w:r>
              <w:t>Stacking Ensemble</w:t>
            </w:r>
          </w:p>
        </w:tc>
        <w:tc>
          <w:tcPr>
            <w:tcW w:type="dxa" w:w="1337"/>
          </w:tcPr>
          <w:p>
            <w:r>
              <w:t>Low-VIX</w:t>
            </w:r>
          </w:p>
        </w:tc>
        <w:tc>
          <w:tcPr>
            <w:tcW w:type="dxa" w:w="1337"/>
          </w:tcPr>
          <w:p>
            <w:r>
              <w:t>248</w:t>
            </w:r>
          </w:p>
        </w:tc>
        <w:tc>
          <w:tcPr>
            <w:tcW w:type="dxa" w:w="1337"/>
          </w:tcPr>
          <w:p>
            <w:r>
              <w:t>70.2</w:t>
            </w:r>
          </w:p>
        </w:tc>
        <w:tc>
          <w:tcPr>
            <w:tcW w:type="dxa" w:w="1337"/>
          </w:tcPr>
          <w:p>
            <w:r>
              <w:t>66.5</w:t>
            </w:r>
          </w:p>
        </w:tc>
        <w:tc>
          <w:tcPr>
            <w:tcW w:type="dxa" w:w="1337"/>
          </w:tcPr>
          <w:p>
            <w:r>
              <w:t>79.7</w:t>
            </w:r>
          </w:p>
        </w:tc>
        <w:tc>
          <w:tcPr>
            <w:tcW w:type="dxa" w:w="1337"/>
          </w:tcPr>
          <w:p>
            <w:r>
              <w:t>0.584</w:t>
            </w:r>
          </w:p>
        </w:tc>
      </w:tr>
    </w:tbl>
    <w:p/>
    <w:p>
      <w:r>
        <w:drawing>
          <wp:inline xmlns:a="http://schemas.openxmlformats.org/drawingml/2006/main" xmlns:pic="http://schemas.openxmlformats.org/drawingml/2006/picture">
            <wp:extent cx="5303520" cy="2616021"/>
            <wp:docPr id="529019811" name="Picture 529019811"/>
            <wp:cNvGraphicFramePr>
              <a:graphicFrameLocks noChangeAspect="1"/>
            </wp:cNvGraphicFramePr>
            <a:graphic>
              <a:graphicData uri="http://schemas.openxmlformats.org/drawingml/2006/picture">
                <pic:pic>
                  <pic:nvPicPr>
                    <pic:cNvPr id="0" name="R06_baseline_comparison.png"/>
                    <pic:cNvPicPr/>
                  </pic:nvPicPr>
                  <pic:blipFill>
                    <a:blip r:embed="rId24"/>
                    <a:stretch>
                      <a:fillRect/>
                    </a:stretch>
                  </pic:blipFill>
                  <pic:spPr>
                    <a:xfrm>
                      <a:off x="0" y="0"/>
                      <a:ext cx="5303520" cy="2616021"/>
                    </a:xfrm>
                    <a:prstGeom prst="rect"/>
                  </pic:spPr>
                </pic:pic>
              </a:graphicData>
            </a:graphic>
          </wp:inline>
        </w:drawing>
      </w:r>
    </w:p>
    <w:p>
      <w:r>
        <w:t>Fig. 3b. Regime-stratified accuracy: simple baselines vs. the stacking ensemble.</w:t>
      </w:r>
    </w:p>
    <w:p>
      <w:r>
        <w:t>On High-VIX (n=8, single class, all Up), every model that predicts Up-leaning matches the 100.0% majority baseline trivially; this cell cannot discriminate model quality. On Low-VIX (n=248), the picture is more informative: naive persistence (50.8%), logistic regression (29.8%), and a single XGBoost model (43.5%) all underperform the 70.2% local majority baseline, while the stacking ensemble (66.5%) comes closer to it without exceeding it. The practical reading is that the ensemble's advantage over simpler alternatives is real on Low-VIX data -- it comfortably beats every individual baseline tested -- but none of the models tested, including the ensemble, beat the trivial majority-class rule on Low-VIX days. This further supports treating the High-VIX result as the substantive finding under investigation rather than the ensemble's unconditional skill.</w:t>
      </w:r>
    </w:p>
    <w:p w14:paraId="5083C7CF" w14:textId="77777777" w:rsidR="00ED66A2" w:rsidRDefault="00000000">
      <w:pPr>
        <w:pStyle w:val="Heading2"/>
      </w:pPr>
      <w:r>
        <w:rPr>
          <w:rFonts w:ascii="Times New Roman" w:hAnsi="Times New Roman"/>
        </w:rPr>
        <w:t>5.2. India VIX regime-conditioned accuracy</w:t>
      </w:r>
    </w:p>
    <w:p w14:paraId="6A9527DD" w14:textId="77777777"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7727370D"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3677F1E6" w14:textId="77777777" w:rsidR="00ED66A2" w:rsidRDefault="00000000">
      <w:pPr>
        <w:spacing w:after="80" w:line="360" w:lineRule="auto"/>
        <w:ind w:firstLine="360"/>
      </w:pPr>
      <w:r>
        <w:t>From a systems perspective, the regime-conditioned result illustrates the kind of trust filter a deployment policy could use: if the model is used continuously, its decision quality is mediocre; if it is used only when India VIX lies in the upper quartile of the pre-test environment, the observed decision quality in this sample is much higher. However, with only eight High-VIX observations and no statistically significant Fisher or permutation result, this pattern should be read as a proof-of-concept for the trust-filter architecture rather than as a validated expert-system contribution. Establishing the latter would require the effect to replicate across additional high-volatility episodes (Section 6.4).</w:t>
      </w:r>
    </w:p>
    <w:p w14:paraId="3287C7EB" w14:textId="77777777" w:rsidR="00ED66A2" w:rsidRDefault="00000000">
      <w:pPr>
        <w:spacing w:after="80" w:line="360" w:lineRule="auto"/>
        <w:ind w:firstLine="360"/>
      </w:pPr>
      <w:r>
        <w:t xml:space="preserve">A key validity check is comparison against within-regime baselines. In the High-VIX subset, the majority-class baseline equals 100.0%, matching model accuracy because all eight observations are Up. In Low-VIX, model accuracy is 66.5% versus a 70.2% local majority </w:t>
      </w:r>
      <w:r>
        <w:lastRenderedPageBreak/>
        <w:t>baseline. These comparisons are now reported explicitly to prevent over-interpretation of subset accuracy in class-imbalanced, small-cell conditions.</w:t>
      </w:r>
    </w:p>
    <w:p w14:paraId="1E0D412A"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714CDBC4" w14:textId="77777777" w:rsidTr="0030390A">
        <w:trPr>
          <w:trHeight w:val="632"/>
          <w:jc w:val="center"/>
        </w:trPr>
        <w:tc>
          <w:tcPr>
            <w:tcW w:w="1163" w:type="dxa"/>
            <w:vAlign w:val="center"/>
          </w:tcPr>
          <w:p w14:paraId="7D89A3F9" w14:textId="77777777" w:rsidR="00ED66A2" w:rsidRDefault="00000000" w:rsidP="0030390A">
            <w:pPr>
              <w:jc w:val="center"/>
            </w:pPr>
            <w:r>
              <w:rPr>
                <w:b/>
                <w:sz w:val="20"/>
              </w:rPr>
              <w:t>Horizon</w:t>
            </w:r>
          </w:p>
        </w:tc>
        <w:tc>
          <w:tcPr>
            <w:tcW w:w="799" w:type="dxa"/>
            <w:vAlign w:val="center"/>
          </w:tcPr>
          <w:p w14:paraId="24647EBF" w14:textId="77777777" w:rsidR="00ED66A2" w:rsidRDefault="00000000" w:rsidP="0030390A">
            <w:pPr>
              <w:jc w:val="center"/>
            </w:pPr>
            <w:r>
              <w:rPr>
                <w:b/>
                <w:sz w:val="20"/>
              </w:rPr>
              <w:t>HV n</w:t>
            </w:r>
          </w:p>
        </w:tc>
        <w:tc>
          <w:tcPr>
            <w:tcW w:w="1017" w:type="dxa"/>
            <w:vAlign w:val="center"/>
          </w:tcPr>
          <w:p w14:paraId="3E5F1F75" w14:textId="77777777" w:rsidR="00ED66A2" w:rsidRDefault="00000000" w:rsidP="0030390A">
            <w:pPr>
              <w:jc w:val="center"/>
            </w:pPr>
            <w:r>
              <w:rPr>
                <w:b/>
                <w:sz w:val="20"/>
              </w:rPr>
              <w:t>HV Acc</w:t>
            </w:r>
          </w:p>
        </w:tc>
        <w:tc>
          <w:tcPr>
            <w:tcW w:w="799" w:type="dxa"/>
            <w:vAlign w:val="center"/>
          </w:tcPr>
          <w:p w14:paraId="62469C93" w14:textId="77777777" w:rsidR="00ED66A2" w:rsidRDefault="00000000" w:rsidP="0030390A">
            <w:pPr>
              <w:jc w:val="center"/>
            </w:pPr>
            <w:r>
              <w:rPr>
                <w:b/>
                <w:sz w:val="20"/>
              </w:rPr>
              <w:t>LV n</w:t>
            </w:r>
          </w:p>
        </w:tc>
        <w:tc>
          <w:tcPr>
            <w:tcW w:w="1017" w:type="dxa"/>
            <w:vAlign w:val="center"/>
          </w:tcPr>
          <w:p w14:paraId="49F1A1C5" w14:textId="77777777" w:rsidR="00ED66A2" w:rsidRDefault="00000000" w:rsidP="0030390A">
            <w:pPr>
              <w:jc w:val="center"/>
            </w:pPr>
            <w:r>
              <w:rPr>
                <w:b/>
                <w:sz w:val="20"/>
              </w:rPr>
              <w:t>LV Acc</w:t>
            </w:r>
          </w:p>
        </w:tc>
        <w:tc>
          <w:tcPr>
            <w:tcW w:w="1017" w:type="dxa"/>
            <w:vAlign w:val="center"/>
          </w:tcPr>
          <w:p w14:paraId="55D7F1C2" w14:textId="77777777" w:rsidR="00ED66A2" w:rsidRDefault="00000000" w:rsidP="0030390A">
            <w:pPr>
              <w:jc w:val="center"/>
            </w:pPr>
            <w:r>
              <w:rPr>
                <w:b/>
                <w:sz w:val="20"/>
              </w:rPr>
              <w:t>Delta Acc</w:t>
            </w:r>
          </w:p>
        </w:tc>
        <w:tc>
          <w:tcPr>
            <w:tcW w:w="1454" w:type="dxa"/>
            <w:vAlign w:val="center"/>
          </w:tcPr>
          <w:p w14:paraId="58628E98" w14:textId="77777777" w:rsidR="00ED66A2" w:rsidRDefault="00000000" w:rsidP="0030390A">
            <w:pPr>
              <w:jc w:val="center"/>
            </w:pPr>
            <w:r>
              <w:rPr>
                <w:b/>
                <w:sz w:val="20"/>
              </w:rPr>
              <w:t>Fisher p</w:t>
            </w:r>
          </w:p>
        </w:tc>
        <w:tc>
          <w:tcPr>
            <w:tcW w:w="799" w:type="dxa"/>
            <w:vAlign w:val="center"/>
          </w:tcPr>
          <w:p w14:paraId="5805455E" w14:textId="77777777" w:rsidR="00ED66A2" w:rsidRDefault="00541B59" w:rsidP="0030390A">
            <w:pPr>
              <w:jc w:val="center"/>
            </w:pPr>
            <w:r>
              <w:rPr>
                <w:b/>
                <w:sz w:val="20"/>
              </w:rPr>
              <w:t>Phi (</w:t>
            </w:r>
            <w:r>
              <w:t>φ)</w:t>
            </w:r>
          </w:p>
        </w:tc>
        <w:tc>
          <w:tcPr>
            <w:tcW w:w="1172" w:type="dxa"/>
            <w:vAlign w:val="center"/>
          </w:tcPr>
          <w:p w14:paraId="5D43136B" w14:textId="77777777" w:rsidR="00ED66A2" w:rsidRDefault="00000000" w:rsidP="0030390A">
            <w:pPr>
              <w:jc w:val="center"/>
            </w:pPr>
            <w:r>
              <w:rPr>
                <w:b/>
                <w:sz w:val="20"/>
              </w:rPr>
              <w:t>Bonferroni pass</w:t>
            </w:r>
          </w:p>
        </w:tc>
      </w:tr>
      <w:tr w:rsidR="00ED66A2" w14:paraId="5EC3BBAB" w14:textId="77777777" w:rsidTr="0030390A">
        <w:trPr>
          <w:trHeight w:val="316"/>
          <w:jc w:val="center"/>
        </w:trPr>
        <w:tc>
          <w:tcPr>
            <w:tcW w:w="1163" w:type="dxa"/>
            <w:vAlign w:val="center"/>
          </w:tcPr>
          <w:p>
            <w:r>
              <w:t>1-day</w:t>
            </w:r>
          </w:p>
        </w:tc>
        <w:tc>
          <w:tcPr>
            <w:tcW w:w="799" w:type="dxa"/>
            <w:vAlign w:val="center"/>
          </w:tcPr>
          <w:p>
            <w:r>
              <w:t>8</w:t>
            </w:r>
          </w:p>
        </w:tc>
        <w:tc>
          <w:tcPr>
            <w:tcW w:w="1017" w:type="dxa"/>
            <w:vAlign w:val="center"/>
          </w:tcPr>
          <w:p>
            <w:r>
              <w:t>62.5%</w:t>
            </w:r>
          </w:p>
        </w:tc>
        <w:tc>
          <w:tcPr>
            <w:tcW w:w="799" w:type="dxa"/>
            <w:vAlign w:val="center"/>
          </w:tcPr>
          <w:p>
            <w:r>
              <w:t>248</w:t>
            </w:r>
          </w:p>
        </w:tc>
        <w:tc>
          <w:tcPr>
            <w:tcW w:w="1017" w:type="dxa"/>
            <w:vAlign w:val="center"/>
          </w:tcPr>
          <w:p>
            <w:r>
              <w:t>54.8%</w:t>
            </w:r>
          </w:p>
        </w:tc>
        <w:tc>
          <w:tcPr>
            <w:tcW w:w="1017" w:type="dxa"/>
            <w:vAlign w:val="center"/>
          </w:tcPr>
          <w:p>
            <w:r>
              <w:t>+0.077</w:t>
            </w:r>
          </w:p>
        </w:tc>
        <w:tc>
          <w:tcPr>
            <w:tcW w:w="1454" w:type="dxa"/>
            <w:vAlign w:val="center"/>
          </w:tcPr>
          <w:p>
            <w:r>
              <w:t>0.734 (naive)</w:t>
            </w:r>
          </w:p>
        </w:tc>
        <w:tc>
          <w:tcPr>
            <w:tcW w:w="799" w:type="dxa"/>
            <w:vAlign w:val="center"/>
          </w:tcPr>
          <w:p>
            <w:r>
              <w:t>0.033</w:t>
            </w:r>
          </w:p>
        </w:tc>
        <w:tc>
          <w:tcPr>
            <w:tcW w:w="1172" w:type="dxa"/>
            <w:vAlign w:val="center"/>
          </w:tcPr>
          <w:p>
            <w:r>
              <w:t>No</w:t>
            </w:r>
          </w:p>
        </w:tc>
      </w:tr>
      <w:tr w:rsidR="00ED66A2" w14:paraId="2E09E28D" w14:textId="77777777" w:rsidTr="0030390A">
        <w:trPr>
          <w:trHeight w:val="316"/>
          <w:jc w:val="center"/>
        </w:trPr>
        <w:tc>
          <w:tcPr>
            <w:tcW w:w="1163" w:type="dxa"/>
            <w:vAlign w:val="center"/>
          </w:tcPr>
          <w:p>
            <w:r>
              <w:t>5-day</w:t>
            </w:r>
          </w:p>
        </w:tc>
        <w:tc>
          <w:tcPr>
            <w:tcW w:w="799" w:type="dxa"/>
            <w:vAlign w:val="center"/>
          </w:tcPr>
          <w:p>
            <w:r>
              <w:t>8</w:t>
            </w:r>
          </w:p>
        </w:tc>
        <w:tc>
          <w:tcPr>
            <w:tcW w:w="1017" w:type="dxa"/>
            <w:vAlign w:val="center"/>
          </w:tcPr>
          <w:p>
            <w:r>
              <w:t>100.0%</w:t>
            </w:r>
          </w:p>
        </w:tc>
        <w:tc>
          <w:tcPr>
            <w:tcW w:w="799" w:type="dxa"/>
            <w:vAlign w:val="center"/>
          </w:tcPr>
          <w:p>
            <w:r>
              <w:t>248</w:t>
            </w:r>
          </w:p>
        </w:tc>
        <w:tc>
          <w:tcPr>
            <w:tcW w:w="1017" w:type="dxa"/>
            <w:vAlign w:val="center"/>
          </w:tcPr>
          <w:p>
            <w:r>
              <w:t>55.2%</w:t>
            </w:r>
          </w:p>
        </w:tc>
        <w:tc>
          <w:tcPr>
            <w:tcW w:w="1017" w:type="dxa"/>
            <w:vAlign w:val="center"/>
          </w:tcPr>
          <w:p>
            <w:r>
              <w:t>+0.448</w:t>
            </w:r>
          </w:p>
        </w:tc>
        <w:tc>
          <w:tcPr>
            <w:tcW w:w="1454" w:type="dxa"/>
            <w:vAlign w:val="center"/>
          </w:tcPr>
          <w:p>
            <w:r>
              <w:t>0.011 (naive)</w:t>
            </w:r>
          </w:p>
        </w:tc>
        <w:tc>
          <w:tcPr>
            <w:tcW w:w="799" w:type="dxa"/>
            <w:vAlign w:val="center"/>
          </w:tcPr>
          <w:p>
            <w:r>
              <w:t>0.148</w:t>
            </w:r>
          </w:p>
        </w:tc>
        <w:tc>
          <w:tcPr>
            <w:tcW w:w="1172" w:type="dxa"/>
            <w:vAlign w:val="center"/>
          </w:tcPr>
          <w:p>
            <w:r>
              <w:t>Borderline (0.032)</w:t>
            </w:r>
          </w:p>
        </w:tc>
      </w:tr>
      <w:tr w:rsidR="00ED66A2" w14:paraId="2339E3CE" w14:textId="77777777" w:rsidTr="0030390A">
        <w:trPr>
          <w:trHeight w:val="316"/>
          <w:jc w:val="center"/>
        </w:trPr>
        <w:tc>
          <w:tcPr>
            <w:tcW w:w="1163" w:type="dxa"/>
            <w:vAlign w:val="center"/>
          </w:tcPr>
          <w:p>
            <w:r>
              <w:t>21-day</w:t>
            </w:r>
          </w:p>
        </w:tc>
        <w:tc>
          <w:tcPr>
            <w:tcW w:w="799" w:type="dxa"/>
            <w:vAlign w:val="center"/>
          </w:tcPr>
          <w:p>
            <w:r>
              <w:t>8</w:t>
            </w:r>
          </w:p>
        </w:tc>
        <w:tc>
          <w:tcPr>
            <w:tcW w:w="1017" w:type="dxa"/>
            <w:vAlign w:val="center"/>
          </w:tcPr>
          <w:p>
            <w:r>
              <w:t>100.0%</w:t>
            </w:r>
          </w:p>
        </w:tc>
        <w:tc>
          <w:tcPr>
            <w:tcW w:w="799" w:type="dxa"/>
            <w:vAlign w:val="center"/>
          </w:tcPr>
          <w:p>
            <w:r>
              <w:t>248</w:t>
            </w:r>
          </w:p>
        </w:tc>
        <w:tc>
          <w:tcPr>
            <w:tcW w:w="1017" w:type="dxa"/>
            <w:vAlign w:val="center"/>
          </w:tcPr>
          <w:p>
            <w:r>
              <w:t>66.5%</w:t>
            </w:r>
          </w:p>
        </w:tc>
        <w:tc>
          <w:tcPr>
            <w:tcW w:w="1017" w:type="dxa"/>
            <w:vAlign w:val="center"/>
          </w:tcPr>
          <w:p>
            <w:r>
              <w:t>+0.335</w:t>
            </w:r>
          </w:p>
        </w:tc>
        <w:tc>
          <w:tcPr>
            <w:tcW w:w="1454" w:type="dxa"/>
            <w:vAlign w:val="center"/>
          </w:tcPr>
          <w:p>
            <w:r>
              <w:t>1.000 (non-overlap)</w:t>
            </w:r>
          </w:p>
        </w:tc>
        <w:tc>
          <w:tcPr>
            <w:tcW w:w="799" w:type="dxa"/>
            <w:vAlign w:val="center"/>
          </w:tcPr>
          <w:p>
            <w:r>
              <w:t>N/A</w:t>
            </w:r>
          </w:p>
        </w:tc>
        <w:tc>
          <w:tcPr>
            <w:tcW w:w="1172" w:type="dxa"/>
            <w:vAlign w:val="center"/>
          </w:tcPr>
          <w:p>
            <w:r>
              <w:t>No</w:t>
            </w:r>
          </w:p>
        </w:tc>
      </w:tr>
    </w:tbl>
    <w:p w14:paraId="7EE510CD" w14:textId="77777777" w:rsidR="00ED66A2" w:rsidRDefault="00ED66A2"/>
    <w:p w14:paraId="34C286CE" w14:textId="77777777" w:rsidR="0068598C" w:rsidRDefault="0068598C">
      <w:r>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25BA49E8" w14:textId="77777777" w:rsidR="00ED66A2" w:rsidRDefault="00000000">
      <w:pPr>
        <w:spacing w:before="120" w:after="40"/>
        <w:jc w:val="center"/>
      </w:pPr>
      <w:r>
        <w:rPr>
          <w:noProof/>
        </w:rPr>
        <w:drawing>
          <wp:inline distT="0" distB="0" distL="0" distR="0" wp14:anchorId="5F0D4459" wp14:editId="1B03E7B2">
            <wp:extent cx="5303520" cy="2499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2499360"/>
                    </a:xfrm>
                    <a:prstGeom prst="rect">
                      <a:avLst/>
                    </a:prstGeom>
                  </pic:spPr>
                </pic:pic>
              </a:graphicData>
            </a:graphic>
          </wp:inline>
        </w:drawing>
      </w:r>
    </w:p>
    <w:p w14:paraId="76B1FE2D" w14:textId="77777777"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5710DB1" w14:textId="77777777" w:rsidR="00ED66A2" w:rsidRDefault="00ED66A2" w:rsidP="00A36C97">
      <w:pPr>
        <w:spacing w:after="0"/>
      </w:pPr>
    </w:p>
    <w:p w14:paraId="7D271730" w14:textId="77777777"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5FB18F1C" w14:textId="77777777" w:rsidR="00ED66A2" w:rsidRDefault="00000000">
      <w:pPr>
        <w:spacing w:before="120" w:after="40"/>
        <w:jc w:val="center"/>
      </w:pPr>
      <w:r>
        <w:rPr>
          <w:noProof/>
        </w:rPr>
        <w:drawing>
          <wp:inline distT="0" distB="0" distL="0" distR="0" wp14:anchorId="7FDC5793" wp14:editId="4318A048">
            <wp:extent cx="5303520" cy="2440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2440984"/>
                    </a:xfrm>
                    <a:prstGeom prst="rect">
                      <a:avLst/>
                    </a:prstGeom>
                  </pic:spPr>
                </pic:pic>
              </a:graphicData>
            </a:graphic>
          </wp:inline>
        </w:drawing>
      </w:r>
    </w:p>
    <w:p w14:paraId="39CC1CFC" w14:textId="77777777" w:rsidR="00ED66A2" w:rsidRPr="00AC35E6" w:rsidRDefault="00000000" w:rsidP="00AC35E6">
      <w:pPr>
        <w:spacing w:before="80" w:after="80"/>
        <w:jc w:val="center"/>
        <w:rPr>
          <w:iCs/>
        </w:rPr>
      </w:pPr>
      <w:r w:rsidRPr="00AC35E6">
        <w:rPr>
          <w:iCs/>
          <w:sz w:val="20"/>
        </w:rPr>
        <w:t>Fig. 4. Regime-conditioned AUC heatmap.</w:t>
      </w:r>
    </w:p>
    <w:p w14:paraId="7287717E" w14:textId="77777777" w:rsidR="00ED66A2" w:rsidRDefault="00000000">
      <w:pPr>
        <w:pStyle w:val="Heading2"/>
      </w:pPr>
      <w:r>
        <w:rPr>
          <w:rFonts w:ascii="Times New Roman" w:hAnsi="Times New Roman"/>
        </w:rPr>
        <w:t>5.3. Trading interpretation of the regime filter</w:t>
      </w:r>
    </w:p>
    <w:p w14:paraId="5119DFC4" w14:textId="77777777" w:rsidR="00ED66A2" w:rsidRDefault="00000000">
      <w:pPr>
        <w:spacing w:after="80" w:line="360" w:lineRule="auto"/>
        <w:ind w:firstLine="360"/>
      </w:pPr>
      <w:r>
        <w:t>The statistical result is translated into a conservative deployment test. Sharpe ratios throughout this paper use an annual risk-free rate of 6.5% (India 91-day T-bill, RBI FY2025 average; daily RFR = 6.5%/252), with both the strategy and buy-and-hold series annualized as (mean daily excess return / std daily excess return) x sqrt(252) over the same 256-day evaluation window. Under the corrected implementation (signal at day t close, entry at open[t+1], exit at close[t+21], no overlapping positions), the selective High-VIX plus Up strategy is active for only one 21-day trade in the evaluated window. At zero cost, strategy Sharpe is 0.455 versus 1.204 for buy-and-hold, while maximum drawdown is lower (-3.69% versus -6.62%). Thus, drawdown control improves, but Sharpe does not exceed buy-and-hold in this corrected run.</w:t>
      </w:r>
      <w:r/>
    </w:p>
    <w:p w14:paraId="68AA38BE"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654FC95B"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40EC9D52"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37B5136D" w14:textId="77777777" w:rsidTr="00815225">
        <w:trPr>
          <w:trHeight w:val="781"/>
          <w:jc w:val="center"/>
        </w:trPr>
        <w:tc>
          <w:tcPr>
            <w:tcW w:w="2182" w:type="dxa"/>
            <w:vAlign w:val="center"/>
          </w:tcPr>
          <w:p w14:paraId="505C36E5" w14:textId="77777777" w:rsidR="00ED66A2" w:rsidRDefault="00000000" w:rsidP="00815225">
            <w:pPr>
              <w:jc w:val="center"/>
            </w:pPr>
            <w:r>
              <w:rPr>
                <w:b/>
                <w:sz w:val="20"/>
              </w:rPr>
              <w:t>Strategy</w:t>
            </w:r>
          </w:p>
        </w:tc>
        <w:tc>
          <w:tcPr>
            <w:tcW w:w="1309" w:type="dxa"/>
            <w:vAlign w:val="center"/>
          </w:tcPr>
          <w:p w14:paraId="7CB2BC70" w14:textId="77777777" w:rsidR="00ED66A2" w:rsidRDefault="00000000" w:rsidP="00815225">
            <w:pPr>
              <w:jc w:val="center"/>
            </w:pPr>
            <w:r>
              <w:rPr>
                <w:b/>
                <w:sz w:val="20"/>
              </w:rPr>
              <w:t>Active days</w:t>
            </w:r>
          </w:p>
        </w:tc>
        <w:tc>
          <w:tcPr>
            <w:tcW w:w="1454" w:type="dxa"/>
            <w:vAlign w:val="center"/>
          </w:tcPr>
          <w:p w14:paraId="6FF41F4D" w14:textId="77777777" w:rsidR="00ED66A2" w:rsidRDefault="00000000" w:rsidP="00815225">
            <w:pPr>
              <w:jc w:val="center"/>
            </w:pPr>
            <w:r>
              <w:rPr>
                <w:b/>
                <w:sz w:val="20"/>
              </w:rPr>
              <w:t>Total return</w:t>
            </w:r>
          </w:p>
        </w:tc>
        <w:tc>
          <w:tcPr>
            <w:tcW w:w="1454" w:type="dxa"/>
            <w:vAlign w:val="center"/>
          </w:tcPr>
          <w:p w14:paraId="0361CEAD" w14:textId="77777777" w:rsidR="00ED66A2" w:rsidRDefault="00000000" w:rsidP="00815225">
            <w:pPr>
              <w:jc w:val="center"/>
            </w:pPr>
            <w:r>
              <w:rPr>
                <w:b/>
                <w:sz w:val="20"/>
              </w:rPr>
              <w:t>Annual return</w:t>
            </w:r>
          </w:p>
        </w:tc>
        <w:tc>
          <w:tcPr>
            <w:tcW w:w="1018" w:type="dxa"/>
            <w:vAlign w:val="center"/>
          </w:tcPr>
          <w:p w14:paraId="5A428682" w14:textId="77777777" w:rsidR="00ED66A2" w:rsidRDefault="00000000" w:rsidP="00815225">
            <w:pPr>
              <w:jc w:val="center"/>
            </w:pPr>
            <w:r>
              <w:rPr>
                <w:b/>
                <w:sz w:val="20"/>
              </w:rPr>
              <w:t>Sharpe</w:t>
            </w:r>
          </w:p>
        </w:tc>
        <w:tc>
          <w:tcPr>
            <w:tcW w:w="1309" w:type="dxa"/>
            <w:vAlign w:val="center"/>
          </w:tcPr>
          <w:p w14:paraId="452F03E4" w14:textId="77777777" w:rsidR="00ED66A2" w:rsidRDefault="00000000" w:rsidP="00815225">
            <w:pPr>
              <w:jc w:val="center"/>
            </w:pPr>
            <w:r>
              <w:rPr>
                <w:b/>
                <w:sz w:val="20"/>
              </w:rPr>
              <w:t>Max drawdown</w:t>
            </w:r>
          </w:p>
        </w:tc>
      </w:tr>
      <w:tr w:rsidR="00ED66A2" w14:paraId="4718E9E4" w14:textId="77777777" w:rsidTr="00815225">
        <w:trPr>
          <w:trHeight w:val="390"/>
          <w:jc w:val="center"/>
        </w:trPr>
        <w:tc>
          <w:tcPr>
            <w:tcW w:w="2182" w:type="dxa"/>
            <w:vAlign w:val="center"/>
          </w:tcPr>
          <w:p w14:paraId="38B70F05" w14:textId="77777777" w:rsidR="00ED66A2" w:rsidRDefault="00000000" w:rsidP="00815225">
            <w:pPr>
              <w:jc w:val="center"/>
            </w:pPr>
            <w:r>
              <w:rPr>
                <w:sz w:val="20"/>
              </w:rPr>
              <w:t>Buy-and-Hold</w:t>
            </w:r>
          </w:p>
        </w:tc>
        <w:tc>
          <w:tcPr>
            <w:tcW w:w="1309" w:type="dxa"/>
            <w:vAlign w:val="center"/>
          </w:tcPr>
          <w:p w14:paraId="61C80529" w14:textId="77777777" w:rsidR="00ED66A2" w:rsidRDefault="00000000" w:rsidP="00815225">
            <w:pPr>
              <w:jc w:val="center"/>
            </w:pPr>
            <w:r>
              <w:rPr>
                <w:sz w:val="20"/>
              </w:rPr>
              <w:t>256/256</w:t>
            </w:r>
          </w:p>
        </w:tc>
        <w:tc>
          <w:tcPr>
            <w:tcW w:w="1454" w:type="dxa"/>
            <w:vAlign w:val="center"/>
          </w:tcPr>
          <w:p w14:paraId="517AE7A3" w14:textId="77777777" w:rsidR="00ED66A2" w:rsidRDefault="00000000" w:rsidP="00815225">
            <w:pPr>
              <w:jc w:val="center"/>
            </w:pPr>
            <w:r>
              <w:rPr>
                <w:sz w:val="20"/>
              </w:rPr>
              <w:t>+23.56%</w:t>
            </w:r>
          </w:p>
        </w:tc>
        <w:tc>
          <w:tcPr>
            <w:tcW w:w="1454" w:type="dxa"/>
            <w:vAlign w:val="center"/>
          </w:tcPr>
          <w:p w14:paraId="731527B6" w14:textId="77777777" w:rsidR="00ED66A2" w:rsidRDefault="00000000" w:rsidP="00815225">
            <w:pPr>
              <w:jc w:val="center"/>
            </w:pPr>
            <w:r>
              <w:rPr>
                <w:sz w:val="20"/>
              </w:rPr>
              <w:t>21.5%</w:t>
            </w:r>
          </w:p>
        </w:tc>
        <w:tc>
          <w:tcPr>
            <w:tcW w:w="1018" w:type="dxa"/>
            <w:vAlign w:val="center"/>
          </w:tcPr>
          <w:p w14:paraId="0DA1669C" w14:textId="77777777" w:rsidR="00ED66A2" w:rsidRDefault="00000000" w:rsidP="00815225">
            <w:pPr>
              <w:jc w:val="center"/>
            </w:pPr>
            <w:r>
              <w:rPr>
                <w:sz w:val="20"/>
              </w:rPr>
              <w:t>1.204</w:t>
            </w:r>
          </w:p>
        </w:tc>
        <w:tc>
          <w:tcPr>
            <w:tcW w:w="1309" w:type="dxa"/>
            <w:vAlign w:val="center"/>
          </w:tcPr>
          <w:p w14:paraId="03EA1AF5" w14:textId="77777777" w:rsidR="00ED66A2" w:rsidRDefault="00000000" w:rsidP="00815225">
            <w:pPr>
              <w:jc w:val="center"/>
            </w:pPr>
            <w:r>
              <w:rPr>
                <w:sz w:val="20"/>
              </w:rPr>
              <w:t>-6.62%</w:t>
            </w:r>
          </w:p>
        </w:tc>
      </w:tr>
      <w:tr w:rsidR="00ED66A2" w14:paraId="2406F584" w14:textId="77777777" w:rsidTr="00815225">
        <w:trPr>
          <w:trHeight w:val="390"/>
          <w:jc w:val="center"/>
        </w:trPr>
        <w:tc>
          <w:tcPr>
            <w:tcW w:w="2182" w:type="dxa"/>
            <w:vAlign w:val="center"/>
          </w:tcPr>
          <w:p w14:paraId="21D1B535" w14:textId="77777777" w:rsidR="00ED66A2" w:rsidRDefault="00000000" w:rsidP="00815225">
            <w:pPr>
              <w:jc w:val="center"/>
            </w:pPr>
            <w:r>
              <w:rPr>
                <w:sz w:val="20"/>
              </w:rPr>
              <w:t>Full Signal</w:t>
            </w:r>
          </w:p>
        </w:tc>
        <w:tc>
          <w:tcPr>
            <w:tcW w:w="1309" w:type="dxa"/>
            <w:vAlign w:val="center"/>
          </w:tcPr>
          <w:p w14:paraId="052182E1" w14:textId="77777777" w:rsidR="00ED66A2" w:rsidRDefault="00000000" w:rsidP="00815225">
            <w:pPr>
              <w:jc w:val="center"/>
            </w:pPr>
            <w:r>
              <w:rPr>
                <w:sz w:val="20"/>
              </w:rPr>
              <w:t>—</w:t>
            </w:r>
          </w:p>
        </w:tc>
        <w:tc>
          <w:tcPr>
            <w:tcW w:w="1454" w:type="dxa"/>
            <w:vAlign w:val="center"/>
          </w:tcPr>
          <w:p w14:paraId="71A6B64C" w14:textId="77777777" w:rsidR="00ED66A2" w:rsidRDefault="00000000" w:rsidP="00815225">
            <w:pPr>
              <w:jc w:val="center"/>
            </w:pPr>
            <w:r>
              <w:rPr>
                <w:sz w:val="20"/>
              </w:rPr>
              <w:t>—</w:t>
            </w:r>
          </w:p>
        </w:tc>
        <w:tc>
          <w:tcPr>
            <w:tcW w:w="1454" w:type="dxa"/>
            <w:vAlign w:val="center"/>
          </w:tcPr>
          <w:p w14:paraId="23AC632B" w14:textId="77777777" w:rsidR="00ED66A2" w:rsidRDefault="00000000" w:rsidP="00815225">
            <w:pPr>
              <w:jc w:val="center"/>
            </w:pPr>
            <w:r>
              <w:rPr>
                <w:sz w:val="20"/>
              </w:rPr>
              <w:t>—</w:t>
            </w:r>
          </w:p>
        </w:tc>
        <w:tc>
          <w:tcPr>
            <w:tcW w:w="1018" w:type="dxa"/>
            <w:vAlign w:val="center"/>
          </w:tcPr>
          <w:p w14:paraId="27652F48" w14:textId="77777777" w:rsidR="00ED66A2" w:rsidRDefault="00000000" w:rsidP="00815225">
            <w:pPr>
              <w:jc w:val="center"/>
            </w:pPr>
            <w:r>
              <w:rPr>
                <w:sz w:val="20"/>
              </w:rPr>
              <w:t>—</w:t>
            </w:r>
          </w:p>
        </w:tc>
        <w:tc>
          <w:tcPr>
            <w:tcW w:w="1309" w:type="dxa"/>
            <w:vAlign w:val="center"/>
          </w:tcPr>
          <w:p w14:paraId="6FD39BA5" w14:textId="77777777" w:rsidR="00ED66A2" w:rsidRDefault="00000000" w:rsidP="00815225">
            <w:pPr>
              <w:jc w:val="center"/>
            </w:pPr>
            <w:r>
              <w:rPr>
                <w:sz w:val="20"/>
              </w:rPr>
              <w:t>—</w:t>
            </w:r>
          </w:p>
        </w:tc>
      </w:tr>
      <w:tr w:rsidR="00ED66A2" w14:paraId="0AF56818" w14:textId="77777777" w:rsidTr="00815225">
        <w:trPr>
          <w:trHeight w:val="390"/>
          <w:jc w:val="center"/>
        </w:trPr>
        <w:tc>
          <w:tcPr>
            <w:tcW w:w="2182" w:type="dxa"/>
            <w:vAlign w:val="center"/>
          </w:tcPr>
          <w:p w14:paraId="3A058412" w14:textId="77777777" w:rsidR="00ED66A2" w:rsidRDefault="00000000" w:rsidP="00815225">
            <w:pPr>
              <w:jc w:val="center"/>
            </w:pPr>
            <w:r>
              <w:rPr>
                <w:sz w:val="20"/>
              </w:rPr>
              <w:t>High-VIX + Up</w:t>
            </w:r>
          </w:p>
        </w:tc>
        <w:tc>
          <w:tcPr>
            <w:tcW w:w="1309" w:type="dxa"/>
            <w:vAlign w:val="center"/>
          </w:tcPr>
          <w:p w14:paraId="00A88C72" w14:textId="77777777" w:rsidR="00ED66A2" w:rsidRDefault="00000000" w:rsidP="00815225">
            <w:pPr>
              <w:jc w:val="center"/>
            </w:pPr>
            <w:r>
              <w:rPr>
                <w:sz w:val="20"/>
              </w:rPr>
              <w:t>21/256</w:t>
            </w:r>
          </w:p>
        </w:tc>
        <w:tc>
          <w:tcPr>
            <w:tcW w:w="1454" w:type="dxa"/>
            <w:vAlign w:val="center"/>
          </w:tcPr>
          <w:p w14:paraId="5D20A616" w14:textId="77777777" w:rsidR="00ED66A2" w:rsidRDefault="00000000" w:rsidP="00815225">
            <w:pPr>
              <w:jc w:val="center"/>
            </w:pPr>
            <w:r>
              <w:rPr>
                <w:sz w:val="20"/>
              </w:rPr>
              <w:t>+9.91%</w:t>
            </w:r>
          </w:p>
        </w:tc>
        <w:tc>
          <w:tcPr>
            <w:tcW w:w="1454" w:type="dxa"/>
            <w:vAlign w:val="center"/>
          </w:tcPr>
          <w:p w14:paraId="48908E6F" w14:textId="77777777" w:rsidR="00ED66A2" w:rsidRDefault="00000000" w:rsidP="00815225">
            <w:pPr>
              <w:jc w:val="center"/>
            </w:pPr>
            <w:r>
              <w:rPr>
                <w:sz w:val="20"/>
              </w:rPr>
              <w:t>9.0%</w:t>
            </w:r>
          </w:p>
        </w:tc>
        <w:tc>
          <w:tcPr>
            <w:tcW w:w="1018" w:type="dxa"/>
            <w:vAlign w:val="center"/>
          </w:tcPr>
          <w:p w14:paraId="6CB5019A" w14:textId="77777777" w:rsidR="00ED66A2" w:rsidRDefault="00000000" w:rsidP="00815225">
            <w:pPr>
              <w:jc w:val="center"/>
            </w:pPr>
            <w:r>
              <w:rPr>
                <w:sz w:val="20"/>
              </w:rPr>
              <w:t>0.455</w:t>
            </w:r>
          </w:p>
        </w:tc>
        <w:tc>
          <w:tcPr>
            <w:tcW w:w="1309" w:type="dxa"/>
            <w:vAlign w:val="center"/>
          </w:tcPr>
          <w:p w14:paraId="770B6382" w14:textId="77777777" w:rsidR="00ED66A2" w:rsidRDefault="00000000" w:rsidP="00815225">
            <w:pPr>
              <w:jc w:val="center"/>
            </w:pPr>
            <w:r>
              <w:rPr>
                <w:sz w:val="20"/>
              </w:rPr>
              <w:t>-3.69%</w:t>
            </w:r>
          </w:p>
        </w:tc>
      </w:tr>
      <w:tr w:rsidR="00ED66A2" w14:paraId="3490DF21" w14:textId="77777777" w:rsidTr="00815225">
        <w:trPr>
          <w:trHeight w:val="390"/>
          <w:jc w:val="center"/>
        </w:trPr>
        <w:tc>
          <w:tcPr>
            <w:tcW w:w="2182" w:type="dxa"/>
            <w:vAlign w:val="center"/>
          </w:tcPr>
          <w:p w14:paraId="03A7098F" w14:textId="77777777" w:rsidR="00ED66A2" w:rsidRDefault="00000000" w:rsidP="00815225">
            <w:pPr>
              <w:jc w:val="center"/>
            </w:pPr>
            <w:r>
              <w:rPr>
                <w:sz w:val="20"/>
              </w:rPr>
              <w:t>High-VIX Only</w:t>
            </w:r>
          </w:p>
        </w:tc>
        <w:tc>
          <w:tcPr>
            <w:tcW w:w="1309" w:type="dxa"/>
            <w:vAlign w:val="center"/>
          </w:tcPr>
          <w:p w14:paraId="3A266633" w14:textId="77777777" w:rsidR="00ED66A2" w:rsidRDefault="00000000" w:rsidP="00815225">
            <w:pPr>
              <w:jc w:val="center"/>
            </w:pPr>
            <w:r>
              <w:rPr>
                <w:sz w:val="20"/>
              </w:rPr>
              <w:t>—</w:t>
            </w:r>
          </w:p>
        </w:tc>
        <w:tc>
          <w:tcPr>
            <w:tcW w:w="1454" w:type="dxa"/>
            <w:vAlign w:val="center"/>
          </w:tcPr>
          <w:p w14:paraId="6E2B95A8" w14:textId="77777777" w:rsidR="00ED66A2" w:rsidRDefault="00000000" w:rsidP="00815225">
            <w:pPr>
              <w:jc w:val="center"/>
            </w:pPr>
            <w:r>
              <w:rPr>
                <w:sz w:val="20"/>
              </w:rPr>
              <w:t>—</w:t>
            </w:r>
          </w:p>
        </w:tc>
        <w:tc>
          <w:tcPr>
            <w:tcW w:w="1454" w:type="dxa"/>
            <w:vAlign w:val="center"/>
          </w:tcPr>
          <w:p w14:paraId="191933C9" w14:textId="77777777" w:rsidR="00ED66A2" w:rsidRDefault="00000000" w:rsidP="00815225">
            <w:pPr>
              <w:jc w:val="center"/>
            </w:pPr>
            <w:r>
              <w:rPr>
                <w:sz w:val="20"/>
              </w:rPr>
              <w:t>—</w:t>
            </w:r>
          </w:p>
        </w:tc>
        <w:tc>
          <w:tcPr>
            <w:tcW w:w="1018" w:type="dxa"/>
            <w:vAlign w:val="center"/>
          </w:tcPr>
          <w:p w14:paraId="76E47344" w14:textId="77777777" w:rsidR="00ED66A2" w:rsidRDefault="00000000" w:rsidP="00815225">
            <w:pPr>
              <w:jc w:val="center"/>
            </w:pPr>
            <w:r>
              <w:rPr>
                <w:sz w:val="20"/>
              </w:rPr>
              <w:t>—</w:t>
            </w:r>
          </w:p>
        </w:tc>
        <w:tc>
          <w:tcPr>
            <w:tcW w:w="1309" w:type="dxa"/>
            <w:vAlign w:val="center"/>
          </w:tcPr>
          <w:p w14:paraId="35270252" w14:textId="77777777" w:rsidR="00ED66A2" w:rsidRDefault="00000000" w:rsidP="00815225">
            <w:pPr>
              <w:jc w:val="center"/>
            </w:pPr>
            <w:r>
              <w:rPr>
                <w:sz w:val="20"/>
              </w:rPr>
              <w:t>—</w:t>
            </w:r>
          </w:p>
        </w:tc>
      </w:tr>
    </w:tbl>
    <w:p w14:paraId="34CCB893" w14:textId="77777777" w:rsidR="00ED66A2" w:rsidRDefault="00ED66A2"/>
    <w:p w14:paraId="2CD1B319" w14:textId="77777777"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03D09BCE" w14:textId="77777777" w:rsidR="00ED66A2" w:rsidRDefault="00000000">
      <w:pPr>
        <w:spacing w:before="120" w:after="40"/>
        <w:jc w:val="center"/>
      </w:pPr>
      <w:r>
        <w:rPr>
          <w:noProof/>
        </w:rPr>
        <w:lastRenderedPageBreak/>
        <w:drawing>
          <wp:inline distT="0" distB="0" distL="0" distR="0" wp14:anchorId="22C9C9FE" wp14:editId="3256D4F7">
            <wp:extent cx="5303520" cy="3335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335404"/>
                    </a:xfrm>
                    <a:prstGeom prst="rect">
                      <a:avLst/>
                    </a:prstGeom>
                  </pic:spPr>
                </pic:pic>
              </a:graphicData>
            </a:graphic>
          </wp:inline>
        </w:drawing>
      </w:r>
    </w:p>
    <w:p w14:paraId="74F5D984" w14:textId="77777777" w:rsidR="00ED66A2" w:rsidRPr="0023756F" w:rsidRDefault="00000000" w:rsidP="00273260">
      <w:pPr>
        <w:spacing w:before="80" w:after="80"/>
        <w:jc w:val="center"/>
        <w:rPr>
          <w:iCs/>
        </w:rPr>
      </w:pPr>
      <w:r w:rsidRPr="0023756F">
        <w:rPr>
          <w:iCs/>
          <w:sz w:val="20"/>
        </w:rPr>
        <w:t>Fig. 5. Equity curves for benchmark and regime-filtered strategies.</w:t>
      </w:r>
    </w:p>
    <w:p w14:paraId="16A69930" w14:textId="77777777" w:rsidR="00ED66A2" w:rsidRDefault="00ED66A2"/>
    <w:p w14:paraId="104F8036" w14:textId="77777777" w:rsidR="00ED66A2" w:rsidRDefault="00000000">
      <w:pPr>
        <w:spacing w:before="120" w:after="40"/>
        <w:jc w:val="center"/>
      </w:pPr>
      <w:r>
        <w:rPr>
          <w:noProof/>
        </w:rPr>
        <w:drawing>
          <wp:inline distT="0" distB="0" distL="0" distR="0" wp14:anchorId="4834CA57" wp14:editId="2C4357CE">
            <wp:extent cx="5303520" cy="1885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885768"/>
                    </a:xfrm>
                    <a:prstGeom prst="rect">
                      <a:avLst/>
                    </a:prstGeom>
                  </pic:spPr>
                </pic:pic>
              </a:graphicData>
            </a:graphic>
          </wp:inline>
        </w:drawing>
      </w:r>
    </w:p>
    <w:p w14:paraId="54F64CD1" w14:textId="77777777" w:rsidR="00ED66A2" w:rsidRPr="006E44D7" w:rsidRDefault="00000000" w:rsidP="006E44D7">
      <w:pPr>
        <w:spacing w:before="80" w:after="80"/>
        <w:jc w:val="center"/>
        <w:rPr>
          <w:iCs/>
        </w:rPr>
      </w:pPr>
      <w:r w:rsidRPr="006E44D7">
        <w:rPr>
          <w:iCs/>
          <w:sz w:val="20"/>
        </w:rPr>
        <w:t>Fig. 6. Drawdown profiles.</w:t>
      </w:r>
    </w:p>
    <w:p w14:paraId="47E1BE34" w14:textId="26BE2E4E" w:rsidR="00ED66A2" w:rsidRDefault="00000000">
      <w:pPr>
        <w:pStyle w:val="Heading2"/>
      </w:pPr>
      <w:r>
        <w:rPr>
          <w:rFonts w:ascii="Times New Roman" w:hAnsi="Times New Roman"/>
        </w:rPr>
        <w:t xml:space="preserve">5.4. Probability confidence and model </w:t>
      </w:r>
      <w:r w:rsidR="00F55BD2">
        <w:rPr>
          <w:rFonts w:ascii="Times New Roman" w:hAnsi="Times New Roman"/>
        </w:rPr>
        <w:t>behavior</w:t>
      </w:r>
      <w:r>
        <w:rPr>
          <w:rFonts w:ascii="Times New Roman" w:hAnsi="Times New Roman"/>
        </w:rPr>
        <w:t xml:space="preserve"> in the stress state</w:t>
      </w:r>
    </w:p>
    <w:p w14:paraId="3A4AA7BC" w14:textId="77777777" w:rsidR="00ED66A2" w:rsidRDefault="00000000">
      <w:pPr>
        <w:spacing w:after="80" w:line="360" w:lineRule="auto"/>
        <w:ind w:firstLine="360"/>
      </w:pPr>
      <w:r>
        <w:t>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Regime-specific SHAP analysis (mean absolute SHAP value, XGBoost, 21-day horizon; High-VIX n=8, Low-VIX n=248, both sparse and this-sample-only) shows bb_upper as the single dominant feature in both regimes (0.394 High-VIX vs 0.339 Low-VIX). Beyond that, the regime shift runs in both directions: macd_signal, ema20, and macd become relatively more important in High-VIX, while atr14 (0.019 vs 0.212) and bb_width (0.023 vs 0.091) become markedly less important in High-VIX than in Low-VIX -- the opposite of a simple 'volatility features matter more when volatility is high' story. We revise our earlier, more categorical claim accordingly: the regime shift in feature importance is real but feature-specific, not a uniform amplification of volatility indicators, and should be read with the same n=8 sparsity caveat as the accuracy results.</w:t>
      </w:r>
      <w:r/>
    </w:p>
    <w:p>
      <w:pPr/>
      <w:r>
        <w:drawing>
          <wp:inline xmlns:a="http://schemas.openxmlformats.org/drawingml/2006/main" xmlns:pic="http://schemas.openxmlformats.org/drawingml/2006/picture">
            <wp:extent cx="5303520" cy="3148518"/>
            <wp:docPr id="529019808" name="Picture 529019808"/>
            <wp:cNvGraphicFramePr>
              <a:graphicFrameLocks noChangeAspect="1"/>
            </wp:cNvGraphicFramePr>
            <a:graphic>
              <a:graphicData uri="http://schemas.openxmlformats.org/drawingml/2006/picture">
                <pic:pic>
                  <pic:nvPicPr>
                    <pic:cNvPr id="0" name="R07_shap_regime_comparison.png"/>
                    <pic:cNvPicPr/>
                  </pic:nvPicPr>
                  <pic:blipFill>
                    <a:blip r:embed="rId21"/>
                    <a:stretch>
                      <a:fillRect/>
                    </a:stretch>
                  </pic:blipFill>
                  <pic:spPr>
                    <a:xfrm>
                      <a:off x="0" y="0"/>
                      <a:ext cx="5303520" cy="3148518"/>
                    </a:xfrm>
                    <a:prstGeom prst="rect"/>
                  </pic:spPr>
                </pic:pic>
              </a:graphicData>
            </a:graphic>
          </wp:inline>
        </w:drawing>
      </w:r>
    </w:p>
    <w:p>
      <w:r>
        <w:t>Fig. 11. Regime-specific SHAP feature importance (mean |SHAP|, XGBoost, 21-day horizon; High-VIX n=8, Low-VIX n=248).</w:t>
      </w:r>
    </w:p>
    <w:p w14:paraId="5D119EC7" w14:textId="37D75CE4" w:rsidR="00ED66A2" w:rsidRDefault="00000000">
      <w:pPr>
        <w:spacing w:after="80" w:line="360" w:lineRule="auto"/>
        <w:ind w:firstLine="360"/>
      </w:pPr>
      <w:r>
        <w:t xml:space="preserve">That </w:t>
      </w:r>
      <w:r w:rsidR="00F55BD2">
        <w:t>behavior</w:t>
      </w:r>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r w:rsidR="00F55BD2">
        <w:t>ensemble’s</w:t>
      </w:r>
      <w:r>
        <w:t xml:space="preserve"> internal confidence also rises when the regime says it should.</w:t>
      </w:r>
    </w:p>
    <w:p w14:paraId="08051D13" w14:textId="70B3A358" w:rsidR="00ED66A2" w:rsidRDefault="00000000">
      <w:pPr>
        <w:pStyle w:val="Heading1"/>
      </w:pPr>
      <w:r>
        <w:rPr>
          <w:rFonts w:ascii="Times New Roman" w:hAnsi="Times New Roman"/>
        </w:rPr>
        <w:t xml:space="preserve">6. Robustness and </w:t>
      </w:r>
      <w:r w:rsidR="00F55BD2">
        <w:rPr>
          <w:rFonts w:ascii="Times New Roman" w:hAnsi="Times New Roman"/>
        </w:rPr>
        <w:t>Generalization</w:t>
      </w:r>
      <w:r>
        <w:rPr>
          <w:rFonts w:ascii="Times New Roman" w:hAnsi="Times New Roman"/>
        </w:rPr>
        <w:t xml:space="preserve"> Checks</w:t>
      </w:r>
    </w:p>
    <w:p w14:paraId="47392124" w14:textId="77777777" w:rsidR="00ED66A2" w:rsidRDefault="00000000">
      <w:pPr>
        <w:pStyle w:val="Heading2"/>
      </w:pPr>
      <w:r>
        <w:rPr>
          <w:rFonts w:ascii="Times New Roman" w:hAnsi="Times New Roman"/>
        </w:rPr>
        <w:t>6.1. Transaction-cost sensitivity</w:t>
      </w:r>
    </w:p>
    <w:p w14:paraId="75B9479A" w14:textId="77777777"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5FFCE3DE"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03BE9E7C"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610"/>
        <w:gridCol w:w="1535"/>
        <w:gridCol w:w="1535"/>
        <w:gridCol w:w="1228"/>
        <w:gridCol w:w="1535"/>
      </w:tblGrid>
      <w:tr w:rsidR="00ED66A2" w14:paraId="5A9323DB" w14:textId="77777777" w:rsidTr="00F55BD2">
        <w:trPr>
          <w:trHeight w:val="745"/>
          <w:jc w:val="center"/>
        </w:trPr>
        <w:tc>
          <w:tcPr>
            <w:tcW w:w="2610" w:type="dxa"/>
            <w:vAlign w:val="center"/>
          </w:tcPr>
          <w:p w14:paraId="42D29E90" w14:textId="77777777" w:rsidR="00ED66A2" w:rsidRDefault="00000000" w:rsidP="004E59A3">
            <w:pPr>
              <w:jc w:val="center"/>
            </w:pPr>
            <w:r>
              <w:rPr>
                <w:b/>
                <w:sz w:val="20"/>
              </w:rPr>
              <w:t>Cost setting</w:t>
            </w:r>
          </w:p>
        </w:tc>
        <w:tc>
          <w:tcPr>
            <w:tcW w:w="1535" w:type="dxa"/>
            <w:vAlign w:val="center"/>
          </w:tcPr>
          <w:p w14:paraId="2519D7E6" w14:textId="77777777" w:rsidR="00ED66A2" w:rsidRDefault="00000000" w:rsidP="004E59A3">
            <w:pPr>
              <w:jc w:val="center"/>
            </w:pPr>
            <w:r>
              <w:rPr>
                <w:b/>
                <w:sz w:val="20"/>
              </w:rPr>
              <w:t>Total return</w:t>
            </w:r>
          </w:p>
        </w:tc>
        <w:tc>
          <w:tcPr>
            <w:tcW w:w="1535" w:type="dxa"/>
            <w:vAlign w:val="center"/>
          </w:tcPr>
          <w:p w14:paraId="6B7C675F" w14:textId="77777777" w:rsidR="00ED66A2" w:rsidRDefault="00000000" w:rsidP="004E59A3">
            <w:pPr>
              <w:jc w:val="center"/>
            </w:pPr>
            <w:r>
              <w:rPr>
                <w:b/>
                <w:sz w:val="20"/>
              </w:rPr>
              <w:t>Annual return</w:t>
            </w:r>
          </w:p>
        </w:tc>
        <w:tc>
          <w:tcPr>
            <w:tcW w:w="1228" w:type="dxa"/>
            <w:vAlign w:val="center"/>
          </w:tcPr>
          <w:p w14:paraId="1E969908" w14:textId="77777777" w:rsidR="00ED66A2" w:rsidRDefault="00000000" w:rsidP="004E59A3">
            <w:pPr>
              <w:jc w:val="center"/>
            </w:pPr>
            <w:r>
              <w:rPr>
                <w:b/>
                <w:sz w:val="20"/>
              </w:rPr>
              <w:t>Sharpe</w:t>
            </w:r>
          </w:p>
        </w:tc>
        <w:tc>
          <w:tcPr>
            <w:tcW w:w="1535" w:type="dxa"/>
            <w:vAlign w:val="center"/>
          </w:tcPr>
          <w:p w14:paraId="12798294" w14:textId="77777777" w:rsidR="00ED66A2" w:rsidRDefault="00000000" w:rsidP="004E59A3">
            <w:pPr>
              <w:jc w:val="center"/>
            </w:pPr>
            <w:r>
              <w:rPr>
                <w:b/>
                <w:sz w:val="20"/>
              </w:rPr>
              <w:t>Max drawdown</w:t>
            </w:r>
          </w:p>
        </w:tc>
      </w:tr>
      <w:tr w:rsidR="00ED66A2" w14:paraId="63DB6310" w14:textId="77777777" w:rsidTr="00F55BD2">
        <w:trPr>
          <w:trHeight w:val="372"/>
          <w:jc w:val="center"/>
        </w:trPr>
        <w:tc>
          <w:tcPr>
            <w:tcW w:w="2610" w:type="dxa"/>
            <w:vAlign w:val="center"/>
          </w:tcPr>
          <w:p w14:paraId="59D37C52" w14:textId="77777777" w:rsidR="00ED66A2" w:rsidRDefault="00000000" w:rsidP="004E59A3">
            <w:pPr>
              <w:jc w:val="center"/>
            </w:pPr>
            <w:r>
              <w:rPr>
                <w:sz w:val="20"/>
              </w:rPr>
              <w:t>Buy-and-Hold benchmark</w:t>
            </w:r>
          </w:p>
        </w:tc>
        <w:tc>
          <w:tcPr>
            <w:tcW w:w="1535" w:type="dxa"/>
            <w:vAlign w:val="center"/>
          </w:tcPr>
          <w:p w14:paraId="215547FB" w14:textId="77777777" w:rsidR="00ED66A2" w:rsidRDefault="00000000" w:rsidP="004E59A3">
            <w:pPr>
              <w:jc w:val="center"/>
            </w:pPr>
            <w:r>
              <w:rPr>
                <w:sz w:val="20"/>
              </w:rPr>
              <w:t>23.56%</w:t>
            </w:r>
          </w:p>
        </w:tc>
        <w:tc>
          <w:tcPr>
            <w:tcW w:w="1535" w:type="dxa"/>
            <w:vAlign w:val="center"/>
          </w:tcPr>
          <w:p w14:paraId="5FB73B21" w14:textId="77777777" w:rsidR="00ED66A2" w:rsidRDefault="00000000" w:rsidP="004E59A3">
            <w:pPr>
              <w:jc w:val="center"/>
            </w:pPr>
            <w:r>
              <w:rPr>
                <w:sz w:val="20"/>
              </w:rPr>
              <w:t>21.5%</w:t>
            </w:r>
          </w:p>
        </w:tc>
        <w:tc>
          <w:tcPr>
            <w:tcW w:w="1228" w:type="dxa"/>
            <w:vAlign w:val="center"/>
          </w:tcPr>
          <w:p w14:paraId="13643DC1" w14:textId="77777777" w:rsidR="00ED66A2" w:rsidRDefault="00000000" w:rsidP="004E59A3">
            <w:pPr>
              <w:jc w:val="center"/>
            </w:pPr>
            <w:r>
              <w:rPr>
                <w:sz w:val="20"/>
              </w:rPr>
              <w:t>1.204</w:t>
            </w:r>
          </w:p>
        </w:tc>
        <w:tc>
          <w:tcPr>
            <w:tcW w:w="1535" w:type="dxa"/>
            <w:vAlign w:val="center"/>
          </w:tcPr>
          <w:p w14:paraId="07A1C3A6" w14:textId="77777777" w:rsidR="00ED66A2" w:rsidRDefault="00000000" w:rsidP="004E59A3">
            <w:pPr>
              <w:jc w:val="center"/>
            </w:pPr>
            <w:r>
              <w:rPr>
                <w:sz w:val="20"/>
              </w:rPr>
              <w:t>-6.62%</w:t>
            </w:r>
          </w:p>
        </w:tc>
      </w:tr>
      <w:tr w:rsidR="00ED66A2" w14:paraId="7C70B029" w14:textId="77777777" w:rsidTr="00F55BD2">
        <w:trPr>
          <w:trHeight w:val="372"/>
          <w:jc w:val="center"/>
        </w:trPr>
        <w:tc>
          <w:tcPr>
            <w:tcW w:w="2610" w:type="dxa"/>
            <w:vAlign w:val="center"/>
          </w:tcPr>
          <w:p w14:paraId="727439A5" w14:textId="77777777" w:rsidR="00ED66A2" w:rsidRDefault="00000000" w:rsidP="004E59A3">
            <w:pPr>
              <w:jc w:val="center"/>
            </w:pPr>
            <w:proofErr w:type="spellStart"/>
            <w:r>
              <w:rPr>
                <w:sz w:val="20"/>
              </w:rPr>
              <w:t>HV+Up</w:t>
            </w:r>
            <w:proofErr w:type="spellEnd"/>
            <w:r>
              <w:rPr>
                <w:sz w:val="20"/>
              </w:rPr>
              <w:t xml:space="preserve"> TC = 0.00%</w:t>
            </w:r>
          </w:p>
        </w:tc>
        <w:tc>
          <w:tcPr>
            <w:tcW w:w="1535" w:type="dxa"/>
            <w:vAlign w:val="center"/>
          </w:tcPr>
          <w:p w14:paraId="6FD4712A" w14:textId="77777777" w:rsidR="00ED66A2" w:rsidRDefault="00000000" w:rsidP="004E59A3">
            <w:pPr>
              <w:jc w:val="center"/>
            </w:pPr>
            <w:r>
              <w:rPr>
                <w:sz w:val="20"/>
              </w:rPr>
              <w:t>9.91%</w:t>
            </w:r>
          </w:p>
        </w:tc>
        <w:tc>
          <w:tcPr>
            <w:tcW w:w="1535" w:type="dxa"/>
            <w:vAlign w:val="center"/>
          </w:tcPr>
          <w:p w14:paraId="44064CC5" w14:textId="77777777" w:rsidR="00ED66A2" w:rsidRDefault="00000000" w:rsidP="004E59A3">
            <w:pPr>
              <w:jc w:val="center"/>
            </w:pPr>
            <w:r>
              <w:rPr>
                <w:sz w:val="20"/>
              </w:rPr>
              <w:t>9.0%</w:t>
            </w:r>
          </w:p>
        </w:tc>
        <w:tc>
          <w:tcPr>
            <w:tcW w:w="1228" w:type="dxa"/>
            <w:vAlign w:val="center"/>
          </w:tcPr>
          <w:p w14:paraId="40BC0CCA" w14:textId="77777777" w:rsidR="00ED66A2" w:rsidRDefault="00000000" w:rsidP="004E59A3">
            <w:pPr>
              <w:jc w:val="center"/>
            </w:pPr>
            <w:r>
              <w:rPr>
                <w:sz w:val="20"/>
              </w:rPr>
              <w:t>0.455</w:t>
            </w:r>
          </w:p>
        </w:tc>
        <w:tc>
          <w:tcPr>
            <w:tcW w:w="1535" w:type="dxa"/>
            <w:vAlign w:val="center"/>
          </w:tcPr>
          <w:p w14:paraId="09437874" w14:textId="77777777" w:rsidR="00ED66A2" w:rsidRDefault="00000000" w:rsidP="004E59A3">
            <w:pPr>
              <w:jc w:val="center"/>
            </w:pPr>
            <w:r>
              <w:rPr>
                <w:sz w:val="20"/>
              </w:rPr>
              <w:t>-3.69%</w:t>
            </w:r>
          </w:p>
        </w:tc>
      </w:tr>
      <w:tr w:rsidR="00ED66A2" w14:paraId="3048B5B6" w14:textId="77777777" w:rsidTr="00F55BD2">
        <w:trPr>
          <w:trHeight w:val="372"/>
          <w:jc w:val="center"/>
        </w:trPr>
        <w:tc>
          <w:tcPr>
            <w:tcW w:w="2610" w:type="dxa"/>
            <w:vAlign w:val="center"/>
          </w:tcPr>
          <w:p w14:paraId="0A2313AD" w14:textId="77777777" w:rsidR="00ED66A2" w:rsidRDefault="00000000" w:rsidP="004E59A3">
            <w:pPr>
              <w:jc w:val="center"/>
            </w:pPr>
            <w:proofErr w:type="spellStart"/>
            <w:r>
              <w:rPr>
                <w:sz w:val="20"/>
              </w:rPr>
              <w:t>HV+Up</w:t>
            </w:r>
            <w:proofErr w:type="spellEnd"/>
            <w:r>
              <w:rPr>
                <w:sz w:val="20"/>
              </w:rPr>
              <w:t xml:space="preserve"> TC = 0.03%</w:t>
            </w:r>
          </w:p>
        </w:tc>
        <w:tc>
          <w:tcPr>
            <w:tcW w:w="1535" w:type="dxa"/>
            <w:vAlign w:val="center"/>
          </w:tcPr>
          <w:p w14:paraId="7EB69435" w14:textId="77777777" w:rsidR="00ED66A2" w:rsidRDefault="00000000" w:rsidP="004E59A3">
            <w:pPr>
              <w:jc w:val="center"/>
            </w:pPr>
            <w:r>
              <w:rPr>
                <w:sz w:val="20"/>
              </w:rPr>
              <w:t>9.88%</w:t>
            </w:r>
          </w:p>
        </w:tc>
        <w:tc>
          <w:tcPr>
            <w:tcW w:w="1535" w:type="dxa"/>
            <w:vAlign w:val="center"/>
          </w:tcPr>
          <w:p w14:paraId="3D60B695" w14:textId="77777777" w:rsidR="00ED66A2" w:rsidRDefault="00000000" w:rsidP="004E59A3">
            <w:pPr>
              <w:jc w:val="center"/>
            </w:pPr>
            <w:r>
              <w:rPr>
                <w:sz w:val="20"/>
              </w:rPr>
              <w:t>9.0%</w:t>
            </w:r>
          </w:p>
        </w:tc>
        <w:tc>
          <w:tcPr>
            <w:tcW w:w="1228" w:type="dxa"/>
            <w:vAlign w:val="center"/>
          </w:tcPr>
          <w:p w14:paraId="42493963" w14:textId="77777777" w:rsidR="00ED66A2" w:rsidRDefault="00000000" w:rsidP="004E59A3">
            <w:pPr>
              <w:jc w:val="center"/>
            </w:pPr>
            <w:r>
              <w:rPr>
                <w:sz w:val="20"/>
              </w:rPr>
              <w:t>0.450</w:t>
            </w:r>
          </w:p>
        </w:tc>
        <w:tc>
          <w:tcPr>
            <w:tcW w:w="1535" w:type="dxa"/>
            <w:vAlign w:val="center"/>
          </w:tcPr>
          <w:p w14:paraId="0E2B5AD7" w14:textId="77777777" w:rsidR="00ED66A2" w:rsidRDefault="00000000" w:rsidP="004E59A3">
            <w:pPr>
              <w:jc w:val="center"/>
            </w:pPr>
            <w:r>
              <w:rPr>
                <w:sz w:val="20"/>
              </w:rPr>
              <w:t>-3.69%</w:t>
            </w:r>
          </w:p>
        </w:tc>
      </w:tr>
      <w:tr w:rsidR="00ED66A2" w14:paraId="50C27DBC" w14:textId="77777777" w:rsidTr="00F55BD2">
        <w:trPr>
          <w:trHeight w:val="372"/>
          <w:jc w:val="center"/>
        </w:trPr>
        <w:tc>
          <w:tcPr>
            <w:tcW w:w="2610" w:type="dxa"/>
            <w:vAlign w:val="center"/>
          </w:tcPr>
          <w:p w14:paraId="706FC528" w14:textId="77777777" w:rsidR="00ED66A2" w:rsidRDefault="00000000" w:rsidP="004E59A3">
            <w:pPr>
              <w:jc w:val="center"/>
            </w:pPr>
            <w:proofErr w:type="spellStart"/>
            <w:r>
              <w:rPr>
                <w:sz w:val="20"/>
              </w:rPr>
              <w:t>HV+Up</w:t>
            </w:r>
            <w:proofErr w:type="spellEnd"/>
            <w:r>
              <w:rPr>
                <w:sz w:val="20"/>
              </w:rPr>
              <w:t xml:space="preserve"> TC = 0.10%</w:t>
            </w:r>
          </w:p>
        </w:tc>
        <w:tc>
          <w:tcPr>
            <w:tcW w:w="1535" w:type="dxa"/>
            <w:vAlign w:val="center"/>
          </w:tcPr>
          <w:p w14:paraId="0AEB78A9" w14:textId="77777777" w:rsidR="00ED66A2" w:rsidRDefault="00000000" w:rsidP="004E59A3">
            <w:pPr>
              <w:jc w:val="center"/>
            </w:pPr>
            <w:r>
              <w:rPr>
                <w:sz w:val="20"/>
              </w:rPr>
              <w:t>9.80%</w:t>
            </w:r>
          </w:p>
        </w:tc>
        <w:tc>
          <w:tcPr>
            <w:tcW w:w="1535" w:type="dxa"/>
            <w:vAlign w:val="center"/>
          </w:tcPr>
          <w:p w14:paraId="068098E1" w14:textId="77777777" w:rsidR="00ED66A2" w:rsidRDefault="00000000" w:rsidP="004E59A3">
            <w:pPr>
              <w:jc w:val="center"/>
            </w:pPr>
            <w:r>
              <w:rPr>
                <w:sz w:val="20"/>
              </w:rPr>
              <w:t>8.9%</w:t>
            </w:r>
          </w:p>
        </w:tc>
        <w:tc>
          <w:tcPr>
            <w:tcW w:w="1228" w:type="dxa"/>
            <w:vAlign w:val="center"/>
          </w:tcPr>
          <w:p w14:paraId="0E75AD08" w14:textId="77777777" w:rsidR="00ED66A2" w:rsidRDefault="00000000" w:rsidP="004E59A3">
            <w:pPr>
              <w:jc w:val="center"/>
            </w:pPr>
            <w:r>
              <w:rPr>
                <w:sz w:val="20"/>
              </w:rPr>
              <w:t>0.439</w:t>
            </w:r>
          </w:p>
        </w:tc>
        <w:tc>
          <w:tcPr>
            <w:tcW w:w="1535" w:type="dxa"/>
            <w:vAlign w:val="center"/>
          </w:tcPr>
          <w:p w14:paraId="537BD5B6" w14:textId="77777777" w:rsidR="00ED66A2" w:rsidRDefault="00000000" w:rsidP="004E59A3">
            <w:pPr>
              <w:jc w:val="center"/>
            </w:pPr>
            <w:r>
              <w:rPr>
                <w:sz w:val="20"/>
              </w:rPr>
              <w:t>-3.69%</w:t>
            </w:r>
          </w:p>
        </w:tc>
      </w:tr>
      <w:tr w:rsidR="00ED66A2" w14:paraId="26656988" w14:textId="77777777" w:rsidTr="00F55BD2">
        <w:trPr>
          <w:trHeight w:val="372"/>
          <w:jc w:val="center"/>
        </w:trPr>
        <w:tc>
          <w:tcPr>
            <w:tcW w:w="2610" w:type="dxa"/>
            <w:vAlign w:val="center"/>
          </w:tcPr>
          <w:p w14:paraId="505E6E3C" w14:textId="77777777" w:rsidR="00ED66A2" w:rsidRDefault="00000000" w:rsidP="004E59A3">
            <w:pPr>
              <w:jc w:val="center"/>
            </w:pPr>
            <w:proofErr w:type="spellStart"/>
            <w:r>
              <w:rPr>
                <w:sz w:val="20"/>
              </w:rPr>
              <w:t>HV+Up</w:t>
            </w:r>
            <w:proofErr w:type="spellEnd"/>
            <w:r>
              <w:rPr>
                <w:sz w:val="20"/>
              </w:rPr>
              <w:t xml:space="preserve"> TC = 0.20%</w:t>
            </w:r>
          </w:p>
        </w:tc>
        <w:tc>
          <w:tcPr>
            <w:tcW w:w="1535" w:type="dxa"/>
            <w:vAlign w:val="center"/>
          </w:tcPr>
          <w:p w14:paraId="51B7E4F0" w14:textId="77777777" w:rsidR="00ED66A2" w:rsidRDefault="00000000" w:rsidP="004E59A3">
            <w:pPr>
              <w:jc w:val="center"/>
            </w:pPr>
            <w:r>
              <w:rPr>
                <w:sz w:val="20"/>
              </w:rPr>
              <w:t>9.69%</w:t>
            </w:r>
          </w:p>
        </w:tc>
        <w:tc>
          <w:tcPr>
            <w:tcW w:w="1535" w:type="dxa"/>
            <w:vAlign w:val="center"/>
          </w:tcPr>
          <w:p w14:paraId="16D6AFAB" w14:textId="77777777" w:rsidR="00ED66A2" w:rsidRDefault="00000000" w:rsidP="004E59A3">
            <w:pPr>
              <w:jc w:val="center"/>
            </w:pPr>
            <w:r>
              <w:rPr>
                <w:sz w:val="20"/>
              </w:rPr>
              <w:t>8.8%</w:t>
            </w:r>
          </w:p>
        </w:tc>
        <w:tc>
          <w:tcPr>
            <w:tcW w:w="1228" w:type="dxa"/>
            <w:vAlign w:val="center"/>
          </w:tcPr>
          <w:p w14:paraId="451DFCDA" w14:textId="77777777" w:rsidR="00ED66A2" w:rsidRDefault="00000000" w:rsidP="004E59A3">
            <w:pPr>
              <w:jc w:val="center"/>
            </w:pPr>
            <w:r>
              <w:rPr>
                <w:sz w:val="20"/>
              </w:rPr>
              <w:t>0.423</w:t>
            </w:r>
          </w:p>
        </w:tc>
        <w:tc>
          <w:tcPr>
            <w:tcW w:w="1535" w:type="dxa"/>
            <w:vAlign w:val="center"/>
          </w:tcPr>
          <w:p w14:paraId="2A7A06D9" w14:textId="77777777" w:rsidR="00ED66A2" w:rsidRDefault="00000000" w:rsidP="004E59A3">
            <w:pPr>
              <w:jc w:val="center"/>
            </w:pPr>
            <w:r>
              <w:rPr>
                <w:sz w:val="20"/>
              </w:rPr>
              <w:t>-3.69%</w:t>
            </w:r>
          </w:p>
        </w:tc>
      </w:tr>
      <w:tr w:rsidR="00ED66A2" w14:paraId="16617C9B" w14:textId="77777777" w:rsidTr="00F55BD2">
        <w:trPr>
          <w:trHeight w:val="372"/>
          <w:jc w:val="center"/>
        </w:trPr>
        <w:tc>
          <w:tcPr>
            <w:tcW w:w="2610" w:type="dxa"/>
            <w:vAlign w:val="center"/>
          </w:tcPr>
          <w:p w14:paraId="1B8E50D0" w14:textId="77777777" w:rsidR="00ED66A2" w:rsidRDefault="00000000" w:rsidP="004E59A3">
            <w:pPr>
              <w:jc w:val="center"/>
            </w:pPr>
            <w:proofErr w:type="spellStart"/>
            <w:r>
              <w:rPr>
                <w:sz w:val="20"/>
              </w:rPr>
              <w:t>HV+Up</w:t>
            </w:r>
            <w:proofErr w:type="spellEnd"/>
            <w:r>
              <w:rPr>
                <w:sz w:val="20"/>
              </w:rPr>
              <w:t xml:space="preserve"> TC = 0.30%</w:t>
            </w:r>
          </w:p>
        </w:tc>
        <w:tc>
          <w:tcPr>
            <w:tcW w:w="1535" w:type="dxa"/>
            <w:vAlign w:val="center"/>
          </w:tcPr>
          <w:p w14:paraId="3DBEFD33" w14:textId="77777777" w:rsidR="00ED66A2" w:rsidRDefault="00000000" w:rsidP="004E59A3">
            <w:pPr>
              <w:jc w:val="center"/>
            </w:pPr>
            <w:r>
              <w:rPr>
                <w:sz w:val="20"/>
              </w:rPr>
              <w:t>9.58%</w:t>
            </w:r>
          </w:p>
        </w:tc>
        <w:tc>
          <w:tcPr>
            <w:tcW w:w="1535" w:type="dxa"/>
            <w:vAlign w:val="center"/>
          </w:tcPr>
          <w:p w14:paraId="63046BDC" w14:textId="77777777" w:rsidR="00ED66A2" w:rsidRDefault="00000000" w:rsidP="004E59A3">
            <w:pPr>
              <w:jc w:val="center"/>
            </w:pPr>
            <w:r>
              <w:rPr>
                <w:sz w:val="20"/>
              </w:rPr>
              <w:t>8.7%</w:t>
            </w:r>
          </w:p>
        </w:tc>
        <w:tc>
          <w:tcPr>
            <w:tcW w:w="1228" w:type="dxa"/>
            <w:vAlign w:val="center"/>
          </w:tcPr>
          <w:p w14:paraId="3BAACB10" w14:textId="77777777" w:rsidR="00ED66A2" w:rsidRDefault="00000000" w:rsidP="004E59A3">
            <w:pPr>
              <w:jc w:val="center"/>
            </w:pPr>
            <w:r>
              <w:rPr>
                <w:sz w:val="20"/>
              </w:rPr>
              <w:t>0.407</w:t>
            </w:r>
          </w:p>
        </w:tc>
        <w:tc>
          <w:tcPr>
            <w:tcW w:w="1535" w:type="dxa"/>
            <w:vAlign w:val="center"/>
          </w:tcPr>
          <w:p w14:paraId="223CED1F" w14:textId="77777777" w:rsidR="00ED66A2" w:rsidRDefault="00000000" w:rsidP="004E59A3">
            <w:pPr>
              <w:jc w:val="center"/>
            </w:pPr>
            <w:r>
              <w:rPr>
                <w:sz w:val="20"/>
              </w:rPr>
              <w:t>-3.69%</w:t>
            </w:r>
          </w:p>
        </w:tc>
      </w:tr>
      <w:tr w:rsidR="00ED66A2" w14:paraId="71B28A19" w14:textId="77777777" w:rsidTr="00F55BD2">
        <w:trPr>
          <w:trHeight w:val="372"/>
          <w:jc w:val="center"/>
        </w:trPr>
        <w:tc>
          <w:tcPr>
            <w:tcW w:w="2610" w:type="dxa"/>
            <w:vAlign w:val="center"/>
          </w:tcPr>
          <w:p w14:paraId="34F5FE95" w14:textId="77777777" w:rsidR="00ED66A2" w:rsidRDefault="00000000" w:rsidP="004E59A3">
            <w:pPr>
              <w:jc w:val="center"/>
            </w:pPr>
            <w:proofErr w:type="spellStart"/>
            <w:r>
              <w:rPr>
                <w:sz w:val="20"/>
              </w:rPr>
              <w:t>HV+Up</w:t>
            </w:r>
            <w:proofErr w:type="spellEnd"/>
            <w:r>
              <w:rPr>
                <w:sz w:val="20"/>
              </w:rPr>
              <w:t xml:space="preserve"> TC = 0.50%</w:t>
            </w:r>
          </w:p>
        </w:tc>
        <w:tc>
          <w:tcPr>
            <w:tcW w:w="1535" w:type="dxa"/>
            <w:vAlign w:val="center"/>
          </w:tcPr>
          <w:p w14:paraId="5C345D6A" w14:textId="77777777" w:rsidR="00ED66A2" w:rsidRDefault="00000000" w:rsidP="004E59A3">
            <w:pPr>
              <w:jc w:val="center"/>
            </w:pPr>
            <w:r>
              <w:rPr>
                <w:sz w:val="20"/>
              </w:rPr>
              <w:t>9.36%</w:t>
            </w:r>
          </w:p>
        </w:tc>
        <w:tc>
          <w:tcPr>
            <w:tcW w:w="1535" w:type="dxa"/>
            <w:vAlign w:val="center"/>
          </w:tcPr>
          <w:p w14:paraId="5FF089B1" w14:textId="77777777" w:rsidR="00ED66A2" w:rsidRDefault="00000000" w:rsidP="004E59A3">
            <w:pPr>
              <w:jc w:val="center"/>
            </w:pPr>
            <w:r>
              <w:rPr>
                <w:sz w:val="20"/>
              </w:rPr>
              <w:t>8.5%</w:t>
            </w:r>
          </w:p>
        </w:tc>
        <w:tc>
          <w:tcPr>
            <w:tcW w:w="1228" w:type="dxa"/>
            <w:vAlign w:val="center"/>
          </w:tcPr>
          <w:p w14:paraId="29DF3181" w14:textId="77777777" w:rsidR="00ED66A2" w:rsidRDefault="00000000" w:rsidP="004E59A3">
            <w:pPr>
              <w:jc w:val="center"/>
            </w:pPr>
            <w:r>
              <w:rPr>
                <w:sz w:val="20"/>
              </w:rPr>
              <w:t>0.375</w:t>
            </w:r>
          </w:p>
        </w:tc>
        <w:tc>
          <w:tcPr>
            <w:tcW w:w="1535" w:type="dxa"/>
            <w:vAlign w:val="center"/>
          </w:tcPr>
          <w:p w14:paraId="727AF269" w14:textId="77777777" w:rsidR="00ED66A2" w:rsidRDefault="00000000" w:rsidP="004E59A3">
            <w:pPr>
              <w:jc w:val="center"/>
            </w:pPr>
            <w:r>
              <w:rPr>
                <w:sz w:val="20"/>
              </w:rPr>
              <w:t>-3.69%</w:t>
            </w:r>
          </w:p>
        </w:tc>
      </w:tr>
    </w:tbl>
    <w:p w14:paraId="6968C6E8" w14:textId="77777777" w:rsidR="00ED66A2" w:rsidRDefault="00ED66A2"/>
    <w:p w14:paraId="73A3ACC9" w14:textId="77777777" w:rsidR="00ED66A2" w:rsidRDefault="00000000">
      <w:pPr>
        <w:spacing w:before="120" w:after="40"/>
        <w:jc w:val="center"/>
      </w:pPr>
      <w:r>
        <w:rPr>
          <w:noProof/>
        </w:rPr>
        <w:lastRenderedPageBreak/>
        <w:drawing>
          <wp:inline distT="0" distB="0" distL="0" distR="0" wp14:anchorId="2E8C3867" wp14:editId="545C9498">
            <wp:extent cx="5303520" cy="1727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727211"/>
                    </a:xfrm>
                    <a:prstGeom prst="rect">
                      <a:avLst/>
                    </a:prstGeom>
                  </pic:spPr>
                </pic:pic>
              </a:graphicData>
            </a:graphic>
          </wp:inline>
        </w:drawing>
      </w:r>
    </w:p>
    <w:p w14:paraId="69289A8C"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55BDCCB1" w14:textId="77777777" w:rsidR="00ED66A2" w:rsidRDefault="00ED66A2" w:rsidP="00A36C97">
      <w:pPr>
        <w:spacing w:after="0"/>
      </w:pPr>
    </w:p>
    <w:p w14:paraId="6D62885A" w14:textId="77777777" w:rsidR="00ED66A2" w:rsidRDefault="00000000">
      <w:pPr>
        <w:pStyle w:val="Heading2"/>
      </w:pPr>
      <w:r>
        <w:rPr>
          <w:rFonts w:ascii="Times New Roman" w:hAnsi="Times New Roman"/>
        </w:rPr>
        <w:t>6.2. GARCH alternative versus India VIX</w:t>
      </w:r>
    </w:p>
    <w:p w14:paraId="7815CDA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77800564" w14:textId="77777777" w:rsidR="00ED66A2" w:rsidRDefault="00000000">
      <w:pPr>
        <w:spacing w:after="80" w:line="360" w:lineRule="auto"/>
        <w:ind w:firstLine="360"/>
      </w:pPr>
      <w:r>
        <w:t>The interpretation is more tentative than in the previous draft. Historical-volatility models summarize what the market has already experienced, whereas India VIX incorporates forward-looking uncertainty inferred from options prices; conceptually India VIX remains the more natural gating variable for this reason. Empirically, however, under the corrected pre-test protocol the GARCH(1,1) regime split (n = 10 High-GARCH, 80.0% accuracy) is no more statistically supported than the VIX split (n = 8, 100.0% accuracy): both non-overlapping Fisher tests return p = 1.000. We therefore cannot claim India VIX is empirically the stronger gatekeeper in this sample; the comparison is inconclusive given how few High-regime observations either variable yields under a pre-test-fixed threshold. Table 10 reports both regime splits and their intersection.</w:t>
      </w:r>
      <w:r w:rsidR="0045021F"/>
      <w:r w:rsidR="0045021F" w:rsidRPr="0045021F"/>
      <w:r w:rsidR="0045021F"/>
      <w:r w:rsidR="0045021F" w:rsidRPr="0045021F"/>
    </w:p>
    <w:p w14:paraId="055BB94E" w14:textId="77777777" w:rsidR="00ED66A2" w:rsidRPr="00127063" w:rsidRDefault="00000000" w:rsidP="00127063">
      <w:pPr>
        <w:spacing w:before="80" w:after="80"/>
        <w:jc w:val="center"/>
        <w:rPr>
          <w:iCs/>
        </w:rPr>
      </w:pPr>
      <w:r w:rsidRPr="00127063">
        <w:rPr>
          <w:iCs/>
          <w:sz w:val="20"/>
        </w:rPr>
        <w:t>Table 10. India VIX regime versus GARCH(1,1)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7B71607A" w14:textId="77777777" w:rsidTr="00127063">
        <w:trPr>
          <w:trHeight w:val="664"/>
          <w:jc w:val="center"/>
        </w:trPr>
        <w:tc>
          <w:tcPr>
            <w:tcW w:w="2622" w:type="dxa"/>
            <w:vAlign w:val="center"/>
          </w:tcPr>
          <w:p>
            <w:r>
              <w:t>Regime</w:t>
            </w:r>
          </w:p>
        </w:tc>
        <w:tc>
          <w:tcPr>
            <w:tcW w:w="874" w:type="dxa"/>
            <w:vAlign w:val="center"/>
          </w:tcPr>
          <w:p>
            <w:r>
              <w:t>n</w:t>
            </w:r>
          </w:p>
        </w:tc>
        <w:tc>
          <w:tcPr>
            <w:tcW w:w="1457" w:type="dxa"/>
            <w:vAlign w:val="center"/>
          </w:tcPr>
          <w:p>
            <w:r>
              <w:t>Accuracy</w:t>
            </w:r>
          </w:p>
        </w:tc>
        <w:tc>
          <w:tcPr>
            <w:tcW w:w="1457" w:type="dxa"/>
            <w:vAlign w:val="center"/>
          </w:tcPr>
          <w:p>
            <w:r>
              <w:t>Fisher p</w:t>
            </w:r>
          </w:p>
        </w:tc>
        <w:tc>
          <w:tcPr>
            <w:tcW w:w="1020" w:type="dxa"/>
            <w:vAlign w:val="center"/>
          </w:tcPr>
          <w:p>
            <w:r>
              <w:t>Phi (φ)</w:t>
            </w:r>
          </w:p>
        </w:tc>
        <w:tc>
          <w:tcPr>
            <w:tcW w:w="1457" w:type="dxa"/>
            <w:vAlign w:val="center"/>
          </w:tcPr>
          <w:p>
            <w:r>
              <w:t>Bonferroni pass</w:t>
            </w:r>
          </w:p>
        </w:tc>
      </w:tr>
      <w:tr w:rsidR="00ED66A2" w14:paraId="019C7DED" w14:textId="77777777" w:rsidTr="00127063">
        <w:trPr>
          <w:trHeight w:val="332"/>
          <w:jc w:val="center"/>
        </w:trPr>
        <w:tc>
          <w:tcPr>
            <w:tcW w:w="2622" w:type="dxa"/>
            <w:vAlign w:val="center"/>
          </w:tcPr>
          <w:p>
            <w:r>
              <w:t>VIX High (&gt;= 18.71)</w:t>
            </w:r>
          </w:p>
        </w:tc>
        <w:tc>
          <w:tcPr>
            <w:tcW w:w="874" w:type="dxa"/>
            <w:vAlign w:val="center"/>
          </w:tcPr>
          <w:p>
            <w:r>
              <w:t>8</w:t>
            </w:r>
          </w:p>
        </w:tc>
        <w:tc>
          <w:tcPr>
            <w:tcW w:w="1457" w:type="dxa"/>
            <w:vAlign w:val="center"/>
          </w:tcPr>
          <w:p>
            <w:r>
              <w:t>100.0%</w:t>
            </w:r>
          </w:p>
        </w:tc>
        <w:tc>
          <w:tcPr>
            <w:tcW w:w="1457" w:type="dxa"/>
            <w:vAlign w:val="center"/>
          </w:tcPr>
          <w:p>
            <w:r>
              <w:t>1.000</w:t>
            </w:r>
          </w:p>
        </w:tc>
        <w:tc>
          <w:tcPr>
            <w:tcW w:w="1020" w:type="dxa"/>
            <w:vAlign w:val="center"/>
          </w:tcPr>
          <w:p>
            <w:r>
              <w:t>N/A</w:t>
            </w:r>
          </w:p>
        </w:tc>
        <w:tc>
          <w:tcPr>
            <w:tcW w:w="1457" w:type="dxa"/>
            <w:vAlign w:val="center"/>
          </w:tcPr>
          <w:p>
            <w:r>
              <w:t>No</w:t>
            </w:r>
          </w:p>
        </w:tc>
      </w:tr>
      <w:tr w:rsidR="00ED66A2" w14:paraId="1D8E13C2" w14:textId="77777777" w:rsidTr="00127063">
        <w:trPr>
          <w:trHeight w:val="332"/>
          <w:jc w:val="center"/>
        </w:trPr>
        <w:tc>
          <w:tcPr>
            <w:tcW w:w="2622" w:type="dxa"/>
            <w:vAlign w:val="center"/>
          </w:tcPr>
          <w:p>
            <w:r>
              <w:t>VIX Low</w:t>
            </w:r>
          </w:p>
        </w:tc>
        <w:tc>
          <w:tcPr>
            <w:tcW w:w="874" w:type="dxa"/>
            <w:vAlign w:val="center"/>
          </w:tcPr>
          <w:p>
            <w:r>
              <w:t>248</w:t>
            </w:r>
          </w:p>
        </w:tc>
        <w:tc>
          <w:tcPr>
            <w:tcW w:w="1457" w:type="dxa"/>
            <w:vAlign w:val="center"/>
          </w:tcPr>
          <w:p>
            <w:r>
              <w:t>66.5%</w:t>
            </w:r>
          </w:p>
        </w:tc>
        <w:tc>
          <w:tcPr>
            <w:tcW w:w="1457" w:type="dxa"/>
            <w:vAlign w:val="center"/>
          </w:tcPr>
          <w:p>
            <w:r>
              <w:t>—</w:t>
            </w:r>
          </w:p>
        </w:tc>
        <w:tc>
          <w:tcPr>
            <w:tcW w:w="1020" w:type="dxa"/>
            <w:vAlign w:val="center"/>
          </w:tcPr>
          <w:p>
            <w:r>
              <w:t>—</w:t>
            </w:r>
          </w:p>
        </w:tc>
        <w:tc>
          <w:tcPr>
            <w:tcW w:w="1457" w:type="dxa"/>
            <w:vAlign w:val="center"/>
          </w:tcPr>
          <w:p>
            <w:r>
              <w:t>—</w:t>
            </w:r>
          </w:p>
        </w:tc>
      </w:tr>
      <w:tr w:rsidR="00ED66A2" w14:paraId="43BC8DE7" w14:textId="77777777" w:rsidTr="00127063">
        <w:trPr>
          <w:trHeight w:val="332"/>
          <w:jc w:val="center"/>
        </w:trPr>
        <w:tc>
          <w:tcPr>
            <w:tcW w:w="2622" w:type="dxa"/>
            <w:vAlign w:val="center"/>
          </w:tcPr>
          <w:p>
            <w:r>
              <w:t>GARCH High (&gt;= 1.3851, pre-test p75)</w:t>
            </w:r>
          </w:p>
        </w:tc>
        <w:tc>
          <w:tcPr>
            <w:tcW w:w="874" w:type="dxa"/>
            <w:vAlign w:val="center"/>
          </w:tcPr>
          <w:p>
            <w:r>
              <w:t>10</w:t>
            </w:r>
          </w:p>
        </w:tc>
        <w:tc>
          <w:tcPr>
            <w:tcW w:w="1457" w:type="dxa"/>
            <w:vAlign w:val="center"/>
          </w:tcPr>
          <w:p>
            <w:r>
              <w:t>80.0%</w:t>
            </w:r>
          </w:p>
        </w:tc>
        <w:tc>
          <w:tcPr>
            <w:tcW w:w="1457" w:type="dxa"/>
            <w:vAlign w:val="center"/>
          </w:tcPr>
          <w:p>
            <w:r>
              <w:t>1.000</w:t>
            </w:r>
          </w:p>
        </w:tc>
        <w:tc>
          <w:tcPr>
            <w:tcW w:w="1020" w:type="dxa"/>
            <w:vAlign w:val="center"/>
          </w:tcPr>
          <w:p>
            <w:r>
              <w:t>N/A</w:t>
            </w:r>
          </w:p>
        </w:tc>
        <w:tc>
          <w:tcPr>
            <w:tcW w:w="1457" w:type="dxa"/>
            <w:vAlign w:val="center"/>
          </w:tcPr>
          <w:p>
            <w:r>
              <w:t>No</w:t>
            </w:r>
          </w:p>
        </w:tc>
      </w:tr>
      <w:tr w:rsidR="00ED66A2" w14:paraId="64A24BDB" w14:textId="77777777" w:rsidTr="00127063">
        <w:trPr>
          <w:trHeight w:val="332"/>
          <w:jc w:val="center"/>
        </w:trPr>
        <w:tc>
          <w:tcPr>
            <w:tcW w:w="2622" w:type="dxa"/>
            <w:vAlign w:val="center"/>
          </w:tcPr>
          <w:p>
            <w:r>
              <w:t>GARCH Low</w:t>
            </w:r>
          </w:p>
        </w:tc>
        <w:tc>
          <w:tcPr>
            <w:tcW w:w="874" w:type="dxa"/>
            <w:vAlign w:val="center"/>
          </w:tcPr>
          <w:p>
            <w:r>
              <w:t>246</w:t>
            </w:r>
          </w:p>
        </w:tc>
        <w:tc>
          <w:tcPr>
            <w:tcW w:w="1457" w:type="dxa"/>
            <w:vAlign w:val="center"/>
          </w:tcPr>
          <w:p>
            <w:r>
              <w:t>67.1%</w:t>
            </w:r>
          </w:p>
        </w:tc>
        <w:tc>
          <w:tcPr>
            <w:tcW w:w="1457" w:type="dxa"/>
            <w:vAlign w:val="center"/>
          </w:tcPr>
          <w:p>
            <w:r>
              <w:t>-</w:t>
            </w:r>
          </w:p>
        </w:tc>
        <w:tc>
          <w:tcPr>
            <w:tcW w:w="1020" w:type="dxa"/>
            <w:vAlign w:val="center"/>
          </w:tcPr>
          <w:p>
            <w:r>
              <w:t>-</w:t>
            </w:r>
          </w:p>
        </w:tc>
        <w:tc>
          <w:tcPr>
            <w:tcW w:w="1457" w:type="dxa"/>
            <w:vAlign w:val="center"/>
          </w:tcPr>
          <w:p>
            <w:r>
              <w:t>-</w:t>
            </w:r>
          </w:p>
        </w:tc>
      </w:tr>
      <w:tr w:rsidR="00ED66A2" w14:paraId="282E9BCF" w14:textId="77777777" w:rsidTr="00127063">
        <w:trPr>
          <w:trHeight w:val="664"/>
          <w:jc w:val="center"/>
        </w:trPr>
        <w:tc>
          <w:tcPr>
            <w:tcW w:w="2622" w:type="dxa"/>
            <w:vAlign w:val="center"/>
          </w:tcPr>
          <w:p>
            <w:r>
              <w:t>VIX-High intersect GARCH-High</w:t>
            </w:r>
          </w:p>
        </w:tc>
        <w:tc>
          <w:tcPr>
            <w:tcW w:w="874" w:type="dxa"/>
            <w:vAlign w:val="center"/>
          </w:tcPr>
          <w:p>
            <w:r>
              <w:t>2</w:t>
            </w:r>
          </w:p>
        </w:tc>
        <w:tc>
          <w:tcPr>
            <w:tcW w:w="1457" w:type="dxa"/>
            <w:vAlign w:val="center"/>
          </w:tcPr>
          <w:p>
            <w:r>
              <w:t>100.0%</w:t>
            </w:r>
          </w:p>
        </w:tc>
        <w:tc>
          <w:tcPr>
            <w:tcW w:w="1457" w:type="dxa"/>
            <w:vAlign w:val="center"/>
          </w:tcPr>
          <w:p>
            <w:r>
              <w:t>-</w:t>
            </w:r>
          </w:p>
        </w:tc>
        <w:tc>
          <w:tcPr>
            <w:tcW w:w="1020" w:type="dxa"/>
            <w:vAlign w:val="center"/>
          </w:tcPr>
          <w:p>
            <w:r>
              <w:t>-</w:t>
            </w:r>
          </w:p>
        </w:tc>
        <w:tc>
          <w:tcPr>
            <w:tcW w:w="1457" w:type="dxa"/>
            <w:vAlign w:val="center"/>
          </w:tcPr>
          <w:p>
            <w:r>
              <w:t>-</w:t>
            </w:r>
          </w:p>
        </w:tc>
      </w:tr>
    </w:tbl>
    <w:p w14:paraId="0BF14496" w14:textId="77777777" w:rsidR="00F55BD2" w:rsidRDefault="00F55BD2"/>
    <w:p w14:paraId="1F1C1B02" w14:textId="368E4B73" w:rsidR="00ED66A2" w:rsidRDefault="00A13D22">
      <w:r>
        <w:t>Fig. 8 compares the India VIX and GARCH-based regime filters under the corrected pre-test protocol. Neither split reaches statistical significance (Fisher p = 1.000 for both), so the figure should be read as descriptive rather than as evidence that one filter dominates the other.</w:t>
      </w:r>
      <w:r w:rsidR="00A840FF"/>
      <w:r/>
      <w:r w:rsidRPr="00A13D22"/>
    </w:p>
    <w:p w14:paraId="1444E828" w14:textId="77777777" w:rsidR="00ED66A2" w:rsidRDefault="00000000">
      <w:pPr>
        <w:spacing w:before="120" w:after="40"/>
        <w:jc w:val="center"/>
      </w:pPr>
      <w:r>
        <w:rPr>
          <w:noProof/>
        </w:rPr>
        <w:lastRenderedPageBreak/>
        <w:drawing>
          <wp:inline distT="0" distB="0" distL="0" distR="0" wp14:anchorId="7EBD6880" wp14:editId="435EFC2C">
            <wp:extent cx="5303520" cy="33260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3326021"/>
                    </a:xfrm>
                    <a:prstGeom prst="rect">
                      <a:avLst/>
                    </a:prstGeom>
                  </pic:spPr>
                </pic:pic>
              </a:graphicData>
            </a:graphic>
          </wp:inline>
        </w:drawing>
      </w:r>
    </w:p>
    <w:p w14:paraId="328B0480" w14:textId="77777777" w:rsidR="00ED66A2" w:rsidRPr="00482D6F" w:rsidRDefault="00000000" w:rsidP="00482D6F">
      <w:pPr>
        <w:spacing w:before="80" w:after="80"/>
        <w:jc w:val="center"/>
        <w:rPr>
          <w:iCs/>
        </w:rPr>
      </w:pPr>
      <w:r w:rsidRPr="00482D6F">
        <w:rPr>
          <w:iCs/>
          <w:sz w:val="20"/>
        </w:rPr>
        <w:t>Fig. 8. Comparison of India VIX and GARCH-based regime filters.</w:t>
      </w:r>
    </w:p>
    <w:p w14:paraId="1A385E4C" w14:textId="77777777" w:rsidR="00ED66A2" w:rsidRDefault="00ED66A2" w:rsidP="00A36C97">
      <w:pPr>
        <w:spacing w:after="0"/>
      </w:pPr>
    </w:p>
    <w:p w14:paraId="7F863B22" w14:textId="77777777" w:rsidR="00ED66A2" w:rsidRDefault="00000000">
      <w:pPr>
        <w:pStyle w:val="Heading2"/>
      </w:pPr>
      <w:r>
        <w:rPr>
          <w:rFonts w:ascii="Times New Roman" w:hAnsi="Times New Roman"/>
        </w:rPr>
        <w:t>6.3. Bootstrap uncertainty, threshold sensitivity, and temporal concentration</w:t>
      </w:r>
    </w:p>
    <w:p w14:paraId="5B978A06"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5F96FFFD" w14:textId="77777777"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3EE777C2" w14:textId="77777777"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50EA2810" w14:textId="77777777" w:rsidR="00ED66A2" w:rsidRPr="00CE6E2B" w:rsidRDefault="00000000" w:rsidP="00CE6E2B">
      <w:pPr>
        <w:spacing w:before="80" w:after="80"/>
        <w:jc w:val="center"/>
        <w:rPr>
          <w:iCs/>
        </w:rPr>
      </w:pPr>
      <w:r w:rsidRPr="00CE6E2B">
        <w:rPr>
          <w:iCs/>
          <w:sz w:val="20"/>
        </w:rPr>
        <w:t>Table 11. Threshold sensitivity and quarterly concentration of the High-VIX subset under the corrected pre-test protocol.</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7714047B" w14:textId="77777777" w:rsidTr="00261841">
        <w:trPr>
          <w:trHeight w:val="532"/>
          <w:jc w:val="center"/>
        </w:trPr>
        <w:tc>
          <w:tcPr>
            <w:tcW w:w="2374" w:type="dxa"/>
            <w:vAlign w:val="center"/>
          </w:tcPr>
          <w:p>
            <w:r>
              <w:t>Check</w:t>
            </w:r>
          </w:p>
        </w:tc>
        <w:tc>
          <w:tcPr>
            <w:tcW w:w="1213" w:type="dxa"/>
            <w:vAlign w:val="center"/>
          </w:tcPr>
          <w:p>
            <w:r>
              <w:t>High-VIX count</w:t>
            </w:r>
          </w:p>
        </w:tc>
        <w:tc>
          <w:tcPr>
            <w:tcW w:w="1624" w:type="dxa"/>
            <w:vAlign w:val="center"/>
          </w:tcPr>
          <w:p>
            <w:r>
              <w:t>High-VIX accuracy</w:t>
            </w:r>
          </w:p>
        </w:tc>
        <w:tc>
          <w:tcPr>
            <w:tcW w:w="1501" w:type="dxa"/>
            <w:vAlign w:val="center"/>
          </w:tcPr>
          <w:p>
            <w:r>
              <w:t>Low-VIX accuracy</w:t>
            </w:r>
          </w:p>
        </w:tc>
        <w:tc>
          <w:tcPr>
            <w:tcW w:w="2922" w:type="dxa"/>
            <w:vAlign w:val="center"/>
          </w:tcPr>
          <w:p>
            <w:r>
              <w:t>Interpretation</w:t>
            </w:r>
          </w:p>
        </w:tc>
      </w:tr>
      <w:tr w:rsidR="00ED66A2" w14:paraId="5F61D61E" w14:textId="77777777" w:rsidTr="00261841">
        <w:trPr>
          <w:trHeight w:val="550"/>
          <w:jc w:val="center"/>
        </w:trPr>
        <w:tc>
          <w:tcPr>
            <w:tcW w:w="2374" w:type="dxa"/>
            <w:vAlign w:val="center"/>
          </w:tcPr>
          <w:p>
            <w:r>
              <w:t>Threshold p60 (fixed pre-test = 16.22)</w:t>
            </w:r>
          </w:p>
        </w:tc>
        <w:tc>
          <w:tcPr>
            <w:tcW w:w="1213" w:type="dxa"/>
            <w:vAlign w:val="center"/>
          </w:tcPr>
          <w:p>
            <w:r>
              <w:t>31</w:t>
            </w:r>
          </w:p>
        </w:tc>
        <w:tc>
          <w:tcPr>
            <w:tcW w:w="1624" w:type="dxa"/>
            <w:vAlign w:val="center"/>
          </w:tcPr>
          <w:p>
            <w:r>
              <w:t>96.8%</w:t>
            </w:r>
          </w:p>
        </w:tc>
        <w:tc>
          <w:tcPr>
            <w:tcW w:w="1501" w:type="dxa"/>
            <w:vAlign w:val="center"/>
          </w:tcPr>
          <w:p>
            <w:r>
              <w:t>63.6%</w:t>
            </w:r>
          </w:p>
        </w:tc>
        <w:tc>
          <w:tcPr>
            <w:tcW w:w="2922" w:type="dxa"/>
            <w:vAlign w:val="center"/>
          </w:tcPr>
          <w:p>
            <w:r>
              <w:t>Fisher p=1.000 (non-overlap); not significant, underpowered</w:t>
            </w:r>
          </w:p>
        </w:tc>
      </w:tr>
      <w:tr w:rsidR="00ED66A2" w14:paraId="69593923" w14:textId="77777777" w:rsidTr="00261841">
        <w:trPr>
          <w:trHeight w:val="532"/>
          <w:jc w:val="center"/>
        </w:trPr>
        <w:tc>
          <w:tcPr>
            <w:tcW w:w="2374" w:type="dxa"/>
            <w:vAlign w:val="center"/>
          </w:tcPr>
          <w:p>
            <w:r>
              <w:t>Threshold p65 (fixed pre-test = 16.85)</w:t>
            </w:r>
          </w:p>
        </w:tc>
        <w:tc>
          <w:tcPr>
            <w:tcW w:w="1213" w:type="dxa"/>
            <w:vAlign w:val="center"/>
          </w:tcPr>
          <w:p>
            <w:r>
              <w:t>27</w:t>
            </w:r>
          </w:p>
        </w:tc>
        <w:tc>
          <w:tcPr>
            <w:tcW w:w="1624" w:type="dxa"/>
            <w:vAlign w:val="center"/>
          </w:tcPr>
          <w:p>
            <w:r>
              <w:t>96.3%</w:t>
            </w:r>
          </w:p>
        </w:tc>
        <w:tc>
          <w:tcPr>
            <w:tcW w:w="1501" w:type="dxa"/>
            <w:vAlign w:val="center"/>
          </w:tcPr>
          <w:p>
            <w:r>
              <w:t>64.2%</w:t>
            </w:r>
          </w:p>
        </w:tc>
        <w:tc>
          <w:tcPr>
            <w:tcW w:w="2922" w:type="dxa"/>
            <w:vAlign w:val="center"/>
          </w:tcPr>
          <w:p>
            <w:r>
              <w:t>Fisher p=1.000 (non-overlap); not significant, underpowered</w:t>
            </w:r>
          </w:p>
        </w:tc>
      </w:tr>
      <w:tr w:rsidR="00ED66A2" w14:paraId="439A3989" w14:textId="77777777" w:rsidTr="00261841">
        <w:trPr>
          <w:trHeight w:val="413"/>
          <w:jc w:val="center"/>
        </w:trPr>
        <w:tc>
          <w:tcPr>
            <w:tcW w:w="2374" w:type="dxa"/>
            <w:vAlign w:val="center"/>
          </w:tcPr>
          <w:p>
            <w:r>
              <w:t>Threshold p70 (fixed pre-test = 17.77)</w:t>
            </w:r>
          </w:p>
        </w:tc>
        <w:tc>
          <w:tcPr>
            <w:tcW w:w="1213" w:type="dxa"/>
            <w:vAlign w:val="center"/>
          </w:tcPr>
          <w:p>
            <w:r>
              <w:t>16</w:t>
            </w:r>
          </w:p>
        </w:tc>
        <w:tc>
          <w:tcPr>
            <w:tcW w:w="1624" w:type="dxa"/>
            <w:vAlign w:val="center"/>
          </w:tcPr>
          <w:p>
            <w:r>
              <w:t>100.0%</w:t>
            </w:r>
          </w:p>
        </w:tc>
        <w:tc>
          <w:tcPr>
            <w:tcW w:w="1501" w:type="dxa"/>
            <w:vAlign w:val="center"/>
          </w:tcPr>
          <w:p>
            <w:r>
              <w:t>65.4%</w:t>
            </w:r>
          </w:p>
        </w:tc>
        <w:tc>
          <w:tcPr>
            <w:tcW w:w="2922" w:type="dxa"/>
            <w:vAlign w:val="center"/>
          </w:tcPr>
          <w:p>
            <w:r>
              <w:t>Too sparse for non-overlap Fisher test</w:t>
            </w:r>
          </w:p>
        </w:tc>
      </w:tr>
      <w:tr w:rsidR="00ED66A2" w14:paraId="7D5ACB42" w14:textId="77777777" w:rsidTr="00261841">
        <w:trPr>
          <w:trHeight w:val="532"/>
          <w:jc w:val="center"/>
        </w:trPr>
        <w:tc>
          <w:tcPr>
            <w:tcW w:w="2374" w:type="dxa"/>
            <w:vAlign w:val="center"/>
          </w:tcPr>
          <w:p>
            <w:r>
              <w:t>Threshold p75 (fixed pre-test = 18.71)</w:t>
            </w:r>
          </w:p>
        </w:tc>
        <w:tc>
          <w:tcPr>
            <w:tcW w:w="1213" w:type="dxa"/>
            <w:vAlign w:val="center"/>
          </w:tcPr>
          <w:p>
            <w:r>
              <w:t>8</w:t>
            </w:r>
          </w:p>
        </w:tc>
        <w:tc>
          <w:tcPr>
            <w:tcW w:w="1624" w:type="dxa"/>
            <w:vAlign w:val="center"/>
          </w:tcPr>
          <w:p>
            <w:r>
              <w:t>100.0%</w:t>
            </w:r>
          </w:p>
        </w:tc>
        <w:tc>
          <w:tcPr>
            <w:tcW w:w="1501" w:type="dxa"/>
            <w:vAlign w:val="center"/>
          </w:tcPr>
          <w:p>
            <w:r>
              <w:t>66.5%</w:t>
            </w:r>
          </w:p>
        </w:tc>
        <w:tc>
          <w:tcPr>
            <w:tcW w:w="2922" w:type="dxa"/>
            <w:vAlign w:val="center"/>
          </w:tcPr>
          <w:p>
            <w:r>
              <w:t>Main result under corrected protocol; sparse High-VIX (n=8)</w:t>
            </w:r>
          </w:p>
        </w:tc>
      </w:tr>
      <w:tr w:rsidR="00ED66A2" w14:paraId="6B9CDFD6" w14:textId="77777777" w:rsidTr="00261841">
        <w:trPr>
          <w:trHeight w:val="550"/>
          <w:jc w:val="center"/>
        </w:trPr>
        <w:tc>
          <w:tcPr>
            <w:tcW w:w="2374" w:type="dxa"/>
            <w:vAlign w:val="center"/>
          </w:tcPr>
          <w:p>
            <w:r>
              <w:t>Threshold p85 (fixed pre-test = 21.00)</w:t>
            </w:r>
          </w:p>
        </w:tc>
        <w:tc>
          <w:tcPr>
            <w:tcW w:w="1213" w:type="dxa"/>
            <w:vAlign w:val="center"/>
          </w:tcPr>
          <w:p>
            <w:r>
              <w:t>4</w:t>
            </w:r>
          </w:p>
        </w:tc>
        <w:tc>
          <w:tcPr>
            <w:tcW w:w="1624" w:type="dxa"/>
            <w:vAlign w:val="center"/>
          </w:tcPr>
          <w:p>
            <w:r>
              <w:t>100.0%</w:t>
            </w:r>
          </w:p>
        </w:tc>
        <w:tc>
          <w:tcPr>
            <w:tcW w:w="1501" w:type="dxa"/>
            <w:vAlign w:val="center"/>
          </w:tcPr>
          <w:p>
            <w:r>
              <w:t>67.1%</w:t>
            </w:r>
          </w:p>
        </w:tc>
        <w:tc>
          <w:tcPr>
            <w:tcW w:w="2922" w:type="dxa"/>
            <w:vAlign w:val="center"/>
          </w:tcPr>
          <w:p>
            <w:r>
              <w:t>Count correctly &lt;= p75 count; too sparse for inference</w:t>
            </w:r>
          </w:p>
        </w:tc>
      </w:tr>
      <w:tr w:rsidR="00ED66A2" w14:paraId="0F61B2E1" w14:textId="77777777" w:rsidTr="00261841">
        <w:trPr>
          <w:trHeight w:val="532"/>
          <w:jc w:val="center"/>
        </w:trPr>
        <w:tc>
          <w:tcPr>
            <w:tcW w:w="2374" w:type="dxa"/>
            <w:vAlign w:val="center"/>
          </w:tcPr>
          <w:p>
            <w:r>
              <w:t>2025-Q2 (fixed p75 threshold)</w:t>
            </w:r>
          </w:p>
        </w:tc>
        <w:tc>
          <w:tcPr>
            <w:tcW w:w="1213" w:type="dxa"/>
            <w:vAlign w:val="center"/>
          </w:tcPr>
          <w:p>
            <w:r>
              <w:t>8</w:t>
            </w:r>
          </w:p>
        </w:tc>
        <w:tc>
          <w:tcPr>
            <w:tcW w:w="1624" w:type="dxa"/>
            <w:vAlign w:val="center"/>
          </w:tcPr>
          <w:p>
            <w:r>
              <w:t>100.0%</w:t>
            </w:r>
          </w:p>
        </w:tc>
        <w:tc>
          <w:tcPr>
            <w:tcW w:w="1501" w:type="dxa"/>
            <w:vAlign w:val="center"/>
          </w:tcPr>
          <w:p>
            <w:r>
              <w:t>88.7%</w:t>
            </w:r>
          </w:p>
        </w:tc>
        <w:tc>
          <w:tcPr>
            <w:tcW w:w="2922" w:type="dxa"/>
            <w:vAlign w:val="center"/>
          </w:tcPr>
          <w:p>
            <w:r>
              <w:t>All 8 High-VIX test days fall in a single quarter</w:t>
            </w:r>
          </w:p>
        </w:tc>
      </w:tr>
    </w:tbl>
    <w:p w14:paraId="327E3D20" w14:textId="77777777" w:rsidR="00ED66A2" w:rsidRDefault="00ED66A2" w:rsidP="00A36C97">
      <w:pPr>
        <w:spacing w:after="0"/>
      </w:pPr>
    </w:p>
    <w:p w14:paraId="2FFBC5C6" w14:textId="7777777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68DF0BE7" w14:textId="77777777" w:rsidR="00ED66A2" w:rsidRDefault="00000000">
      <w:pPr>
        <w:spacing w:before="120" w:after="40"/>
        <w:jc w:val="center"/>
      </w:pPr>
      <w:r>
        <w:rPr>
          <w:noProof/>
        </w:rPr>
        <w:drawing>
          <wp:inline distT="0" distB="0" distL="0" distR="0" wp14:anchorId="2DFCFFA0" wp14:editId="5DE75638">
            <wp:extent cx="5303520" cy="17262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1726243"/>
                    </a:xfrm>
                    <a:prstGeom prst="rect">
                      <a:avLst/>
                    </a:prstGeom>
                  </pic:spPr>
                </pic:pic>
              </a:graphicData>
            </a:graphic>
          </wp:inline>
        </w:drawing>
      </w:r>
    </w:p>
    <w:p w14:paraId="4FD887FD" w14:textId="77777777"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40E5E467" w14:textId="77777777" w:rsidR="00ED66A2" w:rsidRDefault="00ED66A2"/>
    <w:p>
      <w:pPr>
        <w:pStyle w:val="Heading2"/>
      </w:pPr>
      <w:r>
        <w:t>6.4. Walk-forward generalizability</w:t>
      </w:r>
    </w:p>
    <w:p>
      <w:r>
        <w:t>Because the 8 High-VIX test observations are concentrated within a single episode, we additionally report an annual walk-forward analysis (Reviewer #1.3, #2.2): for each year Y, the model is trained on all data up to Y and evaluated on year Y+1, with the regime threshold recalibrated from the corresponding pre-test window at each step. This directly tests whether the High-VIX accuracy advantage is a general regime effect or an artifact of the single 2025 stress episode used in the primary evaluation.</w:t>
      </w:r>
    </w:p>
    <w:p>
      <w:r>
        <w:t>Table 12. Year-by-year walk-forward regime accuracy (XGBoost base learner, 21-day horizon; 2023 used as the validation-boundary year and excluded).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Test year</w:t>
            </w:r>
          </w:p>
        </w:tc>
        <w:tc>
          <w:tcPr>
            <w:tcW w:type="dxa" w:w="1337"/>
          </w:tcPr>
          <w:p>
            <w:r>
              <w:t>High-VIX n</w:t>
            </w:r>
          </w:p>
        </w:tc>
        <w:tc>
          <w:tcPr>
            <w:tcW w:type="dxa" w:w="1337"/>
          </w:tcPr>
          <w:p>
            <w:r>
              <w:t>Low-VIX n</w:t>
            </w:r>
          </w:p>
        </w:tc>
        <w:tc>
          <w:tcPr>
            <w:tcW w:type="dxa" w:w="1337"/>
          </w:tcPr>
          <w:p>
            <w:r>
              <w:t>High-VIX Acc</w:t>
            </w:r>
          </w:p>
        </w:tc>
        <w:tc>
          <w:tcPr>
            <w:tcW w:type="dxa" w:w="1337"/>
          </w:tcPr>
          <w:p>
            <w:r>
              <w:t>Low-VIX Acc</w:t>
            </w:r>
          </w:p>
        </w:tc>
        <w:tc>
          <w:tcPr>
            <w:tcW w:type="dxa" w:w="1337"/>
          </w:tcPr>
          <w:p>
            <w:r>
              <w:t>Diff (pp)</w:t>
            </w:r>
          </w:p>
        </w:tc>
        <w:tc>
          <w:tcPr>
            <w:tcW w:type="dxa" w:w="1337"/>
          </w:tcPr>
          <w:p>
            <w:r>
              <w:t>High &gt; Low</w:t>
            </w:r>
          </w:p>
        </w:tc>
      </w:tr>
      <w:tr>
        <w:tc>
          <w:tcPr>
            <w:tcW w:type="dxa" w:w="1337"/>
          </w:tcPr>
          <w:p>
            <w:r>
              <w:t>2019</w:t>
            </w:r>
          </w:p>
        </w:tc>
        <w:tc>
          <w:tcPr>
            <w:tcW w:type="dxa" w:w="1337"/>
          </w:tcPr>
          <w:p>
            <w:r>
              <w:t>33</w:t>
            </w:r>
          </w:p>
        </w:tc>
        <w:tc>
          <w:tcPr>
            <w:tcW w:type="dxa" w:w="1337"/>
          </w:tcPr>
          <w:p>
            <w:r>
              <w:t>209</w:t>
            </w:r>
          </w:p>
        </w:tc>
        <w:tc>
          <w:tcPr>
            <w:tcW w:type="dxa" w:w="1337"/>
          </w:tcPr>
          <w:p>
            <w:r>
              <w:t>30.3%</w:t>
            </w:r>
          </w:p>
        </w:tc>
        <w:tc>
          <w:tcPr>
            <w:tcW w:type="dxa" w:w="1337"/>
          </w:tcPr>
          <w:p>
            <w:r>
              <w:t>52.6%</w:t>
            </w:r>
          </w:p>
        </w:tc>
        <w:tc>
          <w:tcPr>
            <w:tcW w:type="dxa" w:w="1337"/>
          </w:tcPr>
          <w:p>
            <w:r>
              <w:t>-22.3</w:t>
            </w:r>
          </w:p>
        </w:tc>
        <w:tc>
          <w:tcPr>
            <w:tcW w:type="dxa" w:w="1337"/>
          </w:tcPr>
          <w:p>
            <w:r>
              <w:t>No</w:t>
            </w:r>
          </w:p>
        </w:tc>
      </w:tr>
      <w:tr>
        <w:tc>
          <w:tcPr>
            <w:tcW w:type="dxa" w:w="1337"/>
          </w:tcPr>
          <w:p>
            <w:r>
              <w:t>2020</w:t>
            </w:r>
          </w:p>
        </w:tc>
        <w:tc>
          <w:tcPr>
            <w:tcW w:type="dxa" w:w="1337"/>
          </w:tcPr>
          <w:p>
            <w:r>
              <w:t>203</w:t>
            </w:r>
          </w:p>
        </w:tc>
        <w:tc>
          <w:tcPr>
            <w:tcW w:type="dxa" w:w="1337"/>
          </w:tcPr>
          <w:p>
            <w:r>
              <w:t>46</w:t>
            </w:r>
          </w:p>
        </w:tc>
        <w:tc>
          <w:tcPr>
            <w:tcW w:type="dxa" w:w="1337"/>
          </w:tcPr>
          <w:p>
            <w:r>
              <w:t>66.0%</w:t>
            </w:r>
          </w:p>
        </w:tc>
        <w:tc>
          <w:tcPr>
            <w:tcW w:type="dxa" w:w="1337"/>
          </w:tcPr>
          <w:p>
            <w:r>
              <w:t>89.1%</w:t>
            </w:r>
          </w:p>
        </w:tc>
        <w:tc>
          <w:tcPr>
            <w:tcW w:type="dxa" w:w="1337"/>
          </w:tcPr>
          <w:p>
            <w:r>
              <w:t>-23.1</w:t>
            </w:r>
          </w:p>
        </w:tc>
        <w:tc>
          <w:tcPr>
            <w:tcW w:type="dxa" w:w="1337"/>
          </w:tcPr>
          <w:p>
            <w:r>
              <w:t>No</w:t>
            </w:r>
          </w:p>
        </w:tc>
      </w:tr>
      <w:tr>
        <w:tc>
          <w:tcPr>
            <w:tcW w:type="dxa" w:w="1337"/>
          </w:tcPr>
          <w:p>
            <w:r>
              <w:t>2021</w:t>
            </w:r>
          </w:p>
        </w:tc>
        <w:tc>
          <w:tcPr>
            <w:tcW w:type="dxa" w:w="1337"/>
          </w:tcPr>
          <w:p>
            <w:r>
              <w:t>97</w:t>
            </w:r>
          </w:p>
        </w:tc>
        <w:tc>
          <w:tcPr>
            <w:tcW w:type="dxa" w:w="1337"/>
          </w:tcPr>
          <w:p>
            <w:r>
              <w:t>141</w:t>
            </w:r>
          </w:p>
        </w:tc>
        <w:tc>
          <w:tcPr>
            <w:tcW w:type="dxa" w:w="1337"/>
          </w:tcPr>
          <w:p>
            <w:r>
              <w:t>35.1%</w:t>
            </w:r>
          </w:p>
        </w:tc>
        <w:tc>
          <w:tcPr>
            <w:tcW w:type="dxa" w:w="1337"/>
          </w:tcPr>
          <w:p>
            <w:r>
              <w:t>22.7%</w:t>
            </w:r>
          </w:p>
        </w:tc>
        <w:tc>
          <w:tcPr>
            <w:tcW w:type="dxa" w:w="1337"/>
          </w:tcPr>
          <w:p>
            <w:r>
              <w:t>+12.4</w:t>
            </w:r>
          </w:p>
        </w:tc>
        <w:tc>
          <w:tcPr>
            <w:tcW w:type="dxa" w:w="1337"/>
          </w:tcPr>
          <w:p>
            <w:r>
              <w:t>Yes</w:t>
            </w:r>
          </w:p>
        </w:tc>
      </w:tr>
      <w:tr>
        <w:tc>
          <w:tcPr>
            <w:tcW w:type="dxa" w:w="1337"/>
          </w:tcPr>
          <w:p>
            <w:r>
              <w:t>2022</w:t>
            </w:r>
          </w:p>
        </w:tc>
        <w:tc>
          <w:tcPr>
            <w:tcW w:type="dxa" w:w="1337"/>
          </w:tcPr>
          <w:p>
            <w:r>
              <w:t>132</w:t>
            </w:r>
          </w:p>
        </w:tc>
        <w:tc>
          <w:tcPr>
            <w:tcW w:type="dxa" w:w="1337"/>
          </w:tcPr>
          <w:p>
            <w:r>
              <w:t>115</w:t>
            </w:r>
          </w:p>
        </w:tc>
        <w:tc>
          <w:tcPr>
            <w:tcW w:type="dxa" w:w="1337"/>
          </w:tcPr>
          <w:p>
            <w:r>
              <w:t>43.2%</w:t>
            </w:r>
          </w:p>
        </w:tc>
        <w:tc>
          <w:tcPr>
            <w:tcW w:type="dxa" w:w="1337"/>
          </w:tcPr>
          <w:p>
            <w:r>
              <w:t>54.8%</w:t>
            </w:r>
          </w:p>
        </w:tc>
        <w:tc>
          <w:tcPr>
            <w:tcW w:type="dxa" w:w="1337"/>
          </w:tcPr>
          <w:p>
            <w:r>
              <w:t>-11.6</w:t>
            </w:r>
          </w:p>
        </w:tc>
        <w:tc>
          <w:tcPr>
            <w:tcW w:type="dxa" w:w="1337"/>
          </w:tcPr>
          <w:p>
            <w:r>
              <w:t>No</w:t>
            </w:r>
          </w:p>
        </w:tc>
      </w:tr>
      <w:tr>
        <w:tc>
          <w:tcPr>
            <w:tcW w:type="dxa" w:w="1337"/>
          </w:tcPr>
          <w:p>
            <w:r>
              <w:t>2024</w:t>
            </w:r>
          </w:p>
        </w:tc>
        <w:tc>
          <w:tcPr>
            <w:tcW w:type="dxa" w:w="1337"/>
          </w:tcPr>
          <w:p>
            <w:r>
              <w:t>19</w:t>
            </w:r>
          </w:p>
        </w:tc>
        <w:tc>
          <w:tcPr>
            <w:tcW w:type="dxa" w:w="1337"/>
          </w:tcPr>
          <w:p>
            <w:r>
              <w:t>225</w:t>
            </w:r>
          </w:p>
        </w:tc>
        <w:tc>
          <w:tcPr>
            <w:tcW w:type="dxa" w:w="1337"/>
          </w:tcPr>
          <w:p>
            <w:r>
              <w:t>10.5%</w:t>
            </w:r>
          </w:p>
        </w:tc>
        <w:tc>
          <w:tcPr>
            <w:tcW w:type="dxa" w:w="1337"/>
          </w:tcPr>
          <w:p>
            <w:r>
              <w:t>49.8%</w:t>
            </w:r>
          </w:p>
        </w:tc>
        <w:tc>
          <w:tcPr>
            <w:tcW w:type="dxa" w:w="1337"/>
          </w:tcPr>
          <w:p>
            <w:r>
              <w:t>-39.3</w:t>
            </w:r>
          </w:p>
        </w:tc>
        <w:tc>
          <w:tcPr>
            <w:tcW w:type="dxa" w:w="1337"/>
          </w:tcPr>
          <w:p>
            <w:r>
              <w:t>No</w:t>
            </w:r>
          </w:p>
        </w:tc>
      </w:tr>
      <w:tr>
        <w:tc>
          <w:tcPr>
            <w:tcW w:type="dxa" w:w="1337"/>
          </w:tcPr>
          <w:p>
            <w:r>
              <w:t>2025</w:t>
            </w:r>
          </w:p>
        </w:tc>
        <w:tc>
          <w:tcPr>
            <w:tcW w:type="dxa" w:w="1337"/>
          </w:tcPr>
          <w:p>
            <w:r>
              <w:t>8</w:t>
            </w:r>
          </w:p>
        </w:tc>
        <w:tc>
          <w:tcPr>
            <w:tcW w:type="dxa" w:w="1337"/>
          </w:tcPr>
          <w:p>
            <w:r>
              <w:t>239</w:t>
            </w:r>
          </w:p>
        </w:tc>
        <w:tc>
          <w:tcPr>
            <w:tcW w:type="dxa" w:w="1337"/>
          </w:tcPr>
          <w:p>
            <w:r>
              <w:t>12.5%</w:t>
            </w:r>
          </w:p>
        </w:tc>
        <w:tc>
          <w:tcPr>
            <w:tcW w:type="dxa" w:w="1337"/>
          </w:tcPr>
          <w:p>
            <w:r>
              <w:t>43.9%</w:t>
            </w:r>
          </w:p>
        </w:tc>
        <w:tc>
          <w:tcPr>
            <w:tcW w:type="dxa" w:w="1337"/>
          </w:tcPr>
          <w:p>
            <w:r>
              <w:t>-31.4</w:t>
            </w:r>
          </w:p>
        </w:tc>
        <w:tc>
          <w:tcPr>
            <w:tcW w:type="dxa" w:w="1337"/>
          </w:tcPr>
          <w:p>
            <w:r>
              <w:t>No</w:t>
            </w:r>
          </w:p>
        </w:tc>
      </w:tr>
    </w:tbl>
    <w:p/>
    <w:p>
      <w:r>
        <w:drawing>
          <wp:inline xmlns:a="http://schemas.openxmlformats.org/drawingml/2006/main" xmlns:pic="http://schemas.openxmlformats.org/drawingml/2006/picture">
            <wp:extent cx="5303520" cy="2612448"/>
            <wp:docPr id="529019809" name="Picture 529019809"/>
            <wp:cNvGraphicFramePr>
              <a:graphicFrameLocks noChangeAspect="1"/>
            </wp:cNvGraphicFramePr>
            <a:graphic>
              <a:graphicData uri="http://schemas.openxmlformats.org/drawingml/2006/picture">
                <pic:pic>
                  <pic:nvPicPr>
                    <pic:cNvPr id="0" name="R05_walkforward_regime_accuracy.png"/>
                    <pic:cNvPicPr/>
                  </pic:nvPicPr>
                  <pic:blipFill>
                    <a:blip r:embed="rId22"/>
                    <a:stretch>
                      <a:fillRect/>
                    </a:stretch>
                  </pic:blipFill>
                  <pic:spPr>
                    <a:xfrm>
                      <a:off x="0" y="0"/>
                      <a:ext cx="5303520" cy="2612448"/>
                    </a:xfrm>
                    <a:prstGeom prst="rect"/>
                  </pic:spPr>
                </pic:pic>
              </a:graphicData>
            </a:graphic>
          </wp:inline>
        </w:drawing>
      </w:r>
    </w:p>
    <w:p>
      <w:r>
        <w:t>Fig. 12. Walk-forward regime accuracy by test year (High-VIX vs Low-VIX, 21-day horizon).</w:t>
      </w:r>
    </w:p>
    <w:p>
      <w:r>
        <w:t>The walk-forward result is the most direct test of generalizability available in this study, and it does not support a general High-VIX advantage: across six independently evaluated years, High-VIX accuracy exceeds Low-VIX accuracy in only one year (2021), and underperforms it by 11-39 percentage points in the other five. This is consistent with the primary test-period finding being concentrated in, and potentially specific to, the 2025 stress episode rather than reflecting a stable regime-conditional relationship. We regard this as the single most important robustness result in the paper: it directly tempers the primary 100.0% vs 66.5% finding and is the main reason we present the regime effect as a conditional, sample-specific pattern rather than a general predictive-skill result.</w:t>
      </w:r>
    </w:p>
    <w:p w14:paraId="4E78280C" w14:textId="77777777" w:rsidR="00ED66A2" w:rsidRDefault="00000000">
      <w:pPr>
        <w:pStyle w:val="Heading2"/>
      </w:pPr>
      <w:r>
        <w:rPr>
          <w:rFonts w:ascii="Times New Roman" w:hAnsi="Times New Roman"/>
        </w:rPr>
        <w:t>6.5. Cross-pipeline replication</w:t>
      </w:r>
    </w:p>
    <w:p w14:paraId="72A52C06" w14:textId="77777777"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4596CFF3" w14:textId="77777777" w:rsidR="00ED66A2" w:rsidRDefault="00000000">
      <w:pPr>
        <w:spacing w:after="80" w:line="360" w:lineRule="auto"/>
        <w:ind w:firstLine="360"/>
      </w:pPr>
      <w:r>
        <w:t>On inspection, the available secondary pipeline (P1) does not provide a clean independent replication: its regime threshold was calibrated from the test-period VIX distribution rather than a pre-test window -- the same look-ahead-bias pattern this revision corrects for the primary pipeline -- and different snapshots of its regime split in the underlying project are mutually inconsistent in both sample window and High-VIX count. We therefore do not report a cross-pipeline replication result in this revision. A properly leakage-safe replication -- an independently trained pipeline with its own pre-test-fixed threshold -- is left as a concrete next step (Section 7).</w:t>
      </w:r>
    </w:p>
    <w:p w14:paraId="45B47B2A" w14:textId="77777777" w:rsidR="00F90DE7" w:rsidRDefault="00F90DE7">
      <w:pPr>
        <w:spacing w:after="80" w:line="360" w:lineRule="auto"/>
        <w:ind w:firstLine="360"/>
      </w:pPr>
    </w:p>
    <w:p w14:paraId="04B38F87" w14:textId="77777777" w:rsidR="00ED66A2" w:rsidRPr="00BB04E7" w:rsidRDefault="00000000" w:rsidP="00BB04E7">
      <w:pPr>
        <w:spacing w:before="80" w:after="80"/>
        <w:jc w:val="center"/>
        <w:rPr>
          <w:iCs/>
        </w:rPr>
      </w:pPr>
      <w:r w:rsidRPr="00BB04E7">
        <w:rPr>
          <w:iCs/>
          <w:sz w:val="20"/>
        </w:rPr>
        <w:t>Cross-pipeline replication figure omitted in this revision: the only available secondary pipeline (P1) uses a look-ahead-biased, test-period-derived regime threshold and is not a valid leakage-safe comparison (see Section 6.4).</w:t>
      </w:r>
    </w:p>
    <w:p w14:paraId="7795EA22" w14:textId="77777777" w:rsidR="00ED66A2" w:rsidRDefault="00ED66A2"/>
    <w:p>
      <w:pPr>
        <w:pStyle w:val="Heading2"/>
      </w:pPr>
      <w:r>
        <w:t>6.6. Ablation study</w:t>
      </w:r>
    </w:p>
    <w:p>
      <w:r>
        <w:t>To assess whether the ensemble's complexity is justified (Reviewer #3.4), we evaluate each base learner individually and two partial-stack configurations (trees-only, i.e. XGBoost+LightGBM+Random Forest+CatBoost without the BiLSTM; and the full five-model stack) under the identical corrected regime split. High-VIX accuracy is not informative for this comparison because the subset (n=8) is single-class and dominated by whichever configuration happens to predict Up on all eight days; the Low-VIX (n=228) and Overall (n=236) columns are the meaningful comparison.</w:t>
      </w:r>
    </w:p>
    <w:p>
      <w:r>
        <w:t>Table 13. Ablation study: accuracy by model configuration and regime (21-day horizon).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Configuration</w:t>
            </w:r>
          </w:p>
        </w:tc>
        <w:tc>
          <w:tcPr>
            <w:tcW w:type="dxa" w:w="2340"/>
          </w:tcPr>
          <w:p>
            <w:r>
              <w:t>High-VIX Acc (n=8)</w:t>
            </w:r>
          </w:p>
        </w:tc>
        <w:tc>
          <w:tcPr>
            <w:tcW w:type="dxa" w:w="2340"/>
          </w:tcPr>
          <w:p>
            <w:r>
              <w:t>Low-VIX Acc (n=228)</w:t>
            </w:r>
          </w:p>
        </w:tc>
        <w:tc>
          <w:tcPr>
            <w:tcW w:type="dxa" w:w="2340"/>
          </w:tcPr>
          <w:p>
            <w:r>
              <w:t>Overall Acc (n=236)</w:t>
            </w:r>
          </w:p>
        </w:tc>
      </w:tr>
      <w:tr>
        <w:tc>
          <w:tcPr>
            <w:tcW w:type="dxa" w:w="2340"/>
          </w:tcPr>
          <w:p>
            <w:r>
              <w:t>XGBoost only</w:t>
            </w:r>
          </w:p>
        </w:tc>
        <w:tc>
          <w:tcPr>
            <w:tcW w:type="dxa" w:w="2340"/>
          </w:tcPr>
          <w:p>
            <w:r>
              <w:t>0.0%</w:t>
            </w:r>
          </w:p>
        </w:tc>
        <w:tc>
          <w:tcPr>
            <w:tcW w:type="dxa" w:w="2340"/>
          </w:tcPr>
          <w:p>
            <w:r>
              <w:t>45.2%</w:t>
            </w:r>
          </w:p>
        </w:tc>
        <w:tc>
          <w:tcPr>
            <w:tcW w:type="dxa" w:w="2340"/>
          </w:tcPr>
          <w:p>
            <w:r>
              <w:t>43.6%</w:t>
            </w:r>
          </w:p>
        </w:tc>
      </w:tr>
      <w:tr>
        <w:tc>
          <w:tcPr>
            <w:tcW w:type="dxa" w:w="2340"/>
          </w:tcPr>
          <w:p>
            <w:r>
              <w:t>LightGBM only</w:t>
            </w:r>
          </w:p>
        </w:tc>
        <w:tc>
          <w:tcPr>
            <w:tcW w:type="dxa" w:w="2340"/>
          </w:tcPr>
          <w:p>
            <w:r>
              <w:t>0.0%</w:t>
            </w:r>
          </w:p>
        </w:tc>
        <w:tc>
          <w:tcPr>
            <w:tcW w:type="dxa" w:w="2340"/>
          </w:tcPr>
          <w:p>
            <w:r>
              <w:t>48.7%</w:t>
            </w:r>
          </w:p>
        </w:tc>
        <w:tc>
          <w:tcPr>
            <w:tcW w:type="dxa" w:w="2340"/>
          </w:tcPr>
          <w:p>
            <w:r>
              <w:t>47.0%</w:t>
            </w:r>
          </w:p>
        </w:tc>
      </w:tr>
      <w:tr>
        <w:tc>
          <w:tcPr>
            <w:tcW w:type="dxa" w:w="2340"/>
          </w:tcPr>
          <w:p>
            <w:r>
              <w:t>Random Forest only</w:t>
            </w:r>
          </w:p>
        </w:tc>
        <w:tc>
          <w:tcPr>
            <w:tcW w:type="dxa" w:w="2340"/>
          </w:tcPr>
          <w:p>
            <w:r>
              <w:t>62.5%</w:t>
            </w:r>
          </w:p>
        </w:tc>
        <w:tc>
          <w:tcPr>
            <w:tcW w:type="dxa" w:w="2340"/>
          </w:tcPr>
          <w:p>
            <w:r>
              <w:t>48.7%</w:t>
            </w:r>
          </w:p>
        </w:tc>
        <w:tc>
          <w:tcPr>
            <w:tcW w:type="dxa" w:w="2340"/>
          </w:tcPr>
          <w:p>
            <w:r>
              <w:t>49.2%</w:t>
            </w:r>
          </w:p>
        </w:tc>
      </w:tr>
      <w:tr>
        <w:tc>
          <w:tcPr>
            <w:tcW w:type="dxa" w:w="2340"/>
          </w:tcPr>
          <w:p>
            <w:r>
              <w:t>CatBoost only</w:t>
            </w:r>
          </w:p>
        </w:tc>
        <w:tc>
          <w:tcPr>
            <w:tcW w:type="dxa" w:w="2340"/>
          </w:tcPr>
          <w:p>
            <w:r>
              <w:t>0.0%</w:t>
            </w:r>
          </w:p>
        </w:tc>
        <w:tc>
          <w:tcPr>
            <w:tcW w:type="dxa" w:w="2340"/>
          </w:tcPr>
          <w:p>
            <w:r>
              <w:t>49.6%</w:t>
            </w:r>
          </w:p>
        </w:tc>
        <w:tc>
          <w:tcPr>
            <w:tcW w:type="dxa" w:w="2340"/>
          </w:tcPr>
          <w:p>
            <w:r>
              <w:t>47.9%</w:t>
            </w:r>
          </w:p>
        </w:tc>
      </w:tr>
      <w:tr>
        <w:tc>
          <w:tcPr>
            <w:tcW w:type="dxa" w:w="2340"/>
          </w:tcPr>
          <w:p>
            <w:r>
              <w:t>BiLSTM+Attention only</w:t>
            </w:r>
          </w:p>
        </w:tc>
        <w:tc>
          <w:tcPr>
            <w:tcW w:type="dxa" w:w="2340"/>
          </w:tcPr>
          <w:p>
            <w:r>
              <w:t>0.0%</w:t>
            </w:r>
          </w:p>
        </w:tc>
        <w:tc>
          <w:tcPr>
            <w:tcW w:type="dxa" w:w="2340"/>
          </w:tcPr>
          <w:p>
            <w:r>
              <w:t>51.8%</w:t>
            </w:r>
          </w:p>
        </w:tc>
        <w:tc>
          <w:tcPr>
            <w:tcW w:type="dxa" w:w="2340"/>
          </w:tcPr>
          <w:p>
            <w:r>
              <w:t>50.0%</w:t>
            </w:r>
          </w:p>
        </w:tc>
      </w:tr>
      <w:tr>
        <w:tc>
          <w:tcPr>
            <w:tcW w:type="dxa" w:w="2340"/>
          </w:tcPr>
          <w:p>
            <w:r>
              <w:t>BiLSTM (no attention)</w:t>
            </w:r>
          </w:p>
        </w:tc>
        <w:tc>
          <w:tcPr>
            <w:tcW w:type="dxa" w:w="2340"/>
          </w:tcPr>
          <w:p>
            <w:r>
              <w:t>0.0%</w:t>
            </w:r>
          </w:p>
        </w:tc>
        <w:tc>
          <w:tcPr>
            <w:tcW w:type="dxa" w:w="2340"/>
          </w:tcPr>
          <w:p>
            <w:r>
              <w:t>55.3%</w:t>
            </w:r>
          </w:p>
        </w:tc>
        <w:tc>
          <w:tcPr>
            <w:tcW w:type="dxa" w:w="2340"/>
          </w:tcPr>
          <w:p>
            <w:r>
              <w:t>53.4%</w:t>
            </w:r>
          </w:p>
        </w:tc>
      </w:tr>
      <w:tr>
        <w:tc>
          <w:tcPr>
            <w:tcW w:type="dxa" w:w="2340"/>
          </w:tcPr>
          <w:p>
            <w:r>
              <w:t>Stack (trees only, no BiLSTM)</w:t>
            </w:r>
          </w:p>
        </w:tc>
        <w:tc>
          <w:tcPr>
            <w:tcW w:type="dxa" w:w="2340"/>
          </w:tcPr>
          <w:p>
            <w:r>
              <w:t>100.0%</w:t>
            </w:r>
          </w:p>
        </w:tc>
        <w:tc>
          <w:tcPr>
            <w:tcW w:type="dxa" w:w="2340"/>
          </w:tcPr>
          <w:p>
            <w:r>
              <w:t>66.7%</w:t>
            </w:r>
          </w:p>
        </w:tc>
        <w:tc>
          <w:tcPr>
            <w:tcW w:type="dxa" w:w="2340"/>
          </w:tcPr>
          <w:p>
            <w:r>
              <w:t>67.8%</w:t>
            </w:r>
          </w:p>
        </w:tc>
      </w:tr>
      <w:tr>
        <w:tc>
          <w:tcPr>
            <w:tcW w:type="dxa" w:w="2340"/>
          </w:tcPr>
          <w:p>
            <w:r>
              <w:t>Stack (full, all 5 learners)</w:t>
            </w:r>
          </w:p>
        </w:tc>
        <w:tc>
          <w:tcPr>
            <w:tcW w:type="dxa" w:w="2340"/>
          </w:tcPr>
          <w:p>
            <w:r>
              <w:t>100.0%</w:t>
            </w:r>
          </w:p>
        </w:tc>
        <w:tc>
          <w:tcPr>
            <w:tcW w:type="dxa" w:w="2340"/>
          </w:tcPr>
          <w:p>
            <w:r>
              <w:t>64.9%</w:t>
            </w:r>
          </w:p>
        </w:tc>
        <w:tc>
          <w:tcPr>
            <w:tcW w:type="dxa" w:w="2340"/>
          </w:tcPr>
          <w:p>
            <w:r>
              <w:t>66.1%</w:t>
            </w:r>
          </w:p>
        </w:tc>
      </w:tr>
    </w:tbl>
    <w:p/>
    <w:p>
      <w:r>
        <w:drawing>
          <wp:inline xmlns:a="http://schemas.openxmlformats.org/drawingml/2006/main" xmlns:pic="http://schemas.openxmlformats.org/drawingml/2006/picture">
            <wp:extent cx="5303520" cy="2610688"/>
            <wp:docPr id="529019810" name="Picture 529019810"/>
            <wp:cNvGraphicFramePr>
              <a:graphicFrameLocks noChangeAspect="1"/>
            </wp:cNvGraphicFramePr>
            <a:graphic>
              <a:graphicData uri="http://schemas.openxmlformats.org/drawingml/2006/picture">
                <pic:pic>
                  <pic:nvPicPr>
                    <pic:cNvPr id="0" name="R08_ablation_accuracy.png"/>
                    <pic:cNvPicPr/>
                  </pic:nvPicPr>
                  <pic:blipFill>
                    <a:blip r:embed="rId23"/>
                    <a:stretch>
                      <a:fillRect/>
                    </a:stretch>
                  </pic:blipFill>
                  <pic:spPr>
                    <a:xfrm>
                      <a:off x="0" y="0"/>
                      <a:ext cx="5303520" cy="2610688"/>
                    </a:xfrm>
                    <a:prstGeom prst="rect"/>
                  </pic:spPr>
                </pic:pic>
              </a:graphicData>
            </a:graphic>
          </wp:inline>
        </w:drawing>
      </w:r>
    </w:p>
    <w:p>
      <w:r>
        <w:t>Fig. 13. Ablation study: High-VIX accuracy by configuration. Not informative on its own (n=8, single class) -- see Table 13 for the Low-VIX and Overall columns, which are the meaningful comparison for this ablation.</w:t>
      </w:r>
    </w:p>
    <w:p>
      <w:r>
        <w:t>Two findings stand out. First, every individual base learner performs at or below the Low-VIX majority baseline (70.2%), while both stacked configurations exceed it (66.7% and 64.9% are still below 70.2% in absolute terms, but both substantially outperform every single base learner) -- stacking clearly adds value over any individual model, consistent with the motivation for using an ensemble. Second, and less expected, the full five-model stack including the BiLSTM with self-attention slightly underperforms the trees-only stack on both Low-VIX (64.9% vs 66.7%) and Overall (66.1% vs 67.8%) accuracy. This does not support a claim that the self-attention BiLSTM component adds predictive value in this sample; if anything, it introduces mild additional noise into the meta-learner's combination. We report this transparently rather than omit it: it qualifies the architectural framing in Section 3.3 and suggests that a simpler trees-only stack would be a reasonable, and slightly stronger, alternative to the full five-model architecture used here.</w:t>
      </w:r>
    </w:p>
    <w:p w14:paraId="4D440E1E" w14:textId="77777777" w:rsidR="00ED66A2" w:rsidRDefault="00000000">
      <w:pPr>
        <w:pStyle w:val="Heading1"/>
      </w:pPr>
      <w:r>
        <w:rPr>
          <w:rFonts w:ascii="Times New Roman" w:hAnsi="Times New Roman"/>
        </w:rPr>
        <w:t>7. Discussion and Decision-Support Implications</w:t>
      </w:r>
    </w:p>
    <w:p w14:paraId="46DE60CD" w14:textId="77777777" w:rsidR="00ED66A2" w:rsidRDefault="00000000">
      <w:pPr>
        <w:spacing w:after="80" w:line="360" w:lineRule="auto"/>
        <w:ind w:firstLine="360"/>
      </w:pPr>
      <w:r>
        <w:t>The empirical pattern is more nuanced than a simple economic narrative would suggest. Regime-specific SHAP analysis (Section 5.4) shows that Bollinger-band and moving-average features (bb_upper, macd_signal, ema20, macd) become relatively more important in the High-VIX subset, but ATR-14 and Bollinger width -- the two features most directly built to measure realized dispersion -- become markedly *less* important in High-VIX than in Low-VIX. This rules out a simple story in which volatility-sensitive features uniformly encode more signal when volatility is elevated. A more cautious reading is that the feature-importance profile does shift between regimes, but which features gain and lose importance is feature-specific and, given the High-VIX subset has only eight observations, this shift itself should be treated as suggestive rather than established.</w:t>
      </w:r>
    </w:p>
    <w:p w14:paraId="5C347263" w14:textId="77777777" w:rsidR="00ED66A2" w:rsidRDefault="00000000">
      <w:pPr>
        <w:spacing w:after="80" w:line="360" w:lineRule="auto"/>
        <w:ind w:firstLine="360"/>
      </w:pPr>
      <w:r>
        <w:t>This interpretation is complicated by the 1-day and 5-day results (Section 5.1, Table 7). The 1-day horizon shows no regime gap, consistent with a "noise dominates at short horizons" story. The 5-day horizon, however, shows a nominally larger High-VIX accuracy gap than even the 21-day headline result (100.0% vs 55.2%, uncorrected Fisher p=0.011) on the same eight High-VIX test days. We do not read this as evidence that a genuine effect exists at 5-day and not at 21-day, or vice versa; with only eight shared High-VIX observations across all three horizons and no independent block-bootstrap or walk-forward validation for 1-day/5-day, the more honest reading is that all three horizon-conditional results are heavily influenced by the same small, single-episode sample, and none of them should be treated as horizon-specific mechanistic evidence. This further supports the paper's overall conclusion (Section 6.4) that the primary finding does not generalize reliably beyond the evaluated episode.</w:t>
      </w:r>
    </w:p>
    <w:p w14:paraId="6315189A" w14:textId="77777777"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B5DC794"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17BE475E" w14:textId="77777777" w:rsidR="00ED66A2" w:rsidRDefault="00000000">
      <w:pPr>
        <w:pStyle w:val="Heading1"/>
      </w:pPr>
      <w:r>
        <w:rPr>
          <w:rFonts w:ascii="Times New Roman" w:hAnsi="Times New Roman"/>
        </w:rPr>
        <w:t>8. Conclusion</w:t>
      </w:r>
    </w:p>
    <w:p w14:paraId="79C4A960" w14:textId="77777777" w:rsidR="00ED66A2" w:rsidRDefault="00000000">
      <w:pPr>
        <w:spacing w:after="80" w:line="360" w:lineRule="auto"/>
        <w:ind w:firstLine="360"/>
      </w:pPr>
      <w:r>
        <w:t>This paper began as a study of India-VIX-conditional Bank Nifty predictability and, after correcting split leakage, threshold look-ahead bias, and overlapping-observation dependence, became a demonstration of how those two errors alone produced the original positive result. Under the corrected protocol, the High-VIX subset is small (n=8) and class-concentrated, the accuracy gap is not statistically significant, and a year-by-year walk-forward analysis shows the gap holds in only one of six independently evaluated years. Conditional separation remains observable in the primary sample, but the totality of evidence does not support treating it as an established, generalizable regime effect.</w:t>
      </w:r>
    </w:p>
    <w:p w14:paraId="08A2CBFA"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6877F249" w14:textId="77777777"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5C96CAC3"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1FED786D" w14:textId="77777777"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7431C26A" w14:textId="77777777" w:rsidR="00ED66A2" w:rsidRPr="0077482E" w:rsidRDefault="00000000">
      <w:pPr>
        <w:pStyle w:val="Heading1"/>
        <w:rPr>
          <w:sz w:val="24"/>
          <w:szCs w:val="24"/>
        </w:rPr>
      </w:pPr>
      <w:r w:rsidRPr="0077482E">
        <w:rPr>
          <w:rFonts w:ascii="Times New Roman" w:hAnsi="Times New Roman"/>
          <w:sz w:val="24"/>
          <w:szCs w:val="24"/>
        </w:rPr>
        <w:lastRenderedPageBreak/>
        <w:t>Data availability</w:t>
      </w:r>
    </w:p>
    <w:p w14:paraId="33FC4E06" w14:textId="41C1F4D6" w:rsidR="00ED66A2" w:rsidRDefault="008A7842" w:rsidP="0077482E">
      <w:pPr>
        <w:spacing w:after="80" w:line="240" w:lineRule="auto"/>
      </w:pPr>
      <w:r w:rsidRPr="008A7842">
        <w:t>Bank Nifty OHLCV and India VIX daily data are publicly available from the National Stock Exchange of India (NSE). Bank Nifty (NIFTY BANK) historical OHLCV data can be accessed at https://www.nseindia.com/reports-indices-historical-index-data and India VIX historical data can be accessed at https://www.nseindia.com/reports-indices-historical-vix. Both datasets are available for free download in CSV format without registration</w:t>
      </w:r>
      <w:r w:rsidR="00000000">
        <w:t>.</w:t>
      </w:r>
    </w:p>
    <w:p w14:paraId="714A1D36" w14:textId="77777777" w:rsidR="00ED66A2" w:rsidRPr="0077482E" w:rsidRDefault="00000000">
      <w:pPr>
        <w:pStyle w:val="Heading1"/>
        <w:rPr>
          <w:sz w:val="24"/>
          <w:szCs w:val="24"/>
        </w:rPr>
      </w:pPr>
      <w:r w:rsidRPr="0077482E">
        <w:rPr>
          <w:rFonts w:ascii="Times New Roman" w:hAnsi="Times New Roman"/>
          <w:sz w:val="24"/>
          <w:szCs w:val="24"/>
        </w:rPr>
        <w:t>Funding</w:t>
      </w:r>
    </w:p>
    <w:p w14:paraId="434F8313" w14:textId="77777777" w:rsidR="00ED66A2" w:rsidRDefault="00000000" w:rsidP="0077482E">
      <w:pPr>
        <w:spacing w:after="80" w:line="240" w:lineRule="auto"/>
      </w:pPr>
      <w:r>
        <w:t>This research did not receive any specific grant from funding agencies in the public, commercial, or not-for-profit sectors.</w:t>
      </w:r>
    </w:p>
    <w:p w14:paraId="5C643D74" w14:textId="77777777" w:rsidR="00ED66A2" w:rsidRDefault="00000000">
      <w:pPr>
        <w:pStyle w:val="Heading1"/>
        <w:rPr>
          <w:rFonts w:ascii="Times New Roman" w:hAnsi="Times New Roman"/>
        </w:rPr>
      </w:pPr>
      <w:r>
        <w:rPr>
          <w:rFonts w:ascii="Times New Roman" w:hAnsi="Times New Roman"/>
        </w:rPr>
        <w:t>References</w:t>
      </w:r>
    </w:p>
    <w:p w14:paraId="2E65A61D" w14:textId="02D0105F" w:rsidR="00F46651" w:rsidRPr="00F46651" w:rsidRDefault="0026350A" w:rsidP="00F46651">
      <w:pPr>
        <w:widowControl w:val="0"/>
        <w:autoSpaceDE w:val="0"/>
        <w:autoSpaceDN w:val="0"/>
        <w:adjustRightInd w:val="0"/>
        <w:spacing w:line="240" w:lineRule="auto"/>
        <w:ind w:left="480" w:hanging="480"/>
        <w:rPr>
          <w:rFonts w:cs="Times New Roman"/>
          <w:noProof/>
        </w:rPr>
      </w:pPr>
      <w:r>
        <w:fldChar w:fldCharType="begin" w:fldLock="1"/>
      </w:r>
      <w:r>
        <w:instrText xml:space="preserve">ADDIN Mendeley Bibliography CSL_BIBLIOGRAPHY </w:instrText>
      </w:r>
      <w:r>
        <w:fldChar w:fldCharType="separate"/>
      </w:r>
      <w:r w:rsidR="00F46651" w:rsidRPr="00F46651">
        <w:rPr>
          <w:rFonts w:cs="Times New Roman"/>
          <w:noProof/>
        </w:rPr>
        <w:t xml:space="preserve">Ang, A., &amp; Bekaert, G. (2002). Regime switches in interest rates. </w:t>
      </w:r>
      <w:r w:rsidR="00F46651" w:rsidRPr="00F46651">
        <w:rPr>
          <w:rFonts w:cs="Times New Roman"/>
          <w:i/>
          <w:iCs/>
          <w:noProof/>
        </w:rPr>
        <w:t>Journal of Business and Economic Statistics</w:t>
      </w:r>
      <w:r w:rsidR="00F46651" w:rsidRPr="00F46651">
        <w:rPr>
          <w:rFonts w:cs="Times New Roman"/>
          <w:noProof/>
        </w:rPr>
        <w:t xml:space="preserve">, </w:t>
      </w:r>
      <w:r w:rsidR="00F46651" w:rsidRPr="00F46651">
        <w:rPr>
          <w:rFonts w:cs="Times New Roman"/>
          <w:i/>
          <w:iCs/>
          <w:noProof/>
        </w:rPr>
        <w:t>20</w:t>
      </w:r>
      <w:r w:rsidR="00F46651" w:rsidRPr="00F46651">
        <w:rPr>
          <w:rFonts w:cs="Times New Roman"/>
          <w:noProof/>
        </w:rPr>
        <w:t>(2), 163–182. https://doi.org/10.1198/073500102317351930</w:t>
      </w:r>
    </w:p>
    <w:p w14:paraId="0CA2739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Baker, M., &amp; Wurgler, J. (2007). Investor Sentiment in the Stock Market. </w:t>
      </w:r>
      <w:r w:rsidRPr="00F46651">
        <w:rPr>
          <w:rFonts w:cs="Times New Roman"/>
          <w:i/>
          <w:iCs/>
          <w:noProof/>
        </w:rPr>
        <w:t>Journal of Economic Perspectives</w:t>
      </w:r>
      <w:r w:rsidRPr="00F46651">
        <w:rPr>
          <w:rFonts w:cs="Times New Roman"/>
          <w:noProof/>
        </w:rPr>
        <w:t xml:space="preserve">, </w:t>
      </w:r>
      <w:r w:rsidRPr="00F46651">
        <w:rPr>
          <w:rFonts w:cs="Times New Roman"/>
          <w:i/>
          <w:iCs/>
          <w:noProof/>
        </w:rPr>
        <w:t>21</w:t>
      </w:r>
      <w:r w:rsidRPr="00F46651">
        <w:rPr>
          <w:rFonts w:cs="Times New Roman"/>
          <w:noProof/>
        </w:rPr>
        <w:t>(2), 129–151. https://doi.org/10.1257/jep.21.2.129</w:t>
      </w:r>
    </w:p>
    <w:p w14:paraId="4F382AA9"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Ballings, M., Van Den Poel, D., Hespeels, N., &amp; Gryp, R. (2015). Evaluating multiple classifiers for stock price direction prediction.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42</w:t>
      </w:r>
      <w:r w:rsidRPr="00F46651">
        <w:rPr>
          <w:rFonts w:cs="Times New Roman"/>
          <w:noProof/>
        </w:rPr>
        <w:t>(20), 7046–7056. https://doi.org/10.1016/j.eswa.2015.05.013</w:t>
      </w:r>
    </w:p>
    <w:p w14:paraId="38C97CF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Cavalcante, R. C., Brasileiro, R. C., Souza, V. L. F., Nobrega, J. P., &amp; Oliveira, A. L. I. (2016). Computational Intelligence and Financial Markets: A Survey and Future Directions.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55</w:t>
      </w:r>
      <w:r w:rsidRPr="00F46651">
        <w:rPr>
          <w:rFonts w:cs="Times New Roman"/>
          <w:noProof/>
        </w:rPr>
        <w:t>, 194–211. https://doi.org/10.1016/j.eswa.2016.02.006</w:t>
      </w:r>
    </w:p>
    <w:p w14:paraId="24CB2ACE"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Chong, E., Han, C., &amp; Park, F. C. (2017). Deep learning networks for stock market analysis and prediction: Methodology, data representations, and case studies.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83</w:t>
      </w:r>
      <w:r w:rsidRPr="00F46651">
        <w:rPr>
          <w:rFonts w:cs="Times New Roman"/>
          <w:noProof/>
        </w:rPr>
        <w:t>, 187–205. https://doi.org/10.1016/j.eswa.2017.04.030</w:t>
      </w:r>
    </w:p>
    <w:p w14:paraId="2135E0FA"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Du, L., Shi, X., Fu, Q., Ma, X., Liu, H., Han, S., &amp; Zhang, D. (2022). GBK-GNN: Gated Bi-Kernel Graph Neural Networks for Modeling Both Homophily and Heterophily. In </w:t>
      </w:r>
      <w:r w:rsidRPr="00F46651">
        <w:rPr>
          <w:rFonts w:cs="Times New Roman"/>
          <w:i/>
          <w:iCs/>
          <w:noProof/>
        </w:rPr>
        <w:t>WWW 2022 - Proceedings of the ACM Web Conference 2022</w:t>
      </w:r>
      <w:r w:rsidRPr="00F46651">
        <w:rPr>
          <w:rFonts w:cs="Times New Roman"/>
          <w:noProof/>
        </w:rPr>
        <w:t xml:space="preserve"> (Vol. 1, Number 1). Association for Computing Machinery. https://doi.org/10.1145/3485447.3512201</w:t>
      </w:r>
    </w:p>
    <w:p w14:paraId="2B049CE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Fama, E. F. (1970). Efficient Capital Markets: A Review Of Theory And Empirical Work. </w:t>
      </w:r>
      <w:r w:rsidRPr="00F46651">
        <w:rPr>
          <w:rFonts w:cs="Times New Roman"/>
          <w:i/>
          <w:iCs/>
          <w:noProof/>
        </w:rPr>
        <w:t>The Journal of Finance</w:t>
      </w:r>
      <w:r w:rsidRPr="00F46651">
        <w:rPr>
          <w:rFonts w:cs="Times New Roman"/>
          <w:noProof/>
        </w:rPr>
        <w:t xml:space="preserve">, </w:t>
      </w:r>
      <w:r w:rsidRPr="00F46651">
        <w:rPr>
          <w:rFonts w:cs="Times New Roman"/>
          <w:i/>
          <w:iCs/>
          <w:noProof/>
        </w:rPr>
        <w:t>25</w:t>
      </w:r>
      <w:r w:rsidRPr="00F46651">
        <w:rPr>
          <w:rFonts w:cs="Times New Roman"/>
          <w:noProof/>
        </w:rPr>
        <w:t>(2), 383–417. https://doi.org/https://doi.org/10.2307/2325486</w:t>
      </w:r>
    </w:p>
    <w:p w14:paraId="6B033735"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Fama, E. F. (1991). Efficient Capital Markets: II. </w:t>
      </w:r>
      <w:r w:rsidRPr="00F46651">
        <w:rPr>
          <w:rFonts w:cs="Times New Roman"/>
          <w:i/>
          <w:iCs/>
          <w:noProof/>
        </w:rPr>
        <w:t>The Journal of Finance</w:t>
      </w:r>
      <w:r w:rsidRPr="00F46651">
        <w:rPr>
          <w:rFonts w:cs="Times New Roman"/>
          <w:noProof/>
        </w:rPr>
        <w:t xml:space="preserve">, </w:t>
      </w:r>
      <w:r w:rsidRPr="00F46651">
        <w:rPr>
          <w:rFonts w:cs="Times New Roman"/>
          <w:i/>
          <w:iCs/>
          <w:noProof/>
        </w:rPr>
        <w:t>46</w:t>
      </w:r>
      <w:r w:rsidRPr="00F46651">
        <w:rPr>
          <w:rFonts w:cs="Times New Roman"/>
          <w:noProof/>
        </w:rPr>
        <w:t>(5), 1575. https://doi.org/https://doi.org/10.1111/j.1540-6261.1991.tb04636.x</w:t>
      </w:r>
    </w:p>
    <w:p w14:paraId="7569D36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Fischer, T., &amp; Krauss, C. (2018). Deep learning with long short-term memory networks for financial market predictions. </w:t>
      </w:r>
      <w:r w:rsidRPr="00F46651">
        <w:rPr>
          <w:rFonts w:cs="Times New Roman"/>
          <w:i/>
          <w:iCs/>
          <w:noProof/>
        </w:rPr>
        <w:t>European Journal of Operational Research</w:t>
      </w:r>
      <w:r w:rsidRPr="00F46651">
        <w:rPr>
          <w:rFonts w:cs="Times New Roman"/>
          <w:noProof/>
        </w:rPr>
        <w:t xml:space="preserve">, </w:t>
      </w:r>
      <w:r w:rsidRPr="00F46651">
        <w:rPr>
          <w:rFonts w:cs="Times New Roman"/>
          <w:i/>
          <w:iCs/>
          <w:noProof/>
        </w:rPr>
        <w:t>270</w:t>
      </w:r>
      <w:r w:rsidRPr="00F46651">
        <w:rPr>
          <w:rFonts w:cs="Times New Roman"/>
          <w:noProof/>
        </w:rPr>
        <w:t>(2), 654–669. https://doi.org/10.1016/j.ejor.2017.11.054</w:t>
      </w:r>
    </w:p>
    <w:p w14:paraId="77E1017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Chen, D., Wen, L., &amp; Zhang, S. (2024). Addressing imbalance in graph datasets: Introducing GATE-GNN with graph ensemble weight attention and transfer learning for </w:t>
      </w:r>
      <w:r w:rsidRPr="00F46651">
        <w:rPr>
          <w:rFonts w:cs="Times New Roman"/>
          <w:noProof/>
        </w:rPr>
        <w:lastRenderedPageBreak/>
        <w:t xml:space="preserve">enhanced node classification.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255</w:t>
      </w:r>
      <w:r w:rsidRPr="00F46651">
        <w:rPr>
          <w:rFonts w:cs="Times New Roman"/>
          <w:noProof/>
        </w:rPr>
        <w:t>(PB), 124602. https://doi.org/10.1016/j.eswa.2024.124602</w:t>
      </w:r>
    </w:p>
    <w:p w14:paraId="0E014E34"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&amp; Leigh, A. O. (2025). EATSA-GNN: Edge-Aware and Two-Stage attention for enhancing graph neural networks based on teacher–student mechanisms for graph node classification. </w:t>
      </w:r>
      <w:r w:rsidRPr="00F46651">
        <w:rPr>
          <w:rFonts w:cs="Times New Roman"/>
          <w:i/>
          <w:iCs/>
          <w:noProof/>
        </w:rPr>
        <w:t>Neurocomputing</w:t>
      </w:r>
      <w:r w:rsidRPr="00F46651">
        <w:rPr>
          <w:rFonts w:cs="Times New Roman"/>
          <w:noProof/>
        </w:rPr>
        <w:t xml:space="preserve">, </w:t>
      </w:r>
      <w:r w:rsidRPr="00F46651">
        <w:rPr>
          <w:rFonts w:cs="Times New Roman"/>
          <w:i/>
          <w:iCs/>
          <w:noProof/>
        </w:rPr>
        <w:t>612</w:t>
      </w:r>
      <w:r w:rsidRPr="00F46651">
        <w:rPr>
          <w:rFonts w:cs="Times New Roman"/>
          <w:noProof/>
        </w:rPr>
        <w:t>(May 2024), 128686. https://doi.org/10.1016/j.neucom.2024.128686</w:t>
      </w:r>
    </w:p>
    <w:p w14:paraId="6321E7F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Fofanah, A. J., Wen, L., &amp; Chen, D. (2026). PIMPC-GNN: Physics-Informed Multiphase Consensus Learning for Enhancing Imbalanced Node Classification in Graph Neural Networks. </w:t>
      </w:r>
      <w:r w:rsidRPr="00F46651">
        <w:rPr>
          <w:rFonts w:cs="Times New Roman"/>
          <w:i/>
          <w:iCs/>
          <w:noProof/>
        </w:rPr>
        <w:t>IEEE Transactions on Neural Networks and Learning Systems</w:t>
      </w:r>
      <w:r w:rsidRPr="00F46651">
        <w:rPr>
          <w:rFonts w:cs="Times New Roman"/>
          <w:noProof/>
        </w:rPr>
        <w:t>, (October), 1–15. https://doi.org/10.1109/TNNLS.2026.3709308</w:t>
      </w:r>
    </w:p>
    <w:p w14:paraId="26CE09F0"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Gandhmal, D. P., &amp; Kumar, K. (2019). Systematic analysis and review of stock market prediction techniques. </w:t>
      </w:r>
      <w:r w:rsidRPr="00F46651">
        <w:rPr>
          <w:rFonts w:cs="Times New Roman"/>
          <w:i/>
          <w:iCs/>
          <w:noProof/>
        </w:rPr>
        <w:t>Computer Science Review</w:t>
      </w:r>
      <w:r w:rsidRPr="00F46651">
        <w:rPr>
          <w:rFonts w:cs="Times New Roman"/>
          <w:noProof/>
        </w:rPr>
        <w:t xml:space="preserve">, </w:t>
      </w:r>
      <w:r w:rsidRPr="00F46651">
        <w:rPr>
          <w:rFonts w:cs="Times New Roman"/>
          <w:i/>
          <w:iCs/>
          <w:noProof/>
        </w:rPr>
        <w:t>34</w:t>
      </w:r>
      <w:r w:rsidRPr="00F46651">
        <w:rPr>
          <w:rFonts w:cs="Times New Roman"/>
          <w:noProof/>
        </w:rPr>
        <w:t>, 100190. https://doi.org/10.1016/j.cosrev.2019.08.001</w:t>
      </w:r>
    </w:p>
    <w:p w14:paraId="49601008"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Giot, P. (2005). Relationships Between Implied Volatility Indexes and Stock Index Returns. </w:t>
      </w:r>
      <w:r w:rsidRPr="00F46651">
        <w:rPr>
          <w:rFonts w:cs="Times New Roman"/>
          <w:i/>
          <w:iCs/>
          <w:noProof/>
        </w:rPr>
        <w:t>The Journal of Portfolio Management</w:t>
      </w:r>
      <w:r w:rsidRPr="00F46651">
        <w:rPr>
          <w:rFonts w:cs="Times New Roman"/>
          <w:noProof/>
        </w:rPr>
        <w:t xml:space="preserve">, </w:t>
      </w:r>
      <w:r w:rsidRPr="00F46651">
        <w:rPr>
          <w:rFonts w:cs="Times New Roman"/>
          <w:i/>
          <w:iCs/>
          <w:noProof/>
        </w:rPr>
        <w:t>Spring 200</w:t>
      </w:r>
      <w:r w:rsidRPr="00F46651">
        <w:rPr>
          <w:rFonts w:cs="Times New Roman"/>
          <w:noProof/>
        </w:rPr>
        <w:t>, 92–100. https://doi.org/https://doi.org/10.3905/jpm.2005.500363</w:t>
      </w:r>
    </w:p>
    <w:p w14:paraId="0553E691"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Hamilton, J. D. (1989). A New Approach to the Economic Analysis of Nonstationary Time Series and the Business Cycle. </w:t>
      </w:r>
      <w:r w:rsidRPr="00F46651">
        <w:rPr>
          <w:rFonts w:cs="Times New Roman"/>
          <w:i/>
          <w:iCs/>
          <w:noProof/>
        </w:rPr>
        <w:t>Econometrica</w:t>
      </w:r>
      <w:r w:rsidRPr="00F46651">
        <w:rPr>
          <w:rFonts w:cs="Times New Roman"/>
          <w:noProof/>
        </w:rPr>
        <w:t xml:space="preserve">, </w:t>
      </w:r>
      <w:r w:rsidRPr="00F46651">
        <w:rPr>
          <w:rFonts w:cs="Times New Roman"/>
          <w:i/>
          <w:iCs/>
          <w:noProof/>
        </w:rPr>
        <w:t>57</w:t>
      </w:r>
      <w:r w:rsidRPr="00F46651">
        <w:rPr>
          <w:rFonts w:cs="Times New Roman"/>
          <w:noProof/>
        </w:rPr>
        <w:t>(2), 357–384. https://doi.org/https://doi.org/10.2307/1912559</w:t>
      </w:r>
    </w:p>
    <w:p w14:paraId="7EC0EC1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Henrique, B. M., Sobreiro, V. A., &amp; Kimura, H. (2019). Literature review: Machine learning techniques applied to financial market prediction.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124</w:t>
      </w:r>
      <w:r w:rsidRPr="00F46651">
        <w:rPr>
          <w:rFonts w:cs="Times New Roman"/>
          <w:noProof/>
        </w:rPr>
        <w:t>, 226–251. https://doi.org/10.1016/j.eswa.2019.01.012</w:t>
      </w:r>
    </w:p>
    <w:p w14:paraId="4A2F1184"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Hiransha, M., Gopalakrishnan, E. A., Menon, V. K., &amp; Soman, K. P. (2018). NSE Stock Market Prediction Using Deep-Learning Models. </w:t>
      </w:r>
      <w:r w:rsidRPr="00F46651">
        <w:rPr>
          <w:rFonts w:cs="Times New Roman"/>
          <w:i/>
          <w:iCs/>
          <w:noProof/>
        </w:rPr>
        <w:t>Procedia Computer Science</w:t>
      </w:r>
      <w:r w:rsidRPr="00F46651">
        <w:rPr>
          <w:rFonts w:cs="Times New Roman"/>
          <w:noProof/>
        </w:rPr>
        <w:t xml:space="preserve">, </w:t>
      </w:r>
      <w:r w:rsidRPr="00F46651">
        <w:rPr>
          <w:rFonts w:cs="Times New Roman"/>
          <w:i/>
          <w:iCs/>
          <w:noProof/>
        </w:rPr>
        <w:t>132</w:t>
      </w:r>
      <w:r w:rsidRPr="00F46651">
        <w:rPr>
          <w:rFonts w:cs="Times New Roman"/>
          <w:noProof/>
        </w:rPr>
        <w:t>(Iccids), 1351–1362. https://doi.org/10.1016/j.procs.2018.05.050</w:t>
      </w:r>
    </w:p>
    <w:p w14:paraId="0ABFCDE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Huang, W., Nakamori, Y., &amp; Wang, S. Y. (2005). Forecasting stock market movement direction with support vector machine. </w:t>
      </w:r>
      <w:r w:rsidRPr="00F46651">
        <w:rPr>
          <w:rFonts w:cs="Times New Roman"/>
          <w:i/>
          <w:iCs/>
          <w:noProof/>
        </w:rPr>
        <w:t>Computers and Operations Research</w:t>
      </w:r>
      <w:r w:rsidRPr="00F46651">
        <w:rPr>
          <w:rFonts w:cs="Times New Roman"/>
          <w:noProof/>
        </w:rPr>
        <w:t xml:space="preserve">, </w:t>
      </w:r>
      <w:r w:rsidRPr="00F46651">
        <w:rPr>
          <w:rFonts w:cs="Times New Roman"/>
          <w:i/>
          <w:iCs/>
          <w:noProof/>
        </w:rPr>
        <w:t>32</w:t>
      </w:r>
      <w:r w:rsidRPr="00F46651">
        <w:rPr>
          <w:rFonts w:cs="Times New Roman"/>
          <w:noProof/>
        </w:rPr>
        <w:t>(10), 2513–2522. https://doi.org/10.1016/j.cor.2004.03.016</w:t>
      </w:r>
    </w:p>
    <w:p w14:paraId="7B4A94F7"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Jiang, W. (2021). Applications of deep learning in stock market prediction: Recent progress.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184</w:t>
      </w:r>
      <w:r w:rsidRPr="00F46651">
        <w:rPr>
          <w:rFonts w:cs="Times New Roman"/>
          <w:noProof/>
        </w:rPr>
        <w:t>(March 2020), 115537. https://doi.org/10.1016/j.eswa.2021.115537</w:t>
      </w:r>
    </w:p>
    <w:p w14:paraId="7741D29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Krauss, C., Do, X. A., &amp; Huck, N. (2017). Deep neural networks, gradient-boosted trees, random forests: Statistical arbitrage on the S&amp;P 500. </w:t>
      </w:r>
      <w:r w:rsidRPr="00F46651">
        <w:rPr>
          <w:rFonts w:cs="Times New Roman"/>
          <w:i/>
          <w:iCs/>
          <w:noProof/>
        </w:rPr>
        <w:t>European Journal of Operational Research</w:t>
      </w:r>
      <w:r w:rsidRPr="00F46651">
        <w:rPr>
          <w:rFonts w:cs="Times New Roman"/>
          <w:noProof/>
        </w:rPr>
        <w:t xml:space="preserve">, </w:t>
      </w:r>
      <w:r w:rsidRPr="00F46651">
        <w:rPr>
          <w:rFonts w:cs="Times New Roman"/>
          <w:i/>
          <w:iCs/>
          <w:noProof/>
        </w:rPr>
        <w:t>259</w:t>
      </w:r>
      <w:r w:rsidRPr="00F46651">
        <w:rPr>
          <w:rFonts w:cs="Times New Roman"/>
          <w:noProof/>
        </w:rPr>
        <w:t>(2), 689–702. https://doi.org/10.1016/j.ejor.2016.10.031</w:t>
      </w:r>
    </w:p>
    <w:p w14:paraId="33381B35"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Lo, A. W. (2004). The adaptive markets hypothesis. </w:t>
      </w:r>
      <w:r w:rsidRPr="00F46651">
        <w:rPr>
          <w:rFonts w:cs="Times New Roman"/>
          <w:i/>
          <w:iCs/>
          <w:noProof/>
        </w:rPr>
        <w:t>Journal of Portfolio Management</w:t>
      </w:r>
      <w:r w:rsidRPr="00F46651">
        <w:rPr>
          <w:rFonts w:cs="Times New Roman"/>
          <w:noProof/>
        </w:rPr>
        <w:t xml:space="preserve">, </w:t>
      </w:r>
      <w:r w:rsidRPr="00F46651">
        <w:rPr>
          <w:rFonts w:cs="Times New Roman"/>
          <w:i/>
          <w:iCs/>
          <w:noProof/>
        </w:rPr>
        <w:t>30</w:t>
      </w:r>
      <w:r w:rsidRPr="00F46651">
        <w:rPr>
          <w:rFonts w:cs="Times New Roman"/>
          <w:noProof/>
        </w:rPr>
        <w:t>(SUPPL.), 15–29. https://doi.org/10.3905/jpm.2004.442611</w:t>
      </w:r>
    </w:p>
    <w:p w14:paraId="0A7896F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Lundberg, S. M., &amp; Lee, S. . (2017). A unified approach to interpreting model predictions. </w:t>
      </w:r>
      <w:r w:rsidRPr="00F46651">
        <w:rPr>
          <w:rFonts w:cs="Times New Roman"/>
          <w:i/>
          <w:iCs/>
          <w:noProof/>
        </w:rPr>
        <w:t>31st Conference on Neural Information Processing Systems (NIPS 2017), Long Beach, CA, USA</w:t>
      </w:r>
      <w:r w:rsidRPr="00F46651">
        <w:rPr>
          <w:rFonts w:cs="Times New Roman"/>
          <w:noProof/>
        </w:rPr>
        <w:t xml:space="preserve">, </w:t>
      </w:r>
      <w:r w:rsidRPr="00F46651">
        <w:rPr>
          <w:rFonts w:cs="Times New Roman"/>
          <w:noProof/>
        </w:rPr>
        <w:lastRenderedPageBreak/>
        <w:t>1–10. https://doi.org/https://dl.acm.org/doi/abs/10.5555/3295222.3295230</w:t>
      </w:r>
    </w:p>
    <w:p w14:paraId="4F43A1D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Nayak, A., Pai, M. M. M., &amp; Pai, R. M. (2016). Prediction Models for Indian Stock Market. </w:t>
      </w:r>
      <w:r w:rsidRPr="00F46651">
        <w:rPr>
          <w:rFonts w:cs="Times New Roman"/>
          <w:i/>
          <w:iCs/>
          <w:noProof/>
        </w:rPr>
        <w:t>Procedia Computer Science</w:t>
      </w:r>
      <w:r w:rsidRPr="00F46651">
        <w:rPr>
          <w:rFonts w:cs="Times New Roman"/>
          <w:noProof/>
        </w:rPr>
        <w:t xml:space="preserve">, </w:t>
      </w:r>
      <w:r w:rsidRPr="00F46651">
        <w:rPr>
          <w:rFonts w:cs="Times New Roman"/>
          <w:i/>
          <w:iCs/>
          <w:noProof/>
        </w:rPr>
        <w:t>89</w:t>
      </w:r>
      <w:r w:rsidRPr="00F46651">
        <w:rPr>
          <w:rFonts w:cs="Times New Roman"/>
          <w:noProof/>
        </w:rPr>
        <w:t>, 441–449. https://doi.org/10.1016/j.procs.2016.06.096</w:t>
      </w:r>
    </w:p>
    <w:p w14:paraId="70A3E24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NSE. (2008). </w:t>
      </w:r>
      <w:r w:rsidRPr="00F46651">
        <w:rPr>
          <w:rFonts w:cs="Times New Roman"/>
          <w:i/>
          <w:iCs/>
          <w:noProof/>
        </w:rPr>
        <w:t>India VIX: A Volatility Index Based on the Nifty 50 Index Option Prices. National Stock Exchange of India white paper</w:t>
      </w:r>
      <w:r w:rsidRPr="00F46651">
        <w:rPr>
          <w:rFonts w:cs="Times New Roman"/>
          <w:noProof/>
        </w:rPr>
        <w:t>. NSE, India. https://nsearchives.nseindia.com/web/sites/default/files/inline-files/white_paper_IndiaVIX.pdf</w:t>
      </w:r>
    </w:p>
    <w:p w14:paraId="5A2DD58D"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Patel, J., Shah, S., Thakkar, P., &amp; Kotecha, K. (2015). Predicting stock and stock price index movement using Trend Deterministic Data Preparation and machine learning techniques. </w:t>
      </w:r>
      <w:r w:rsidRPr="00F46651">
        <w:rPr>
          <w:rFonts w:cs="Times New Roman"/>
          <w:i/>
          <w:iCs/>
          <w:noProof/>
        </w:rPr>
        <w:t>Expert Systems with Applications</w:t>
      </w:r>
      <w:r w:rsidRPr="00F46651">
        <w:rPr>
          <w:rFonts w:cs="Times New Roman"/>
          <w:noProof/>
        </w:rPr>
        <w:t xml:space="preserve">, </w:t>
      </w:r>
      <w:r w:rsidRPr="00F46651">
        <w:rPr>
          <w:rFonts w:cs="Times New Roman"/>
          <w:i/>
          <w:iCs/>
          <w:noProof/>
        </w:rPr>
        <w:t>42</w:t>
      </w:r>
      <w:r w:rsidRPr="00F46651">
        <w:rPr>
          <w:rFonts w:cs="Times New Roman"/>
          <w:noProof/>
        </w:rPr>
        <w:t>(1), 259–268. https://doi.org/10.1016/j.eswa.2014.07.040</w:t>
      </w:r>
    </w:p>
    <w:p w14:paraId="2B666EF2"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Prokhorenkova, L., Gusev, G., Vorobev, A., Dorogush, A. V., &amp; Gulin, A. (2018). Catboost: Unbiased boosting with categorical features. </w:t>
      </w:r>
      <w:r w:rsidRPr="00F46651">
        <w:rPr>
          <w:rFonts w:cs="Times New Roman"/>
          <w:i/>
          <w:iCs/>
          <w:noProof/>
        </w:rPr>
        <w:t>Advances in Neural Information Processing Systems</w:t>
      </w:r>
      <w:r w:rsidRPr="00F46651">
        <w:rPr>
          <w:rFonts w:cs="Times New Roman"/>
          <w:noProof/>
        </w:rPr>
        <w:t xml:space="preserve">, </w:t>
      </w:r>
      <w:r w:rsidRPr="00F46651">
        <w:rPr>
          <w:rFonts w:cs="Times New Roman"/>
          <w:i/>
          <w:iCs/>
          <w:noProof/>
        </w:rPr>
        <w:t>2018</w:t>
      </w:r>
      <w:r w:rsidRPr="00F46651">
        <w:rPr>
          <w:rFonts w:cs="Times New Roman"/>
          <w:noProof/>
        </w:rPr>
        <w:t>-</w:t>
      </w:r>
      <w:r w:rsidRPr="00F46651">
        <w:rPr>
          <w:rFonts w:cs="Times New Roman"/>
          <w:i/>
          <w:iCs/>
          <w:noProof/>
        </w:rPr>
        <w:t>Decem</w:t>
      </w:r>
      <w:r w:rsidRPr="00F46651">
        <w:rPr>
          <w:rFonts w:cs="Times New Roman"/>
          <w:noProof/>
        </w:rPr>
        <w:t>(Section 4), 6638–6648. https://doi.org/https://doi.org/10.48550/arXiv.1706.09516</w:t>
      </w:r>
    </w:p>
    <w:p w14:paraId="13BB02E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SCHWERT, G. W. (1989). Why Does Stock Market Volatility Change Over Time? </w:t>
      </w:r>
      <w:r w:rsidRPr="00F46651">
        <w:rPr>
          <w:rFonts w:cs="Times New Roman"/>
          <w:i/>
          <w:iCs/>
          <w:noProof/>
        </w:rPr>
        <w:t>The Journal of Finance</w:t>
      </w:r>
      <w:r w:rsidRPr="00F46651">
        <w:rPr>
          <w:rFonts w:cs="Times New Roman"/>
          <w:noProof/>
        </w:rPr>
        <w:t xml:space="preserve">, </w:t>
      </w:r>
      <w:r w:rsidRPr="00F46651">
        <w:rPr>
          <w:rFonts w:cs="Times New Roman"/>
          <w:i/>
          <w:iCs/>
          <w:noProof/>
        </w:rPr>
        <w:t>44</w:t>
      </w:r>
      <w:r w:rsidRPr="00F46651">
        <w:rPr>
          <w:rFonts w:cs="Times New Roman"/>
          <w:noProof/>
        </w:rPr>
        <w:t>(5), 1115–1153. https://doi.org/10.1111/j.1540-6261.1989.tb02647.x</w:t>
      </w:r>
    </w:p>
    <w:p w14:paraId="086AE1E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Sezer, O. B., Gudelek, M. U., &amp; Ozbayoglu, A. M. (2020). Financial time series forecasting with deep learning: A systematic literature review: 2005–2019. </w:t>
      </w:r>
      <w:r w:rsidRPr="00F46651">
        <w:rPr>
          <w:rFonts w:cs="Times New Roman"/>
          <w:i/>
          <w:iCs/>
          <w:noProof/>
        </w:rPr>
        <w:t>Applied Soft Computing Journal</w:t>
      </w:r>
      <w:r w:rsidRPr="00F46651">
        <w:rPr>
          <w:rFonts w:cs="Times New Roman"/>
          <w:noProof/>
        </w:rPr>
        <w:t xml:space="preserve">, </w:t>
      </w:r>
      <w:r w:rsidRPr="00F46651">
        <w:rPr>
          <w:rFonts w:cs="Times New Roman"/>
          <w:i/>
          <w:iCs/>
          <w:noProof/>
        </w:rPr>
        <w:t>90</w:t>
      </w:r>
      <w:r w:rsidRPr="00F46651">
        <w:rPr>
          <w:rFonts w:cs="Times New Roman"/>
          <w:noProof/>
        </w:rPr>
        <w:t>, 106181. https://doi.org/10.1016/j.asoc.2020.106181</w:t>
      </w:r>
    </w:p>
    <w:p w14:paraId="07687B03"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Shah, D., Isah, H., &amp; Zulkernine, F. (2019). Stock market analysis: A review and taxonomy of prediction techniques. </w:t>
      </w:r>
      <w:r w:rsidRPr="00F46651">
        <w:rPr>
          <w:rFonts w:cs="Times New Roman"/>
          <w:i/>
          <w:iCs/>
          <w:noProof/>
        </w:rPr>
        <w:t>International Journal of Financial Studies</w:t>
      </w:r>
      <w:r w:rsidRPr="00F46651">
        <w:rPr>
          <w:rFonts w:cs="Times New Roman"/>
          <w:noProof/>
        </w:rPr>
        <w:t xml:space="preserve">, </w:t>
      </w:r>
      <w:r w:rsidRPr="00F46651">
        <w:rPr>
          <w:rFonts w:cs="Times New Roman"/>
          <w:i/>
          <w:iCs/>
          <w:noProof/>
        </w:rPr>
        <w:t>7</w:t>
      </w:r>
      <w:r w:rsidRPr="00F46651">
        <w:rPr>
          <w:rFonts w:cs="Times New Roman"/>
          <w:noProof/>
        </w:rPr>
        <w:t>(2). https://doi.org/10.3390/ijfs7020026</w:t>
      </w:r>
    </w:p>
    <w:p w14:paraId="4E43E8BF"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Spyros Makridakis, Evangelos Spiliotis, &amp; Vassilios Assimakopoulos. (2018). Statistical and Machine Learning forecasting methods: Concerns and ways forward. </w:t>
      </w:r>
      <w:r w:rsidRPr="00F46651">
        <w:rPr>
          <w:rFonts w:cs="Times New Roman"/>
          <w:i/>
          <w:iCs/>
          <w:noProof/>
        </w:rPr>
        <w:t>PLoS ONE</w:t>
      </w:r>
      <w:r w:rsidRPr="00F46651">
        <w:rPr>
          <w:rFonts w:cs="Times New Roman"/>
          <w:noProof/>
        </w:rPr>
        <w:t xml:space="preserve">, </w:t>
      </w:r>
      <w:r w:rsidRPr="00F46651">
        <w:rPr>
          <w:rFonts w:cs="Times New Roman"/>
          <w:i/>
          <w:iCs/>
          <w:noProof/>
        </w:rPr>
        <w:t>13</w:t>
      </w:r>
      <w:r w:rsidRPr="00F46651">
        <w:rPr>
          <w:rFonts w:cs="Times New Roman"/>
          <w:noProof/>
        </w:rPr>
        <w:t>(3), 1–26. https://doi.org/https://doi.org/ 10.1371/journal.pone.0194889</w:t>
      </w:r>
    </w:p>
    <w:p w14:paraId="1E44CC3E"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Vaswani, A., Shazeer, N., Parmar, N., Uszkoreit, J., Jones, L., Gomez, A. N., Kaiser, L., &amp; Polosukhin, I. (2017). Attention Is All You Need. </w:t>
      </w:r>
      <w:r w:rsidRPr="00F46651">
        <w:rPr>
          <w:rFonts w:cs="Times New Roman"/>
          <w:i/>
          <w:iCs/>
          <w:noProof/>
        </w:rPr>
        <w:t>31st Conference on Neural Information Processing Systems (NIPS 2017)</w:t>
      </w:r>
      <w:r w:rsidRPr="00F46651">
        <w:rPr>
          <w:rFonts w:cs="Times New Roman"/>
          <w:noProof/>
        </w:rPr>
        <w:t>, 1–11. https://doi.org/https://dl.acm.org/doi/10.5555/3295222.3295349</w:t>
      </w:r>
    </w:p>
    <w:p w14:paraId="505C2CBB"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Whaley, R. E. (2000). The investor fear gauge. </w:t>
      </w:r>
      <w:r w:rsidRPr="00F46651">
        <w:rPr>
          <w:rFonts w:cs="Times New Roman"/>
          <w:i/>
          <w:iCs/>
          <w:noProof/>
        </w:rPr>
        <w:t>Journal of Portfolio Management</w:t>
      </w:r>
      <w:r w:rsidRPr="00F46651">
        <w:rPr>
          <w:rFonts w:cs="Times New Roman"/>
          <w:noProof/>
        </w:rPr>
        <w:t>, 12–17. https://doi.org/https://doi.org/10.3905/jpm.2000.319728</w:t>
      </w:r>
    </w:p>
    <w:p w14:paraId="7B2CE356" w14:textId="77777777" w:rsidR="00F46651" w:rsidRPr="00F46651" w:rsidRDefault="00F46651" w:rsidP="00F46651">
      <w:pPr>
        <w:widowControl w:val="0"/>
        <w:autoSpaceDE w:val="0"/>
        <w:autoSpaceDN w:val="0"/>
        <w:adjustRightInd w:val="0"/>
        <w:spacing w:line="240" w:lineRule="auto"/>
        <w:ind w:left="480" w:hanging="480"/>
        <w:rPr>
          <w:rFonts w:cs="Times New Roman"/>
          <w:noProof/>
        </w:rPr>
      </w:pPr>
      <w:r w:rsidRPr="00F46651">
        <w:rPr>
          <w:rFonts w:cs="Times New Roman"/>
          <w:noProof/>
        </w:rPr>
        <w:t xml:space="preserve">Wolpert, D. H. (1992). Stacked generalization. </w:t>
      </w:r>
      <w:r w:rsidRPr="00F46651">
        <w:rPr>
          <w:rFonts w:cs="Times New Roman"/>
          <w:i/>
          <w:iCs/>
          <w:noProof/>
        </w:rPr>
        <w:t>Neural Networks</w:t>
      </w:r>
      <w:r w:rsidRPr="00F46651">
        <w:rPr>
          <w:rFonts w:cs="Times New Roman"/>
          <w:noProof/>
        </w:rPr>
        <w:t xml:space="preserve">, </w:t>
      </w:r>
      <w:r w:rsidRPr="00F46651">
        <w:rPr>
          <w:rFonts w:cs="Times New Roman"/>
          <w:i/>
          <w:iCs/>
          <w:noProof/>
        </w:rPr>
        <w:t>5</w:t>
      </w:r>
      <w:r w:rsidRPr="00F46651">
        <w:rPr>
          <w:rFonts w:cs="Times New Roman"/>
          <w:noProof/>
        </w:rPr>
        <w:t>(2), 241–259. https://doi.org/10.1016/S0893-6080(05)80023-1</w:t>
      </w:r>
    </w:p>
    <w:p w14:paraId="711DE892" w14:textId="77777777" w:rsidR="0026350A" w:rsidRPr="0026350A" w:rsidRDefault="0026350A" w:rsidP="0026350A">
      <w:r>
        <w:fldChar w:fldCharType="end"/>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C22E" w14:textId="77777777" w:rsidR="00A27E57" w:rsidRDefault="00A27E57" w:rsidP="00A36C97">
      <w:pPr>
        <w:spacing w:after="0" w:line="240" w:lineRule="auto"/>
      </w:pPr>
      <w:r>
        <w:separator/>
      </w:r>
    </w:p>
  </w:endnote>
  <w:endnote w:type="continuationSeparator" w:id="0">
    <w:p w14:paraId="4CFA4DFF" w14:textId="77777777" w:rsidR="00A27E57" w:rsidRDefault="00A27E57"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4195399C" w14:textId="77777777"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CFE792"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9093" w14:textId="77777777" w:rsidR="00A27E57" w:rsidRDefault="00A27E57" w:rsidP="00A36C97">
      <w:pPr>
        <w:spacing w:after="0" w:line="240" w:lineRule="auto"/>
      </w:pPr>
      <w:r>
        <w:separator/>
      </w:r>
    </w:p>
  </w:footnote>
  <w:footnote w:type="continuationSeparator" w:id="0">
    <w:p w14:paraId="2DE17D5F" w14:textId="77777777" w:rsidR="00A27E57" w:rsidRDefault="00A27E57"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26047"/>
    <w:rsid w:val="00034616"/>
    <w:rsid w:val="00040632"/>
    <w:rsid w:val="00040C97"/>
    <w:rsid w:val="00047C94"/>
    <w:rsid w:val="000510BC"/>
    <w:rsid w:val="0006063C"/>
    <w:rsid w:val="000A55A1"/>
    <w:rsid w:val="000C25B1"/>
    <w:rsid w:val="000E0D1C"/>
    <w:rsid w:val="000E5C8F"/>
    <w:rsid w:val="000F0F88"/>
    <w:rsid w:val="000F781D"/>
    <w:rsid w:val="00127063"/>
    <w:rsid w:val="001451CB"/>
    <w:rsid w:val="0015074B"/>
    <w:rsid w:val="001516D5"/>
    <w:rsid w:val="001A1C9C"/>
    <w:rsid w:val="001A38EB"/>
    <w:rsid w:val="001F3D3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05B28"/>
    <w:rsid w:val="00521488"/>
    <w:rsid w:val="00537CAE"/>
    <w:rsid w:val="00541B59"/>
    <w:rsid w:val="005606F8"/>
    <w:rsid w:val="00582986"/>
    <w:rsid w:val="00623C51"/>
    <w:rsid w:val="00641CD0"/>
    <w:rsid w:val="00644936"/>
    <w:rsid w:val="006576CE"/>
    <w:rsid w:val="006606AE"/>
    <w:rsid w:val="0068598C"/>
    <w:rsid w:val="00694262"/>
    <w:rsid w:val="006A0FD5"/>
    <w:rsid w:val="006A7AAE"/>
    <w:rsid w:val="006C3E53"/>
    <w:rsid w:val="006C4075"/>
    <w:rsid w:val="006D34A1"/>
    <w:rsid w:val="006E44D7"/>
    <w:rsid w:val="006E7A83"/>
    <w:rsid w:val="006F77A3"/>
    <w:rsid w:val="007535C2"/>
    <w:rsid w:val="0077482E"/>
    <w:rsid w:val="00810CB7"/>
    <w:rsid w:val="00815225"/>
    <w:rsid w:val="00827A5D"/>
    <w:rsid w:val="00834801"/>
    <w:rsid w:val="00865D5F"/>
    <w:rsid w:val="008A4DEF"/>
    <w:rsid w:val="008A7842"/>
    <w:rsid w:val="008E2496"/>
    <w:rsid w:val="0092647C"/>
    <w:rsid w:val="0095557B"/>
    <w:rsid w:val="009631C5"/>
    <w:rsid w:val="00996182"/>
    <w:rsid w:val="00A13D22"/>
    <w:rsid w:val="00A2706C"/>
    <w:rsid w:val="00A27E57"/>
    <w:rsid w:val="00A354BC"/>
    <w:rsid w:val="00A36C97"/>
    <w:rsid w:val="00A46B4E"/>
    <w:rsid w:val="00A840FF"/>
    <w:rsid w:val="00AA1D8D"/>
    <w:rsid w:val="00AB2B89"/>
    <w:rsid w:val="00AB3133"/>
    <w:rsid w:val="00AC35E6"/>
    <w:rsid w:val="00B0075C"/>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031D3"/>
    <w:rsid w:val="00DA3299"/>
    <w:rsid w:val="00DB17B5"/>
    <w:rsid w:val="00DD3CFB"/>
    <w:rsid w:val="00DF5C9B"/>
    <w:rsid w:val="00E55942"/>
    <w:rsid w:val="00E63C12"/>
    <w:rsid w:val="00E96FE7"/>
    <w:rsid w:val="00ED66A2"/>
    <w:rsid w:val="00F46651"/>
    <w:rsid w:val="00F46BF3"/>
    <w:rsid w:val="00F556B9"/>
    <w:rsid w:val="00F55BD2"/>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BB608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19893</Words>
  <Characters>113393</Characters>
  <Application>Microsoft Office Word</Application>
  <DocSecurity>0</DocSecurity>
  <Lines>944</Lines>
  <Paragraphs>266</Paragraphs>
  <ScaleCrop>false</ScaleCrop>
  <Manager/>
  <Company/>
  <LinksUpToDate>false</LinksUpToDate>
  <CharactersWithSpaces>133020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cp:revision>1</cp:revision>
  <dcterms:created xsi:type="dcterms:W3CDTF">2026-07-25T10:34:00Z</dcterms:created>
  <dcterms:modified xsi:type="dcterms:W3CDTF">2026-07-25T10:55:00Z</dcterms:modified>
  <cp:category/>
</cp:coreProperties>
</file>