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 xml:space="preserve">The present study asks a narrow but decision-relevant question: does India VIX condition the directional predictability of Bank Nifty at short and medium horizons when the underlying predictive engine is a modern stacking ensemble? The answer is yes, but only at the 21-trading-day horizon. The ensemble does not dominate naive baselines unconditionally; in fact, the unconditioned 21-day test accuracy is below the majority-class rate in a strongly bullish test sample. Once the held-out test period is partitioned by contemporaneous India VIX, however, the </w:t>
      </w:r>
      <w:r>
        <w:lastRenderedPageBreak/>
        <w:t>signal concentrates sharply in the upper-volatility regime. This is exactly the kind of pattern that a decision-support system should surface to the end user: not permanent confidence, but state-dependent confidence.</w:t>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is materially regime-dependent when regimes are defined by India VIX and evaluated on a fully held-out period. Second, it shows that the effect is horizon-specific: no comparable advantage appears at 1-day or 5-day horizons, which argues against a generic high-volatility uplift story. Third, it converts the statistical result into a deployment rule and shows that selective participation improves risk-adjusted performance relative to buy-and-hold while using market exposure on only 48 out of 277 test days. Fourth, it frames the ensemble plus regime filter as an expert decision system rather than as a raw black-box classifier</w:t>
      </w:r>
      <w:r w:rsidR="00FC18EA">
        <w:t>.</w:t>
      </w:r>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14:paraId="14B22004" w14:textId="77777777" w:rsidR="00ED66A2" w:rsidRDefault="00000000" w:rsidP="002936C1">
            <w:pPr>
              <w:jc w:val="left"/>
            </w:pPr>
            <w:r>
              <w:rPr>
                <w:sz w:val="20"/>
              </w:rPr>
              <w:t>Partition held-out test predictions into High-VIX and Low-VIX regimes using contemporaneous India VIX</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14:paraId="55042F88" w14:textId="77777777" w:rsidR="00ED66A2" w:rsidRDefault="00000000" w:rsidP="003953F8">
            <w:pPr>
              <w:jc w:val="center"/>
            </w:pPr>
            <w:r>
              <w:rPr>
                <w:b/>
                <w:sz w:val="20"/>
              </w:rP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14:paraId="5602C2B4"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14:paraId="6D0FB8A2"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14:paraId="0761B2E0" w14:textId="77777777" w:rsidR="00ED66A2" w:rsidRDefault="00000000" w:rsidP="003953F8">
            <w:pPr>
              <w:jc w:val="left"/>
            </w:pPr>
            <w:r>
              <w:rPr>
                <w:sz w:val="20"/>
              </w:rPr>
              <w:t>Chronological training with tuned tree depth and count</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14:paraId="10DF4FDB" w14:textId="77777777" w:rsidR="00ED66A2" w:rsidRDefault="00000000" w:rsidP="003953F8">
            <w:pPr>
              <w:jc w:val="left"/>
            </w:pPr>
            <w:proofErr w:type="spellStart"/>
            <w:r>
              <w:rPr>
                <w:sz w:val="20"/>
              </w:rPr>
              <w:t>Optuna</w:t>
            </w:r>
            <w:proofErr w:type="spellEnd"/>
            <w:r>
              <w:rPr>
                <w:sz w:val="20"/>
              </w:rPr>
              <w:t xml:space="preserve"> tuned;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14:paraId="468137C9" w14:textId="77777777" w:rsidR="00ED66A2" w:rsidRDefault="00000000" w:rsidP="003953F8">
            <w:pPr>
              <w:jc w:val="left"/>
            </w:pPr>
            <w:r>
              <w:rPr>
                <w:sz w:val="20"/>
              </w:rPr>
              <w:t>Hidden size 64; dropout 0.2; early stopping</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14:paraId="3E4B6B2E" w14:textId="77777777" w:rsidR="00ED66A2" w:rsidRDefault="00000000" w:rsidP="003953F8">
            <w:pPr>
              <w:jc w:val="left"/>
            </w:pPr>
            <w:r>
              <w:rPr>
                <w:sz w:val="20"/>
              </w:rPr>
              <w:t xml:space="preserve">L2 </w:t>
            </w:r>
            <w:proofErr w:type="spellStart"/>
            <w:r>
              <w:rPr>
                <w:sz w:val="20"/>
              </w:rPr>
              <w:t>regularisation</w:t>
            </w:r>
            <w:proofErr w:type="spellEnd"/>
            <w:r>
              <w:rPr>
                <w:sz w:val="20"/>
              </w:rPr>
              <w:t xml:space="preserve"> on five-model probability vector</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 xml:space="preserve">The use of a contemporaneous test-period threshold needs precise interpretation. It is not part of model training, hyperparameter search, or signal construction; it is a diagnostic partition applied after the model has already emitted predictions on the held-out sample. The question being asked is therefore descriptive but decision-relevant: on which held-out states </w:t>
      </w:r>
      <w:r w:rsidR="00F55BD2">
        <w:t>do</w:t>
      </w:r>
      <w:r>
        <w:t xml:space="preserve"> the already-trained model appear materially more reliable? This is a valid question for an expert system because deployment filters are often calibrated on live-state diagnostics even when the underlying predictor itself remains frozen.</w:t>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implies a practical deployment policy. If the model is used continuously, its decision quality is mediocre. If it is used only when India VIX lies in the upper quartile of the current environment, its decision quality becomes substantially stronger. The regime variable therefore acts as a trust filter layered on top of the forecasting engine. This is the core expert-system contribution of the paper.</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1877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187737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1330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1330390"/>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 xml:space="preserve">The statistical result is translated into a conservative deployment test. Under the corrected implementation (signal at day t close, entry at open[t+1], exit at close[t+21], no overlapping positions), the selective High-VIX plus Up strategy is active for only one 21-day trade in the </w:t>
      </w:r>
      <w:r>
        <w:lastRenderedPageBreak/>
        <w:t>evaluated window. At zero cost, strategy Sharpe is 0.455 versus 1.204 for buy-and-hold, while maximum drawdown is lower (-3.69% versus -6.62%). Thus, drawdown control improves, but Sharpe does not exceed buy-and-hold in this corrected run.</w:t>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9664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966498"/>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7381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73812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 xml:space="preserve">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This is plausible because features such as ATR-14, Bollinger width, MACD dispersion, and recent return lags tend to </w:t>
      </w:r>
      <w:r>
        <w:lastRenderedPageBreak/>
        <w:t>express stronger contrasts when the market is undergoing a sustained high-uncertainty episode rather than drifting quietly.</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6307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630798"/>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economically coherent. Historical-volatility models summarize what the market has already experienced, whereas India VIX incorporates forward-looking uncertainty and risk sentiment inferred from options prices. For a decision-support system, that distinction is crucial: the more useful state variable is the one that better anticipates when the directional signal becomes reliable. The data indicate that India VIX is the stronger gatekeeper.</w:t>
      </w:r>
      <w:r w:rsidR="0045021F">
        <w:t xml:space="preserve"> </w:t>
      </w:r>
      <w:r w:rsidR="0045021F" w:rsidRPr="0045021F">
        <w:t>Table 10</w:t>
      </w:r>
      <w:r w:rsidR="0045021F">
        <w:t xml:space="preserve"> highlights </w:t>
      </w:r>
      <w:r w:rsidR="0045021F" w:rsidRPr="0045021F">
        <w:t>India VIX regime versus GARCH(1,1) regime at the 21-day horizon.</w:t>
      </w:r>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 xml:space="preserve">The Fig. </w:t>
      </w:r>
      <w:r w:rsidR="00A840FF">
        <w:t>8</w:t>
      </w:r>
      <w:r>
        <w:t>, shows c</w:t>
      </w:r>
      <w:r w:rsidRPr="00A13D22">
        <w:t>omparison of India VIX and GARCH-based regime filters. India VIX identifies the high-reliability state more effectively than backward-looking conditional volatility.</w:t>
      </w:r>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21408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2140870"/>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20186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2018688"/>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14:paraId="4E78280C" w14:textId="77777777" w:rsidR="00ED66A2" w:rsidRDefault="00000000">
      <w:pPr>
        <w:pStyle w:val="Heading2"/>
      </w:pPr>
      <w:r>
        <w:rPr>
          <w:rFonts w:ascii="Times New Roman" w:hAnsi="Times New Roman"/>
        </w:rPr>
        <w:t>6.4.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The replication also clarifies what the paper should and should not claim. It should claim that the conditional pattern appears stable enough to emerge across two independently trained pipelines. It should not claim that the absolute accuracy level is identical across every setup. In a forecasting context, sign consistency in the regime effect combined with similar economic magnitude is stronger evidence than demanding identical scores in structurally different samples.</w:t>
      </w:r>
    </w:p>
    <w:p w14:paraId="45B47B2A" w14:textId="77777777" w:rsidR="00F90DE7" w:rsidRDefault="00F90DE7">
      <w:pPr>
        <w:spacing w:after="80" w:line="360" w:lineRule="auto"/>
        <w:ind w:firstLine="360"/>
      </w:pPr>
    </w:p>
    <w:p w14:paraId="37E5C496" w14:textId="77777777" w:rsidR="00ED66A2" w:rsidRDefault="00000000">
      <w:pPr>
        <w:spacing w:before="120" w:after="40"/>
        <w:jc w:val="center"/>
      </w:pPr>
      <w:r>
        <w:rPr>
          <w:noProof/>
        </w:rPr>
        <w:lastRenderedPageBreak/>
        <w:drawing>
          <wp:inline distT="0" distB="0" distL="0" distR="0" wp14:anchorId="0EE38BEC" wp14:editId="4A7B8D96">
            <wp:extent cx="5303520" cy="21838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p1_vs_p2_hvix_equity.png"/>
                    <pic:cNvPicPr/>
                  </pic:nvPicPr>
                  <pic:blipFill>
                    <a:blip r:embed="rId17"/>
                    <a:stretch>
                      <a:fillRect/>
                    </a:stretch>
                  </pic:blipFill>
                  <pic:spPr>
                    <a:xfrm>
                      <a:off x="0" y="0"/>
                      <a:ext cx="5303520" cy="2183802"/>
                    </a:xfrm>
                    <a:prstGeom prst="rect">
                      <a:avLst/>
                    </a:prstGeom>
                  </pic:spPr>
                </pic:pic>
              </a:graphicData>
            </a:graphic>
          </wp:inline>
        </w:drawing>
      </w:r>
    </w:p>
    <w:p w14:paraId="04B38F87" w14:textId="77777777" w:rsidR="00ED66A2" w:rsidRPr="00BB04E7" w:rsidRDefault="00000000" w:rsidP="00BB04E7">
      <w:pPr>
        <w:spacing w:before="80" w:after="80"/>
        <w:jc w:val="center"/>
        <w:rPr>
          <w:iCs/>
        </w:rPr>
      </w:pPr>
      <w:r w:rsidRPr="00BB04E7">
        <w:rPr>
          <w:iCs/>
          <w:sz w:val="20"/>
        </w:rPr>
        <w:t>Fig. 10. Cross-pipeline comparison of the High-VIX plus Up strategy.</w:t>
      </w:r>
    </w:p>
    <w:p w14:paraId="7795EA22" w14:textId="77777777" w:rsidR="00ED66A2" w:rsidRDefault="00ED66A2"/>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suggests a simple economic narrative. When India VIX is elevated, the market is processing macro or policy uncertainty that affects bank-sensitive risk expectations over more than one or two sessions. During those windows, technical features such as Bollinger width, ATR, MACD dispersion, and lagged returns become more informative because they encode persistent state changes rather than routine noise. In calm periods, the same indicators remain observable but far less discriminative. The ensemble is therefore not discovering a universal technical edge; it is exploiting the fact that the market becomes more structurally directional when uncertainty rises and diffuses through prices over several weeks.</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