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as a Regime Filter for Bank Nifty Directional Prediction: A Leakage-Safe Reliability Assessment</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and uses the exercise to demonstrate how two specific methodological errors -- a test-period-derived (look-ahead-biased) regime threshold and an overlapping-position trading simulation -- can manufacture an apparently strong positive result. After correcting split leakage, removing threshold look-ahead bias, and using dependence-aware inference, the deployable fixed regime threshold (train+validation p75 = 18.71) yields a sparse High-VIX subset. On the aligned evaluation sample, regime-conditioned accuracy is 100.0% (High-VIX, N=8) versus 66.5% (Low-VIX, N=248), but the High-VIX local majority baseline is also 100.0%, and dependence-aware tests (non-overlapping Fisher, block-permutation) are not significant after correction. A year-by-year walk-forward analysis across six independently evaluated years shows the High-VIX advantage in only one year (2021), with the other five years going the other way by 11-39 percentage points -- direct evidence that the primary-sample result is concentrated in a single stress episode rather than reflecting a general regime effect. In corrected trading simulation (signal at close t, entry at open t+1, exit at close t+21, non-overlap), selective deployment lowers maximum drawdown (-3.69% vs -6.62%) but does not exceed buy-and-hold Sharpe at any tested cost level (0.455 vs 1.204 at 0 bps; 0.375 vs 1.204 at 50 bps) -- reversing our earlier, uncorrected claim of Sharpe superiority (2.216 vs 1.963). We therefore position the contribution as a methodological case study in how leakage and look-ahead bias can manufacture an entire positive finding in regime-conditional financial ML, together with a transparent, fully corrected reliability-assessment framework, rather than as evidence of a validated trading edge.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using 1-day and 5-day models retrained on the same corrected pipeline, it shows the pattern is not confined to a single horizon in the way we originally expected: the 1-day horizon shows no regime gap (62.5% vs 54.8%, Fisher p=0.734), but the 5-day horizon shows a nominally larger gap than 21-day itself (100.0% vs 55.2%, uncorrected Fisher p=0.011), on the same 8 High-VIX days used throughout. We read this as further evidence of fragility rather than a clean horizon-specific mechanism: with only 8 High-VIX observations shared across all three horizons, single-day outcome flips can move any of these numbers substantially, and the 5-day result has not been subjected to the same dependence-aware protocol (block bootstrap, non-overlapping resampling) applied to the 21-day headline result.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r>
              <w:t>1-day</w:t>
            </w:r>
          </w:p>
        </w:tc>
        <w:tc>
          <w:tcPr>
            <w:tcW w:w="1642" w:type="dxa"/>
            <w:vAlign w:val="center"/>
          </w:tcPr>
          <w:p>
            <w:r>
              <w:t>0.5508</w:t>
            </w:r>
          </w:p>
        </w:tc>
        <w:tc>
          <w:tcPr>
            <w:tcW w:w="1344" w:type="dxa"/>
            <w:vAlign w:val="center"/>
          </w:tcPr>
          <w:p>
            <w:r>
              <w:t>0.5265</w:t>
            </w:r>
          </w:p>
        </w:tc>
        <w:tc>
          <w:tcPr>
            <w:tcW w:w="1642" w:type="dxa"/>
            <w:vAlign w:val="center"/>
          </w:tcPr>
          <w:p>
            <w:r>
              <w:t>0.5508</w:t>
            </w:r>
          </w:p>
        </w:tc>
        <w:tc>
          <w:tcPr>
            <w:tcW w:w="1493" w:type="dxa"/>
            <w:vAlign w:val="center"/>
          </w:tcPr>
          <w:p>
            <w:r>
              <w:t>1.000</w:t>
            </w:r>
          </w:p>
        </w:tc>
      </w:tr>
      <w:tr w:rsidR="00ED66A2" w14:paraId="61A2B818" w14:textId="77777777" w:rsidTr="00A36C97">
        <w:trPr>
          <w:trHeight w:val="417"/>
          <w:jc w:val="center"/>
        </w:trPr>
        <w:tc>
          <w:tcPr>
            <w:tcW w:w="1344" w:type="dxa"/>
            <w:vAlign w:val="center"/>
          </w:tcPr>
          <w:p>
            <w:r>
              <w:t>5-day</w:t>
            </w:r>
          </w:p>
        </w:tc>
        <w:tc>
          <w:tcPr>
            <w:tcW w:w="1642" w:type="dxa"/>
            <w:vAlign w:val="center"/>
          </w:tcPr>
          <w:p>
            <w:r>
              <w:t>0.5664</w:t>
            </w:r>
          </w:p>
        </w:tc>
        <w:tc>
          <w:tcPr>
            <w:tcW w:w="1344" w:type="dxa"/>
            <w:vAlign w:val="center"/>
          </w:tcPr>
          <w:p>
            <w:r>
              <w:t>0.4894</w:t>
            </w:r>
          </w:p>
        </w:tc>
        <w:tc>
          <w:tcPr>
            <w:tcW w:w="1642" w:type="dxa"/>
            <w:vAlign w:val="center"/>
          </w:tcPr>
          <w:p>
            <w:r>
              <w:t>0.5664</w:t>
            </w:r>
          </w:p>
        </w:tc>
        <w:tc>
          <w:tcPr>
            <w:tcW w:w="1493" w:type="dxa"/>
            <w:vAlign w:val="center"/>
          </w:tcPr>
          <w:p>
            <w:r>
              <w:t>1.000</w:t>
            </w:r>
          </w:p>
        </w:tc>
      </w:tr>
      <w:tr w:rsidR="00ED66A2" w14:paraId="4D6CCF28" w14:textId="77777777" w:rsidTr="00A36C97">
        <w:trPr>
          <w:trHeight w:val="417"/>
          <w:jc w:val="center"/>
        </w:trPr>
        <w:tc>
          <w:tcPr>
            <w:tcW w:w="1344" w:type="dxa"/>
            <w:vAlign w:val="center"/>
          </w:tcPr>
          <w:p>
            <w:r>
              <w:t>21-day</w:t>
            </w:r>
          </w:p>
        </w:tc>
        <w:tc>
          <w:tcPr>
            <w:tcW w:w="1642" w:type="dxa"/>
            <w:vAlign w:val="center"/>
          </w:tcPr>
          <w:p>
            <w:r>
              <w:t>0.6758</w:t>
            </w:r>
          </w:p>
        </w:tc>
        <w:tc>
          <w:tcPr>
            <w:tcW w:w="1344" w:type="dxa"/>
            <w:vAlign w:val="center"/>
          </w:tcPr>
          <w:p>
            <w:r>
              <w:t>0.5820</w:t>
            </w:r>
          </w:p>
        </w:tc>
        <w:tc>
          <w:tcPr>
            <w:tcW w:w="1642" w:type="dxa"/>
            <w:vAlign w:val="center"/>
          </w:tcPr>
          <w:p>
            <w:r>
              <w:t>0.7109</w:t>
            </w:r>
          </w:p>
        </w:tc>
        <w:tc>
          <w:tcPr>
            <w:tcW w:w="1493" w:type="dxa"/>
            <w:vAlign w:val="center"/>
          </w:tcPr>
          <w:p>
            <w:r>
              <w:t>0.022</w:t>
            </w:r>
          </w:p>
        </w:tc>
      </w:tr>
    </w:tbl>
    <w:p w14:paraId="62542106" w14:textId="77777777" w:rsidR="00ED66A2" w:rsidRDefault="00ED66A2"/>
    <w:p>
      <w:r>
        <w:t>To assess whether the stacking ensemble's complexity is justified relative to simpler alternatives under the same regime filter (Reviewer #2.3), Table 6b reports majority-class, naive persistence, logistic regression, and single-model XGBoost baselines, each evaluated on the identical High-VIX/Low-VIX split used for the ensemble.</w:t>
      </w:r>
    </w:p>
    <w:p>
      <w:r>
        <w:t>Table 6b. Regime-stratified baseline comparison: simple baselines vs. the stacking ensemble.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w:t>
            </w:r>
          </w:p>
        </w:tc>
        <w:tc>
          <w:tcPr>
            <w:tcW w:type="dxa" w:w="1337"/>
          </w:tcPr>
          <w:p>
            <w:r>
              <w:t>Regime</w:t>
            </w:r>
          </w:p>
        </w:tc>
        <w:tc>
          <w:tcPr>
            <w:tcW w:type="dxa" w:w="1337"/>
          </w:tcPr>
          <w:p>
            <w:r>
              <w:t>N</w:t>
            </w:r>
          </w:p>
        </w:tc>
        <w:tc>
          <w:tcPr>
            <w:tcW w:type="dxa" w:w="1337"/>
          </w:tcPr>
          <w:p>
            <w:r>
              <w:t>Majority BL (%)</w:t>
            </w:r>
          </w:p>
        </w:tc>
        <w:tc>
          <w:tcPr>
            <w:tcW w:type="dxa" w:w="1337"/>
          </w:tcPr>
          <w:p>
            <w:r>
              <w:t>Accuracy (%)</w:t>
            </w:r>
          </w:p>
        </w:tc>
        <w:tc>
          <w:tcPr>
            <w:tcW w:type="dxa" w:w="1337"/>
          </w:tcPr>
          <w:p>
            <w:r>
              <w:t>F1 (%)</w:t>
            </w:r>
          </w:p>
        </w:tc>
        <w:tc>
          <w:tcPr>
            <w:tcW w:type="dxa" w:w="1337"/>
          </w:tcPr>
          <w:p>
            <w:r>
              <w:t>AUC</w:t>
            </w:r>
          </w:p>
        </w:tc>
      </w:tr>
      <w:tr>
        <w:tc>
          <w:tcPr>
            <w:tcW w:type="dxa" w:w="1337"/>
          </w:tcPr>
          <w:p>
            <w:r>
              <w:t>Majority-Class</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Majority-Class</w:t>
            </w:r>
          </w:p>
        </w:tc>
        <w:tc>
          <w:tcPr>
            <w:tcW w:type="dxa" w:w="1337"/>
          </w:tcPr>
          <w:p>
            <w:r>
              <w:t>Low-VIX</w:t>
            </w:r>
          </w:p>
        </w:tc>
        <w:tc>
          <w:tcPr>
            <w:tcW w:type="dxa" w:w="1337"/>
          </w:tcPr>
          <w:p>
            <w:r>
              <w:t>248</w:t>
            </w:r>
          </w:p>
        </w:tc>
        <w:tc>
          <w:tcPr>
            <w:tcW w:type="dxa" w:w="1337"/>
          </w:tcPr>
          <w:p>
            <w:r>
              <w:t>70.2</w:t>
            </w:r>
          </w:p>
        </w:tc>
        <w:tc>
          <w:tcPr>
            <w:tcW w:type="dxa" w:w="1337"/>
          </w:tcPr>
          <w:p>
            <w:r>
              <w:t>70.2</w:t>
            </w:r>
          </w:p>
        </w:tc>
        <w:tc>
          <w:tcPr>
            <w:tcW w:type="dxa" w:w="1337"/>
          </w:tcPr>
          <w:p>
            <w:r>
              <w:t>82.5</w:t>
            </w:r>
          </w:p>
        </w:tc>
        <w:tc>
          <w:tcPr>
            <w:tcW w:type="dxa" w:w="1337"/>
          </w:tcPr>
          <w:p>
            <w:r>
              <w:t>0.500</w:t>
            </w:r>
          </w:p>
        </w:tc>
      </w:tr>
      <w:tr>
        <w:tc>
          <w:tcPr>
            <w:tcW w:type="dxa" w:w="1337"/>
          </w:tcPr>
          <w:p>
            <w:r>
              <w:t>Persistence</w:t>
            </w:r>
          </w:p>
        </w:tc>
        <w:tc>
          <w:tcPr>
            <w:tcW w:type="dxa" w:w="1337"/>
          </w:tcPr>
          <w:p>
            <w:r>
              <w:t>High-VIX</w:t>
            </w:r>
          </w:p>
        </w:tc>
        <w:tc>
          <w:tcPr>
            <w:tcW w:type="dxa" w:w="1337"/>
          </w:tcPr>
          <w:p>
            <w:r>
              <w:t>8</w:t>
            </w:r>
          </w:p>
        </w:tc>
        <w:tc>
          <w:tcPr>
            <w:tcW w:type="dxa" w:w="1337"/>
          </w:tcPr>
          <w:p>
            <w:r>
              <w:t>100.0</w:t>
            </w:r>
          </w:p>
        </w:tc>
        <w:tc>
          <w:tcPr>
            <w:tcW w:type="dxa" w:w="1337"/>
          </w:tcPr>
          <w:p>
            <w:r>
              <w:t>37.5</w:t>
            </w:r>
          </w:p>
        </w:tc>
        <w:tc>
          <w:tcPr>
            <w:tcW w:type="dxa" w:w="1337"/>
          </w:tcPr>
          <w:p>
            <w:r>
              <w:t>54.5</w:t>
            </w:r>
          </w:p>
        </w:tc>
        <w:tc>
          <w:tcPr>
            <w:tcW w:type="dxa" w:w="1337"/>
          </w:tcPr>
          <w:p>
            <w:r>
              <w:t>N/A</w:t>
            </w:r>
          </w:p>
        </w:tc>
      </w:tr>
      <w:tr>
        <w:tc>
          <w:tcPr>
            <w:tcW w:type="dxa" w:w="1337"/>
          </w:tcPr>
          <w:p>
            <w:r>
              <w:t>Persistence</w:t>
            </w:r>
          </w:p>
        </w:tc>
        <w:tc>
          <w:tcPr>
            <w:tcW w:type="dxa" w:w="1337"/>
          </w:tcPr>
          <w:p>
            <w:r>
              <w:t>Low-VIX</w:t>
            </w:r>
          </w:p>
        </w:tc>
        <w:tc>
          <w:tcPr>
            <w:tcW w:type="dxa" w:w="1337"/>
          </w:tcPr>
          <w:p>
            <w:r>
              <w:t>248</w:t>
            </w:r>
          </w:p>
        </w:tc>
        <w:tc>
          <w:tcPr>
            <w:tcW w:type="dxa" w:w="1337"/>
          </w:tcPr>
          <w:p>
            <w:r>
              <w:t>70.2</w:t>
            </w:r>
          </w:p>
        </w:tc>
        <w:tc>
          <w:tcPr>
            <w:tcW w:type="dxa" w:w="1337"/>
          </w:tcPr>
          <w:p>
            <w:r>
              <w:t>50.8</w:t>
            </w:r>
          </w:p>
        </w:tc>
        <w:tc>
          <w:tcPr>
            <w:tcW w:type="dxa" w:w="1337"/>
          </w:tcPr>
          <w:p>
            <w:r>
              <w:t>59.6</w:t>
            </w:r>
          </w:p>
        </w:tc>
        <w:tc>
          <w:tcPr>
            <w:tcW w:type="dxa" w:w="1337"/>
          </w:tcPr>
          <w:p>
            <w:r>
              <w:t>0.487</w:t>
            </w:r>
          </w:p>
        </w:tc>
      </w:tr>
      <w:tr>
        <w:tc>
          <w:tcPr>
            <w:tcW w:type="dxa" w:w="1337"/>
          </w:tcPr>
          <w:p>
            <w:r>
              <w:t>Logistic Reg.</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Logistic Reg.</w:t>
            </w:r>
          </w:p>
        </w:tc>
        <w:tc>
          <w:tcPr>
            <w:tcW w:type="dxa" w:w="1337"/>
          </w:tcPr>
          <w:p>
            <w:r>
              <w:t>Low-VIX</w:t>
            </w:r>
          </w:p>
        </w:tc>
        <w:tc>
          <w:tcPr>
            <w:tcW w:type="dxa" w:w="1337"/>
          </w:tcPr>
          <w:p>
            <w:r>
              <w:t>248</w:t>
            </w:r>
          </w:p>
        </w:tc>
        <w:tc>
          <w:tcPr>
            <w:tcW w:type="dxa" w:w="1337"/>
          </w:tcPr>
          <w:p>
            <w:r>
              <w:t>70.2</w:t>
            </w:r>
          </w:p>
        </w:tc>
        <w:tc>
          <w:tcPr>
            <w:tcW w:type="dxa" w:w="1337"/>
          </w:tcPr>
          <w:p>
            <w:r>
              <w:t>29.8</w:t>
            </w:r>
          </w:p>
        </w:tc>
        <w:tc>
          <w:tcPr>
            <w:tcW w:type="dxa" w:w="1337"/>
          </w:tcPr>
          <w:p>
            <w:r>
              <w:t>1.1</w:t>
            </w:r>
          </w:p>
        </w:tc>
        <w:tc>
          <w:tcPr>
            <w:tcW w:type="dxa" w:w="1337"/>
          </w:tcPr>
          <w:p>
            <w:r>
              <w:t>0.666</w:t>
            </w:r>
          </w:p>
        </w:tc>
      </w:tr>
      <w:tr>
        <w:tc>
          <w:tcPr>
            <w:tcW w:type="dxa" w:w="1337"/>
          </w:tcPr>
          <w:p>
            <w:r>
              <w:t>XGBoost (single)</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XGBoost (single)</w:t>
            </w:r>
          </w:p>
        </w:tc>
        <w:tc>
          <w:tcPr>
            <w:tcW w:type="dxa" w:w="1337"/>
          </w:tcPr>
          <w:p>
            <w:r>
              <w:t>Low-VIX</w:t>
            </w:r>
          </w:p>
        </w:tc>
        <w:tc>
          <w:tcPr>
            <w:tcW w:type="dxa" w:w="1337"/>
          </w:tcPr>
          <w:p>
            <w:r>
              <w:t>248</w:t>
            </w:r>
          </w:p>
        </w:tc>
        <w:tc>
          <w:tcPr>
            <w:tcW w:type="dxa" w:w="1337"/>
          </w:tcPr>
          <w:p>
            <w:r>
              <w:t>70.2</w:t>
            </w:r>
          </w:p>
        </w:tc>
        <w:tc>
          <w:tcPr>
            <w:tcW w:type="dxa" w:w="1337"/>
          </w:tcPr>
          <w:p>
            <w:r>
              <w:t>43.5</w:t>
            </w:r>
          </w:p>
        </w:tc>
        <w:tc>
          <w:tcPr>
            <w:tcW w:type="dxa" w:w="1337"/>
          </w:tcPr>
          <w:p>
            <w:r>
              <w:t>54.2</w:t>
            </w:r>
          </w:p>
        </w:tc>
        <w:tc>
          <w:tcPr>
            <w:tcW w:type="dxa" w:w="1337"/>
          </w:tcPr>
          <w:p>
            <w:r>
              <w:t>0.447</w:t>
            </w:r>
          </w:p>
        </w:tc>
      </w:tr>
      <w:tr>
        <w:tc>
          <w:tcPr>
            <w:tcW w:type="dxa" w:w="1337"/>
          </w:tcPr>
          <w:p>
            <w:r>
              <w:t>Stacking Ensemble</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Stacking Ensemble</w:t>
            </w:r>
          </w:p>
        </w:tc>
        <w:tc>
          <w:tcPr>
            <w:tcW w:type="dxa" w:w="1337"/>
          </w:tcPr>
          <w:p>
            <w:r>
              <w:t>Low-VIX</w:t>
            </w:r>
          </w:p>
        </w:tc>
        <w:tc>
          <w:tcPr>
            <w:tcW w:type="dxa" w:w="1337"/>
          </w:tcPr>
          <w:p>
            <w:r>
              <w:t>248</w:t>
            </w:r>
          </w:p>
        </w:tc>
        <w:tc>
          <w:tcPr>
            <w:tcW w:type="dxa" w:w="1337"/>
          </w:tcPr>
          <w:p>
            <w:r>
              <w:t>70.2</w:t>
            </w:r>
          </w:p>
        </w:tc>
        <w:tc>
          <w:tcPr>
            <w:tcW w:type="dxa" w:w="1337"/>
          </w:tcPr>
          <w:p>
            <w:r>
              <w:t>66.5</w:t>
            </w:r>
          </w:p>
        </w:tc>
        <w:tc>
          <w:tcPr>
            <w:tcW w:type="dxa" w:w="1337"/>
          </w:tcPr>
          <w:p>
            <w:r>
              <w:t>79.7</w:t>
            </w:r>
          </w:p>
        </w:tc>
        <w:tc>
          <w:tcPr>
            <w:tcW w:type="dxa" w:w="1337"/>
          </w:tcPr>
          <w:p>
            <w:r>
              <w:t>0.584</w:t>
            </w:r>
          </w:p>
        </w:tc>
      </w:tr>
    </w:tbl>
    <w:p/>
    <w:p>
      <w:r>
        <w:drawing>
          <wp:inline xmlns:a="http://schemas.openxmlformats.org/drawingml/2006/main" xmlns:pic="http://schemas.openxmlformats.org/drawingml/2006/picture">
            <wp:extent cx="5303520" cy="2616021"/>
            <wp:docPr id="529019811" name="Picture 529019811"/>
            <wp:cNvGraphicFramePr>
              <a:graphicFrameLocks noChangeAspect="1"/>
            </wp:cNvGraphicFramePr>
            <a:graphic>
              <a:graphicData uri="http://schemas.openxmlformats.org/drawingml/2006/picture">
                <pic:pic>
                  <pic:nvPicPr>
                    <pic:cNvPr id="0" name="R06_baseline_comparison.png"/>
                    <pic:cNvPicPr/>
                  </pic:nvPicPr>
                  <pic:blipFill>
                    <a:blip r:embed="rId24"/>
                    <a:stretch>
                      <a:fillRect/>
                    </a:stretch>
                  </pic:blipFill>
                  <pic:spPr>
                    <a:xfrm>
                      <a:off x="0" y="0"/>
                      <a:ext cx="5303520" cy="2616021"/>
                    </a:xfrm>
                    <a:prstGeom prst="rect"/>
                  </pic:spPr>
                </pic:pic>
              </a:graphicData>
            </a:graphic>
          </wp:inline>
        </w:drawing>
      </w:r>
    </w:p>
    <w:p>
      <w:r>
        <w:t>Fig. 3b. Regime-stratified accuracy: simple baselines vs. the stacking ensemble.</w:t>
      </w:r>
    </w:p>
    <w:p>
      <w:r>
        <w:t>On High-VIX (n=8, single class, all Up), every model that predicts Up-leaning matches the 100.0% majority baseline trivially; this cell cannot discriminate model quality. On Low-VIX (n=248), the picture is more informative: naive persistence (50.8%), logistic regression (29.8%), and a single XGBoost model (43.5%) all underperform the 70.2% local majority baseline, while the stacking ensemble (66.5%) comes closer to it without exceeding it. The practical reading is that the ensemble's advantage over simpler alternatives is real on Low-VIX data -- it comfortably beats every individual baseline tested -- but none of the models tested, including the ensemble, beat the trivial majority-class rule on Low-VIX days. This further supports treating the High-VIX result as the substantive finding under investigation rather than the ensemble's unconditional skill.</w:t>
      </w:r>
    </w:p>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r>
              <w:t>1-day</w:t>
            </w:r>
          </w:p>
        </w:tc>
        <w:tc>
          <w:tcPr>
            <w:tcW w:w="799" w:type="dxa"/>
            <w:vAlign w:val="center"/>
          </w:tcPr>
          <w:p>
            <w:r>
              <w:t>8</w:t>
            </w:r>
          </w:p>
        </w:tc>
        <w:tc>
          <w:tcPr>
            <w:tcW w:w="1017" w:type="dxa"/>
            <w:vAlign w:val="center"/>
          </w:tcPr>
          <w:p>
            <w:r>
              <w:t>62.5%</w:t>
            </w:r>
          </w:p>
        </w:tc>
        <w:tc>
          <w:tcPr>
            <w:tcW w:w="799" w:type="dxa"/>
            <w:vAlign w:val="center"/>
          </w:tcPr>
          <w:p>
            <w:r>
              <w:t>248</w:t>
            </w:r>
          </w:p>
        </w:tc>
        <w:tc>
          <w:tcPr>
            <w:tcW w:w="1017" w:type="dxa"/>
            <w:vAlign w:val="center"/>
          </w:tcPr>
          <w:p>
            <w:r>
              <w:t>54.8%</w:t>
            </w:r>
          </w:p>
        </w:tc>
        <w:tc>
          <w:tcPr>
            <w:tcW w:w="1017" w:type="dxa"/>
            <w:vAlign w:val="center"/>
          </w:tcPr>
          <w:p>
            <w:r>
              <w:t>+0.077</w:t>
            </w:r>
          </w:p>
        </w:tc>
        <w:tc>
          <w:tcPr>
            <w:tcW w:w="1454" w:type="dxa"/>
            <w:vAlign w:val="center"/>
          </w:tcPr>
          <w:p>
            <w:r>
              <w:t>0.734 (naive)</w:t>
            </w:r>
          </w:p>
        </w:tc>
        <w:tc>
          <w:tcPr>
            <w:tcW w:w="799" w:type="dxa"/>
            <w:vAlign w:val="center"/>
          </w:tcPr>
          <w:p>
            <w:r>
              <w:t>0.033</w:t>
            </w:r>
          </w:p>
        </w:tc>
        <w:tc>
          <w:tcPr>
            <w:tcW w:w="1172" w:type="dxa"/>
            <w:vAlign w:val="center"/>
          </w:tcPr>
          <w:p>
            <w:r>
              <w:t>No</w:t>
            </w:r>
          </w:p>
        </w:tc>
      </w:tr>
      <w:tr w:rsidR="00ED66A2" w14:paraId="2E09E28D" w14:textId="77777777" w:rsidTr="0030390A">
        <w:trPr>
          <w:trHeight w:val="316"/>
          <w:jc w:val="center"/>
        </w:trPr>
        <w:tc>
          <w:tcPr>
            <w:tcW w:w="1163" w:type="dxa"/>
            <w:vAlign w:val="center"/>
          </w:tcPr>
          <w:p>
            <w:r>
              <w:t>5-day</w:t>
            </w:r>
          </w:p>
        </w:tc>
        <w:tc>
          <w:tcPr>
            <w:tcW w:w="799" w:type="dxa"/>
            <w:vAlign w:val="center"/>
          </w:tcPr>
          <w:p>
            <w:r>
              <w:t>8</w:t>
            </w:r>
          </w:p>
        </w:tc>
        <w:tc>
          <w:tcPr>
            <w:tcW w:w="1017" w:type="dxa"/>
            <w:vAlign w:val="center"/>
          </w:tcPr>
          <w:p>
            <w:r>
              <w:t>100.0%</w:t>
            </w:r>
          </w:p>
        </w:tc>
        <w:tc>
          <w:tcPr>
            <w:tcW w:w="799" w:type="dxa"/>
            <w:vAlign w:val="center"/>
          </w:tcPr>
          <w:p>
            <w:r>
              <w:t>248</w:t>
            </w:r>
          </w:p>
        </w:tc>
        <w:tc>
          <w:tcPr>
            <w:tcW w:w="1017" w:type="dxa"/>
            <w:vAlign w:val="center"/>
          </w:tcPr>
          <w:p>
            <w:r>
              <w:t>55.2%</w:t>
            </w:r>
          </w:p>
        </w:tc>
        <w:tc>
          <w:tcPr>
            <w:tcW w:w="1017" w:type="dxa"/>
            <w:vAlign w:val="center"/>
          </w:tcPr>
          <w:p>
            <w:r>
              <w:t>+0.448</w:t>
            </w:r>
          </w:p>
        </w:tc>
        <w:tc>
          <w:tcPr>
            <w:tcW w:w="1454" w:type="dxa"/>
            <w:vAlign w:val="center"/>
          </w:tcPr>
          <w:p>
            <w:r>
              <w:t>0.011 (naive)</w:t>
            </w:r>
          </w:p>
        </w:tc>
        <w:tc>
          <w:tcPr>
            <w:tcW w:w="799" w:type="dxa"/>
            <w:vAlign w:val="center"/>
          </w:tcPr>
          <w:p>
            <w:r>
              <w:t>0.148</w:t>
            </w:r>
          </w:p>
        </w:tc>
        <w:tc>
          <w:tcPr>
            <w:tcW w:w="1172" w:type="dxa"/>
            <w:vAlign w:val="center"/>
          </w:tcPr>
          <w:p>
            <w:r>
              <w:t>Borderline (0.032)</w:t>
            </w:r>
          </w:p>
        </w:tc>
      </w:tr>
      <w:tr w:rsidR="00ED66A2" w14:paraId="2339E3CE" w14:textId="77777777" w:rsidTr="0030390A">
        <w:trPr>
          <w:trHeight w:val="316"/>
          <w:jc w:val="center"/>
        </w:trPr>
        <w:tc>
          <w:tcPr>
            <w:tcW w:w="1163" w:type="dxa"/>
            <w:vAlign w:val="center"/>
          </w:tcPr>
          <w:p>
            <w:r>
              <w:t>21-day</w:t>
            </w:r>
          </w:p>
        </w:tc>
        <w:tc>
          <w:tcPr>
            <w:tcW w:w="799" w:type="dxa"/>
            <w:vAlign w:val="center"/>
          </w:tcPr>
          <w:p>
            <w:r>
              <w:t>8</w:t>
            </w:r>
          </w:p>
        </w:tc>
        <w:tc>
          <w:tcPr>
            <w:tcW w:w="1017" w:type="dxa"/>
            <w:vAlign w:val="center"/>
          </w:tcPr>
          <w:p>
            <w:r>
              <w:t>100.0%</w:t>
            </w:r>
          </w:p>
        </w:tc>
        <w:tc>
          <w:tcPr>
            <w:tcW w:w="799" w:type="dxa"/>
            <w:vAlign w:val="center"/>
          </w:tcPr>
          <w:p>
            <w:r>
              <w:t>248</w:t>
            </w:r>
          </w:p>
        </w:tc>
        <w:tc>
          <w:tcPr>
            <w:tcW w:w="1017" w:type="dxa"/>
            <w:vAlign w:val="center"/>
          </w:tcPr>
          <w:p>
            <w:r>
              <w:t>66.5%</w:t>
            </w:r>
          </w:p>
        </w:tc>
        <w:tc>
          <w:tcPr>
            <w:tcW w:w="1017" w:type="dxa"/>
            <w:vAlign w:val="center"/>
          </w:tcPr>
          <w:p>
            <w:r>
              <w:t>+0.335</w:t>
            </w:r>
          </w:p>
        </w:tc>
        <w:tc>
          <w:tcPr>
            <w:tcW w:w="1454" w:type="dxa"/>
            <w:vAlign w:val="center"/>
          </w:tcPr>
          <w:p>
            <w:r>
              <w:t>1.000 (non-overlap)</w:t>
            </w:r>
          </w:p>
        </w:tc>
        <w:tc>
          <w:tcPr>
            <w:tcW w:w="799" w:type="dxa"/>
            <w:vAlign w:val="center"/>
          </w:tcPr>
          <w:p>
            <w:r>
              <w:t>N/A</w:t>
            </w:r>
          </w:p>
        </w:tc>
        <w:tc>
          <w:tcPr>
            <w:tcW w:w="1172" w:type="dxa"/>
            <w:vAlign w:val="center"/>
          </w:tcPr>
          <w:p>
            <w: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499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499360"/>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440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440984"/>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11.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10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8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pPr>
        <w:pStyle w:val="Heading2"/>
      </w:pPr>
      <w:r>
        <w:t>6.4. Walk-forward generalizability</w:t>
      </w:r>
    </w:p>
    <w:p>
      <w:r>
        <w:t>Because the 8 High-VIX test observations are concentrated within a single episode, we additionally report an annual walk-forward analysis (Reviewer #1.3, #2.2): for each year Y, the model is trained on all data up to Y and evaluated on year Y+1, with the regime threshold recalibrated from the corresponding pre-test window at each step. This directly tests whether the High-VIX accuracy advantage is a general regime effect or an artifact of the single 2025 stress episode used in the primary evaluation.</w:t>
      </w:r>
    </w:p>
    <w:p>
      <w:r>
        <w:t>Table 12. Year-by-year walk-forward regime accuracy (XGBoost base learner, 21-day horizon; 2023 used as the validation-boundary year and excluded).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Test year</w:t>
            </w:r>
          </w:p>
        </w:tc>
        <w:tc>
          <w:tcPr>
            <w:tcW w:type="dxa" w:w="1337"/>
          </w:tcPr>
          <w:p>
            <w:r>
              <w:t>High-VIX n</w:t>
            </w:r>
          </w:p>
        </w:tc>
        <w:tc>
          <w:tcPr>
            <w:tcW w:type="dxa" w:w="1337"/>
          </w:tcPr>
          <w:p>
            <w:r>
              <w:t>Low-VIX n</w:t>
            </w:r>
          </w:p>
        </w:tc>
        <w:tc>
          <w:tcPr>
            <w:tcW w:type="dxa" w:w="1337"/>
          </w:tcPr>
          <w:p>
            <w:r>
              <w:t>High-VIX Acc</w:t>
            </w:r>
          </w:p>
        </w:tc>
        <w:tc>
          <w:tcPr>
            <w:tcW w:type="dxa" w:w="1337"/>
          </w:tcPr>
          <w:p>
            <w:r>
              <w:t>Low-VIX Acc</w:t>
            </w:r>
          </w:p>
        </w:tc>
        <w:tc>
          <w:tcPr>
            <w:tcW w:type="dxa" w:w="1337"/>
          </w:tcPr>
          <w:p>
            <w:r>
              <w:t>Diff (pp)</w:t>
            </w:r>
          </w:p>
        </w:tc>
        <w:tc>
          <w:tcPr>
            <w:tcW w:type="dxa" w:w="1337"/>
          </w:tcPr>
          <w:p>
            <w:r>
              <w:t>High &gt; Low</w:t>
            </w:r>
          </w:p>
        </w:tc>
      </w:tr>
      <w:tr>
        <w:tc>
          <w:tcPr>
            <w:tcW w:type="dxa" w:w="1337"/>
          </w:tcPr>
          <w:p>
            <w:r>
              <w:t>2019</w:t>
            </w:r>
          </w:p>
        </w:tc>
        <w:tc>
          <w:tcPr>
            <w:tcW w:type="dxa" w:w="1337"/>
          </w:tcPr>
          <w:p>
            <w:r>
              <w:t>33</w:t>
            </w:r>
          </w:p>
        </w:tc>
        <w:tc>
          <w:tcPr>
            <w:tcW w:type="dxa" w:w="1337"/>
          </w:tcPr>
          <w:p>
            <w:r>
              <w:t>209</w:t>
            </w:r>
          </w:p>
        </w:tc>
        <w:tc>
          <w:tcPr>
            <w:tcW w:type="dxa" w:w="1337"/>
          </w:tcPr>
          <w:p>
            <w:r>
              <w:t>30.3%</w:t>
            </w:r>
          </w:p>
        </w:tc>
        <w:tc>
          <w:tcPr>
            <w:tcW w:type="dxa" w:w="1337"/>
          </w:tcPr>
          <w:p>
            <w:r>
              <w:t>52.6%</w:t>
            </w:r>
          </w:p>
        </w:tc>
        <w:tc>
          <w:tcPr>
            <w:tcW w:type="dxa" w:w="1337"/>
          </w:tcPr>
          <w:p>
            <w:r>
              <w:t>-22.3</w:t>
            </w:r>
          </w:p>
        </w:tc>
        <w:tc>
          <w:tcPr>
            <w:tcW w:type="dxa" w:w="1337"/>
          </w:tcPr>
          <w:p>
            <w:r>
              <w:t>No</w:t>
            </w:r>
          </w:p>
        </w:tc>
      </w:tr>
      <w:tr>
        <w:tc>
          <w:tcPr>
            <w:tcW w:type="dxa" w:w="1337"/>
          </w:tcPr>
          <w:p>
            <w:r>
              <w:t>2020</w:t>
            </w:r>
          </w:p>
        </w:tc>
        <w:tc>
          <w:tcPr>
            <w:tcW w:type="dxa" w:w="1337"/>
          </w:tcPr>
          <w:p>
            <w:r>
              <w:t>203</w:t>
            </w:r>
          </w:p>
        </w:tc>
        <w:tc>
          <w:tcPr>
            <w:tcW w:type="dxa" w:w="1337"/>
          </w:tcPr>
          <w:p>
            <w:r>
              <w:t>46</w:t>
            </w:r>
          </w:p>
        </w:tc>
        <w:tc>
          <w:tcPr>
            <w:tcW w:type="dxa" w:w="1337"/>
          </w:tcPr>
          <w:p>
            <w:r>
              <w:t>66.0%</w:t>
            </w:r>
          </w:p>
        </w:tc>
        <w:tc>
          <w:tcPr>
            <w:tcW w:type="dxa" w:w="1337"/>
          </w:tcPr>
          <w:p>
            <w:r>
              <w:t>89.1%</w:t>
            </w:r>
          </w:p>
        </w:tc>
        <w:tc>
          <w:tcPr>
            <w:tcW w:type="dxa" w:w="1337"/>
          </w:tcPr>
          <w:p>
            <w:r>
              <w:t>-23.1</w:t>
            </w:r>
          </w:p>
        </w:tc>
        <w:tc>
          <w:tcPr>
            <w:tcW w:type="dxa" w:w="1337"/>
          </w:tcPr>
          <w:p>
            <w:r>
              <w:t>No</w:t>
            </w:r>
          </w:p>
        </w:tc>
      </w:tr>
      <w:tr>
        <w:tc>
          <w:tcPr>
            <w:tcW w:type="dxa" w:w="1337"/>
          </w:tcPr>
          <w:p>
            <w:r>
              <w:t>2021</w:t>
            </w:r>
          </w:p>
        </w:tc>
        <w:tc>
          <w:tcPr>
            <w:tcW w:type="dxa" w:w="1337"/>
          </w:tcPr>
          <w:p>
            <w:r>
              <w:t>97</w:t>
            </w:r>
          </w:p>
        </w:tc>
        <w:tc>
          <w:tcPr>
            <w:tcW w:type="dxa" w:w="1337"/>
          </w:tcPr>
          <w:p>
            <w:r>
              <w:t>141</w:t>
            </w:r>
          </w:p>
        </w:tc>
        <w:tc>
          <w:tcPr>
            <w:tcW w:type="dxa" w:w="1337"/>
          </w:tcPr>
          <w:p>
            <w:r>
              <w:t>35.1%</w:t>
            </w:r>
          </w:p>
        </w:tc>
        <w:tc>
          <w:tcPr>
            <w:tcW w:type="dxa" w:w="1337"/>
          </w:tcPr>
          <w:p>
            <w:r>
              <w:t>22.7%</w:t>
            </w:r>
          </w:p>
        </w:tc>
        <w:tc>
          <w:tcPr>
            <w:tcW w:type="dxa" w:w="1337"/>
          </w:tcPr>
          <w:p>
            <w:r>
              <w:t>+12.4</w:t>
            </w:r>
          </w:p>
        </w:tc>
        <w:tc>
          <w:tcPr>
            <w:tcW w:type="dxa" w:w="1337"/>
          </w:tcPr>
          <w:p>
            <w:r>
              <w:t>Yes</w:t>
            </w:r>
          </w:p>
        </w:tc>
      </w:tr>
      <w:tr>
        <w:tc>
          <w:tcPr>
            <w:tcW w:type="dxa" w:w="1337"/>
          </w:tcPr>
          <w:p>
            <w:r>
              <w:t>2022</w:t>
            </w:r>
          </w:p>
        </w:tc>
        <w:tc>
          <w:tcPr>
            <w:tcW w:type="dxa" w:w="1337"/>
          </w:tcPr>
          <w:p>
            <w:r>
              <w:t>132</w:t>
            </w:r>
          </w:p>
        </w:tc>
        <w:tc>
          <w:tcPr>
            <w:tcW w:type="dxa" w:w="1337"/>
          </w:tcPr>
          <w:p>
            <w:r>
              <w:t>115</w:t>
            </w:r>
          </w:p>
        </w:tc>
        <w:tc>
          <w:tcPr>
            <w:tcW w:type="dxa" w:w="1337"/>
          </w:tcPr>
          <w:p>
            <w:r>
              <w:t>43.2%</w:t>
            </w:r>
          </w:p>
        </w:tc>
        <w:tc>
          <w:tcPr>
            <w:tcW w:type="dxa" w:w="1337"/>
          </w:tcPr>
          <w:p>
            <w:r>
              <w:t>54.8%</w:t>
            </w:r>
          </w:p>
        </w:tc>
        <w:tc>
          <w:tcPr>
            <w:tcW w:type="dxa" w:w="1337"/>
          </w:tcPr>
          <w:p>
            <w:r>
              <w:t>-11.6</w:t>
            </w:r>
          </w:p>
        </w:tc>
        <w:tc>
          <w:tcPr>
            <w:tcW w:type="dxa" w:w="1337"/>
          </w:tcPr>
          <w:p>
            <w:r>
              <w:t>No</w:t>
            </w:r>
          </w:p>
        </w:tc>
      </w:tr>
      <w:tr>
        <w:tc>
          <w:tcPr>
            <w:tcW w:type="dxa" w:w="1337"/>
          </w:tcPr>
          <w:p>
            <w:r>
              <w:t>2024</w:t>
            </w:r>
          </w:p>
        </w:tc>
        <w:tc>
          <w:tcPr>
            <w:tcW w:type="dxa" w:w="1337"/>
          </w:tcPr>
          <w:p>
            <w:r>
              <w:t>19</w:t>
            </w:r>
          </w:p>
        </w:tc>
        <w:tc>
          <w:tcPr>
            <w:tcW w:type="dxa" w:w="1337"/>
          </w:tcPr>
          <w:p>
            <w:r>
              <w:t>225</w:t>
            </w:r>
          </w:p>
        </w:tc>
        <w:tc>
          <w:tcPr>
            <w:tcW w:type="dxa" w:w="1337"/>
          </w:tcPr>
          <w:p>
            <w:r>
              <w:t>10.5%</w:t>
            </w:r>
          </w:p>
        </w:tc>
        <w:tc>
          <w:tcPr>
            <w:tcW w:type="dxa" w:w="1337"/>
          </w:tcPr>
          <w:p>
            <w:r>
              <w:t>49.8%</w:t>
            </w:r>
          </w:p>
        </w:tc>
        <w:tc>
          <w:tcPr>
            <w:tcW w:type="dxa" w:w="1337"/>
          </w:tcPr>
          <w:p>
            <w:r>
              <w:t>-39.3</w:t>
            </w:r>
          </w:p>
        </w:tc>
        <w:tc>
          <w:tcPr>
            <w:tcW w:type="dxa" w:w="1337"/>
          </w:tcPr>
          <w:p>
            <w:r>
              <w:t>No</w:t>
            </w:r>
          </w:p>
        </w:tc>
      </w:tr>
      <w:tr>
        <w:tc>
          <w:tcPr>
            <w:tcW w:type="dxa" w:w="1337"/>
          </w:tcPr>
          <w:p>
            <w:r>
              <w:t>2025</w:t>
            </w:r>
          </w:p>
        </w:tc>
        <w:tc>
          <w:tcPr>
            <w:tcW w:type="dxa" w:w="1337"/>
          </w:tcPr>
          <w:p>
            <w:r>
              <w:t>8</w:t>
            </w:r>
          </w:p>
        </w:tc>
        <w:tc>
          <w:tcPr>
            <w:tcW w:type="dxa" w:w="1337"/>
          </w:tcPr>
          <w:p>
            <w:r>
              <w:t>239</w:t>
            </w:r>
          </w:p>
        </w:tc>
        <w:tc>
          <w:tcPr>
            <w:tcW w:type="dxa" w:w="1337"/>
          </w:tcPr>
          <w:p>
            <w:r>
              <w:t>12.5%</w:t>
            </w:r>
          </w:p>
        </w:tc>
        <w:tc>
          <w:tcPr>
            <w:tcW w:type="dxa" w:w="1337"/>
          </w:tcPr>
          <w:p>
            <w:r>
              <w:t>43.9%</w:t>
            </w:r>
          </w:p>
        </w:tc>
        <w:tc>
          <w:tcPr>
            <w:tcW w:type="dxa" w:w="1337"/>
          </w:tcPr>
          <w:p>
            <w:r>
              <w:t>-31.4</w:t>
            </w:r>
          </w:p>
        </w:tc>
        <w:tc>
          <w:tcPr>
            <w:tcW w:type="dxa" w:w="1337"/>
          </w:tcPr>
          <w:p>
            <w:r>
              <w:t>No</w:t>
            </w:r>
          </w:p>
        </w:tc>
      </w:tr>
    </w:tbl>
    <w:p/>
    <w:p>
      <w:r>
        <w:drawing>
          <wp:inline xmlns:a="http://schemas.openxmlformats.org/drawingml/2006/main" xmlns:pic="http://schemas.openxmlformats.org/drawingml/2006/picture">
            <wp:extent cx="5303520" cy="2612448"/>
            <wp:docPr id="529019809" name="Picture 529019809"/>
            <wp:cNvGraphicFramePr>
              <a:graphicFrameLocks noChangeAspect="1"/>
            </wp:cNvGraphicFramePr>
            <a:graphic>
              <a:graphicData uri="http://schemas.openxmlformats.org/drawingml/2006/picture">
                <pic:pic>
                  <pic:nvPicPr>
                    <pic:cNvPr id="0" name="R05_walkforward_regime_accuracy.png"/>
                    <pic:cNvPicPr/>
                  </pic:nvPicPr>
                  <pic:blipFill>
                    <a:blip r:embed="rId22"/>
                    <a:stretch>
                      <a:fillRect/>
                    </a:stretch>
                  </pic:blipFill>
                  <pic:spPr>
                    <a:xfrm>
                      <a:off x="0" y="0"/>
                      <a:ext cx="5303520" cy="2612448"/>
                    </a:xfrm>
                    <a:prstGeom prst="rect"/>
                  </pic:spPr>
                </pic:pic>
              </a:graphicData>
            </a:graphic>
          </wp:inline>
        </w:drawing>
      </w:r>
    </w:p>
    <w:p>
      <w:r>
        <w:t>Fig. 12. Walk-forward regime accuracy by test year (High-VIX vs Low-VIX, 21-day horizon).</w:t>
      </w:r>
    </w:p>
    <w:p>
      <w:r>
        <w:t>The walk-forward result is the most direct test of generalizability available in this study, and it does not support a general High-VIX advantage: across six independently evaluated years, High-VIX accuracy exceeds Low-VIX accuracy in only one year (2021), and underperforms it by 11-39 percentage points in the other five. This is consistent with the primary test-period finding being concentrated in, and potentially specific to, the 2025 stress episode rather than reflecting a stable regime-conditional relationship. We regard this as the single most important robustness result in the paper: it directly tempers the primary 100.0% vs 66.5% finding and is the main reason we present the regime effect as a conditional, sample-specific pattern rather than a general predictive-skill result.</w:t>
      </w:r>
    </w:p>
    <w:p w14:paraId="4E78280C" w14:textId="77777777" w:rsidR="00ED66A2" w:rsidRDefault="00000000">
      <w:pPr>
        <w:pStyle w:val="Heading2"/>
      </w:pPr>
      <w:r>
        <w:rPr>
          <w:rFonts w:ascii="Times New Roman" w:hAnsi="Times New Roman"/>
        </w:rPr>
        <w:t>6.5.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pPr>
        <w:pStyle w:val="Heading2"/>
      </w:pPr>
      <w:r>
        <w:t>6.6. Ablation study</w:t>
      </w:r>
    </w:p>
    <w:p>
      <w:r>
        <w:t>To assess whether the ensemble's complexity is justified (Reviewer #3.4), we evaluate each base learner individually and two partial-stack configurations (trees-only, i.e. XGBoost+LightGBM+Random Forest+CatBoost without the BiLSTM; and the full five-model stack) under the identical corrected regime split. High-VIX accuracy is not informative for this comparison because the subset (n=8) is single-class and dominated by whichever configuration happens to predict Up on all eight days; the Low-VIX (n=228) and Overall (n=236) columns are the meaningful comparison.</w:t>
      </w:r>
    </w:p>
    <w:p>
      <w:r>
        <w:t>Table 13. Ablation study: accuracy by model configuration and regime (21-day horizon).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High-VIX Acc (n=8)</w:t>
            </w:r>
          </w:p>
        </w:tc>
        <w:tc>
          <w:tcPr>
            <w:tcW w:type="dxa" w:w="2340"/>
          </w:tcPr>
          <w:p>
            <w:r>
              <w:t>Low-VIX Acc (n=228)</w:t>
            </w:r>
          </w:p>
        </w:tc>
        <w:tc>
          <w:tcPr>
            <w:tcW w:type="dxa" w:w="2340"/>
          </w:tcPr>
          <w:p>
            <w:r>
              <w:t>Overall Acc (n=236)</w:t>
            </w:r>
          </w:p>
        </w:tc>
      </w:tr>
      <w:tr>
        <w:tc>
          <w:tcPr>
            <w:tcW w:type="dxa" w:w="2340"/>
          </w:tcPr>
          <w:p>
            <w:r>
              <w:t>XGBoost only</w:t>
            </w:r>
          </w:p>
        </w:tc>
        <w:tc>
          <w:tcPr>
            <w:tcW w:type="dxa" w:w="2340"/>
          </w:tcPr>
          <w:p>
            <w:r>
              <w:t>0.0%</w:t>
            </w:r>
          </w:p>
        </w:tc>
        <w:tc>
          <w:tcPr>
            <w:tcW w:type="dxa" w:w="2340"/>
          </w:tcPr>
          <w:p>
            <w:r>
              <w:t>45.2%</w:t>
            </w:r>
          </w:p>
        </w:tc>
        <w:tc>
          <w:tcPr>
            <w:tcW w:type="dxa" w:w="2340"/>
          </w:tcPr>
          <w:p>
            <w:r>
              <w:t>43.6%</w:t>
            </w:r>
          </w:p>
        </w:tc>
      </w:tr>
      <w:tr>
        <w:tc>
          <w:tcPr>
            <w:tcW w:type="dxa" w:w="2340"/>
          </w:tcPr>
          <w:p>
            <w:r>
              <w:t>LightGBM only</w:t>
            </w:r>
          </w:p>
        </w:tc>
        <w:tc>
          <w:tcPr>
            <w:tcW w:type="dxa" w:w="2340"/>
          </w:tcPr>
          <w:p>
            <w:r>
              <w:t>0.0%</w:t>
            </w:r>
          </w:p>
        </w:tc>
        <w:tc>
          <w:tcPr>
            <w:tcW w:type="dxa" w:w="2340"/>
          </w:tcPr>
          <w:p>
            <w:r>
              <w:t>48.7%</w:t>
            </w:r>
          </w:p>
        </w:tc>
        <w:tc>
          <w:tcPr>
            <w:tcW w:type="dxa" w:w="2340"/>
          </w:tcPr>
          <w:p>
            <w:r>
              <w:t>47.0%</w:t>
            </w:r>
          </w:p>
        </w:tc>
      </w:tr>
      <w:tr>
        <w:tc>
          <w:tcPr>
            <w:tcW w:type="dxa" w:w="2340"/>
          </w:tcPr>
          <w:p>
            <w:r>
              <w:t>Random Forest only</w:t>
            </w:r>
          </w:p>
        </w:tc>
        <w:tc>
          <w:tcPr>
            <w:tcW w:type="dxa" w:w="2340"/>
          </w:tcPr>
          <w:p>
            <w:r>
              <w:t>62.5%</w:t>
            </w:r>
          </w:p>
        </w:tc>
        <w:tc>
          <w:tcPr>
            <w:tcW w:type="dxa" w:w="2340"/>
          </w:tcPr>
          <w:p>
            <w:r>
              <w:t>48.7%</w:t>
            </w:r>
          </w:p>
        </w:tc>
        <w:tc>
          <w:tcPr>
            <w:tcW w:type="dxa" w:w="2340"/>
          </w:tcPr>
          <w:p>
            <w:r>
              <w:t>49.2%</w:t>
            </w:r>
          </w:p>
        </w:tc>
      </w:tr>
      <w:tr>
        <w:tc>
          <w:tcPr>
            <w:tcW w:type="dxa" w:w="2340"/>
          </w:tcPr>
          <w:p>
            <w:r>
              <w:t>CatBoost only</w:t>
            </w:r>
          </w:p>
        </w:tc>
        <w:tc>
          <w:tcPr>
            <w:tcW w:type="dxa" w:w="2340"/>
          </w:tcPr>
          <w:p>
            <w:r>
              <w:t>0.0%</w:t>
            </w:r>
          </w:p>
        </w:tc>
        <w:tc>
          <w:tcPr>
            <w:tcW w:type="dxa" w:w="2340"/>
          </w:tcPr>
          <w:p>
            <w:r>
              <w:t>49.6%</w:t>
            </w:r>
          </w:p>
        </w:tc>
        <w:tc>
          <w:tcPr>
            <w:tcW w:type="dxa" w:w="2340"/>
          </w:tcPr>
          <w:p>
            <w:r>
              <w:t>47.9%</w:t>
            </w:r>
          </w:p>
        </w:tc>
      </w:tr>
      <w:tr>
        <w:tc>
          <w:tcPr>
            <w:tcW w:type="dxa" w:w="2340"/>
          </w:tcPr>
          <w:p>
            <w:r>
              <w:t>BiLSTM+Attention only</w:t>
            </w:r>
          </w:p>
        </w:tc>
        <w:tc>
          <w:tcPr>
            <w:tcW w:type="dxa" w:w="2340"/>
          </w:tcPr>
          <w:p>
            <w:r>
              <w:t>0.0%</w:t>
            </w:r>
          </w:p>
        </w:tc>
        <w:tc>
          <w:tcPr>
            <w:tcW w:type="dxa" w:w="2340"/>
          </w:tcPr>
          <w:p>
            <w:r>
              <w:t>51.8%</w:t>
            </w:r>
          </w:p>
        </w:tc>
        <w:tc>
          <w:tcPr>
            <w:tcW w:type="dxa" w:w="2340"/>
          </w:tcPr>
          <w:p>
            <w:r>
              <w:t>50.0%</w:t>
            </w:r>
          </w:p>
        </w:tc>
      </w:tr>
      <w:tr>
        <w:tc>
          <w:tcPr>
            <w:tcW w:type="dxa" w:w="2340"/>
          </w:tcPr>
          <w:p>
            <w:r>
              <w:t>BiLSTM (no attention)</w:t>
            </w:r>
          </w:p>
        </w:tc>
        <w:tc>
          <w:tcPr>
            <w:tcW w:type="dxa" w:w="2340"/>
          </w:tcPr>
          <w:p>
            <w:r>
              <w:t>0.0%</w:t>
            </w:r>
          </w:p>
        </w:tc>
        <w:tc>
          <w:tcPr>
            <w:tcW w:type="dxa" w:w="2340"/>
          </w:tcPr>
          <w:p>
            <w:r>
              <w:t>55.3%</w:t>
            </w:r>
          </w:p>
        </w:tc>
        <w:tc>
          <w:tcPr>
            <w:tcW w:type="dxa" w:w="2340"/>
          </w:tcPr>
          <w:p>
            <w:r>
              <w:t>53.4%</w:t>
            </w:r>
          </w:p>
        </w:tc>
      </w:tr>
      <w:tr>
        <w:tc>
          <w:tcPr>
            <w:tcW w:type="dxa" w:w="2340"/>
          </w:tcPr>
          <w:p>
            <w:r>
              <w:t>Stack (trees only, no BiLSTM)</w:t>
            </w:r>
          </w:p>
        </w:tc>
        <w:tc>
          <w:tcPr>
            <w:tcW w:type="dxa" w:w="2340"/>
          </w:tcPr>
          <w:p>
            <w:r>
              <w:t>100.0%</w:t>
            </w:r>
          </w:p>
        </w:tc>
        <w:tc>
          <w:tcPr>
            <w:tcW w:type="dxa" w:w="2340"/>
          </w:tcPr>
          <w:p>
            <w:r>
              <w:t>66.7%</w:t>
            </w:r>
          </w:p>
        </w:tc>
        <w:tc>
          <w:tcPr>
            <w:tcW w:type="dxa" w:w="2340"/>
          </w:tcPr>
          <w:p>
            <w:r>
              <w:t>67.8%</w:t>
            </w:r>
          </w:p>
        </w:tc>
      </w:tr>
      <w:tr>
        <w:tc>
          <w:tcPr>
            <w:tcW w:type="dxa" w:w="2340"/>
          </w:tcPr>
          <w:p>
            <w:r>
              <w:t>Stack (full, all 5 learners)</w:t>
            </w:r>
          </w:p>
        </w:tc>
        <w:tc>
          <w:tcPr>
            <w:tcW w:type="dxa" w:w="2340"/>
          </w:tcPr>
          <w:p>
            <w:r>
              <w:t>100.0%</w:t>
            </w:r>
          </w:p>
        </w:tc>
        <w:tc>
          <w:tcPr>
            <w:tcW w:type="dxa" w:w="2340"/>
          </w:tcPr>
          <w:p>
            <w:r>
              <w:t>64.9%</w:t>
            </w:r>
          </w:p>
        </w:tc>
        <w:tc>
          <w:tcPr>
            <w:tcW w:type="dxa" w:w="2340"/>
          </w:tcPr>
          <w:p>
            <w:r>
              <w:t>66.1%</w:t>
            </w:r>
          </w:p>
        </w:tc>
      </w:tr>
    </w:tbl>
    <w:p/>
    <w:p>
      <w:r>
        <w:drawing>
          <wp:inline xmlns:a="http://schemas.openxmlformats.org/drawingml/2006/main" xmlns:pic="http://schemas.openxmlformats.org/drawingml/2006/picture">
            <wp:extent cx="5303520" cy="2610688"/>
            <wp:docPr id="529019810" name="Picture 529019810"/>
            <wp:cNvGraphicFramePr>
              <a:graphicFrameLocks noChangeAspect="1"/>
            </wp:cNvGraphicFramePr>
            <a:graphic>
              <a:graphicData uri="http://schemas.openxmlformats.org/drawingml/2006/picture">
                <pic:pic>
                  <pic:nvPicPr>
                    <pic:cNvPr id="0" name="R08_ablation_accuracy.png"/>
                    <pic:cNvPicPr/>
                  </pic:nvPicPr>
                  <pic:blipFill>
                    <a:blip r:embed="rId23"/>
                    <a:stretch>
                      <a:fillRect/>
                    </a:stretch>
                  </pic:blipFill>
                  <pic:spPr>
                    <a:xfrm>
                      <a:off x="0" y="0"/>
                      <a:ext cx="5303520" cy="2610688"/>
                    </a:xfrm>
                    <a:prstGeom prst="rect"/>
                  </pic:spPr>
                </pic:pic>
              </a:graphicData>
            </a:graphic>
          </wp:inline>
        </w:drawing>
      </w:r>
    </w:p>
    <w:p>
      <w:r>
        <w:t>Fig. 13. Ablation study: High-VIX accuracy by configuration. Not informative on its own (n=8, single class) -- see Table 13 for the Low-VIX and Overall columns, which are the meaningful comparison for this ablation.</w:t>
      </w:r>
    </w:p>
    <w:p>
      <w:r>
        <w:t>Two findings stand out. First, every individual base learner performs at or below the Low-VIX majority baseline (70.2%), while both stacked configurations exceed it (66.7% and 64.9% are still below 70.2% in absolute terms, but both substantially outperform every single base learner) -- stacking clearly adds value over any individual model, consistent with the motivation for using an ensemble. Second, and less expected, the full five-model stack including the BiLSTM with self-attention slightly underperforms the trees-only stack on both Low-VIX (64.9% vs 66.7%) and Overall (66.1% vs 67.8%) accuracy. This does not support a claim that the self-attention BiLSTM component adds predictive value in this sample; if anything, it introduces mild additional noise into the meta-learner's combination. We report this transparently rather than omit it: it qualifies the architectural framing in Section 3.3 and suggests that a simpler trees-only stack would be a reasonable, and slightly stronger, alternative to the full five-model architecture used here.</w:t>
      </w:r>
    </w:p>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is complicated by the 1-day and 5-day results (Section 5.1, Table 7). The 1-day horizon shows no regime gap, consistent with a "noise dominates at short horizons" story. The 5-day horizon, however, shows a nominally larger High-VIX accuracy gap than even the 21-day headline result (100.0% vs 55.2%, uncorrected Fisher p=0.011) on the same eight High-VIX test days. We do not read this as evidence that a genuine effect exists at 5-day and not at 21-day, or vice versa; with only eight shared High-VIX observations across all three horizons and no independent block-bootstrap or walk-forward validation for 1-day/5-day, the more honest reading is that all three horizon-conditional results are heavily influenced by the same small, single-episode sample, and none of them should be treated as horizon-specific mechanistic evidence. This further supports the paper's overall conclusion (Section 6.4) that the primary finding does not generalize reliably beyond the evaluated episode.</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began as a study of India-VIX-conditional Bank Nifty predictability and, after correcting split leakage, threshold look-ahead bias, and overlapping-observation dependence, became a demonstration of how those two errors alone produced the original positive result. Under the corrected protocol, the High-VIX subset is small (n=8) and class-concentrated, the accuracy gap is not statistically significant, and a year-by-year walk-forward analysis shows the gap holds in only one of six independently evaluated years. Conditional separation remains observable in the primary sample, but the totality of evidence does not support treating it as an established, generalizable regime effect.</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