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EA4443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  <w:sz w:val="26"/>
        </w:rPr>
        <w:t>Response to Reviewers</w:t>
      </w:r>
    </w:p>
    <w:p w14:paraId="6F4980F3" w14:textId="5959BAC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 xml:space="preserve">Manuscript ID: </w:t>
      </w:r>
      <w:r w:rsidR="00FC686A" w:rsidRPr="00FC686A">
        <w:rPr>
          <w:rFonts w:ascii="Times New Roman" w:hAnsi="Times New Roman" w:cs="Times New Roman"/>
        </w:rPr>
        <w:t>NCAA-D-26-02775R1</w:t>
      </w:r>
    </w:p>
    <w:p w14:paraId="71E4D679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Title: India VIX Regime-Conditional Directional Prediction of Bank Nifty: A Stacking Ensemble Approach</w:t>
      </w:r>
    </w:p>
    <w:p w14:paraId="7304C4E2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Journal: Neural Computing and Applications</w:t>
      </w:r>
    </w:p>
    <w:p w14:paraId="2F514EC4" w14:textId="77777777" w:rsidR="00FC686A" w:rsidRDefault="00FC686A" w:rsidP="00FC686A">
      <w:pPr>
        <w:jc w:val="both"/>
        <w:rPr>
          <w:rFonts w:ascii="Times New Roman" w:hAnsi="Times New Roman" w:cs="Times New Roman"/>
        </w:rPr>
      </w:pPr>
    </w:p>
    <w:p w14:paraId="7DA221CE" w14:textId="3739612A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Dear Editor and Reviewers,</w:t>
      </w:r>
    </w:p>
    <w:p w14:paraId="4FF7E45B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We sincerely thank the Editor and all Reviewers for the detailed and constructive feedback. We have substantially revised the analysis pipeline and manuscript to address concerns on leakage, look-ahead bias, overlapping outcomes, regime concentration, baseline benchmarking, trading-protocol clarity, and reporting transparency. Where corrected analyses did not support our earlier claims, we have revised the manuscript narrative conservatively and explicitly. Below we provide a point-by-point response.</w:t>
      </w:r>
    </w:p>
    <w:p w14:paraId="74004F19" w14:textId="5ACB61F9" w:rsidR="005B7E5B" w:rsidRPr="00FC686A" w:rsidRDefault="00FC686A" w:rsidP="00FC686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</w:t>
      </w:r>
    </w:p>
    <w:p w14:paraId="4AE75C54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  <w:sz w:val="26"/>
        </w:rPr>
        <w:t>Reviewer 1</w:t>
      </w:r>
    </w:p>
    <w:p w14:paraId="28CDF23C" w14:textId="3E890F65" w:rsidR="005B7E5B" w:rsidRPr="00FC686A" w:rsidRDefault="00FC686A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R1.1 Threshold look-ahead bias</w:t>
      </w:r>
    </w:p>
    <w:p w14:paraId="7FD2BAF7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The High-VIX threshold was previously estimated from the test-period distribution, constituting look-ahead bias.</w:t>
      </w:r>
    </w:p>
    <w:p w14:paraId="525B8765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The original threshold (15.08) was computed from the test-period VIX distribution, which is unavailable in real deployment. We recalibrated the primary regime threshold using only pre-test data (train + validation periods).</w:t>
      </w:r>
    </w:p>
    <w:p w14:paraId="1C661CAA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1466599C" w14:textId="2539876B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Primary threshold set to the 75th percentile of the train+validation VIX distribution: 18.71 (replacing the biased 15.08).</w:t>
      </w:r>
    </w:p>
    <w:p w14:paraId="358883D3" w14:textId="3ABE6961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Under the corrected fixed threshold, the High-VIX test subset contains 8 observations (was 58 under the biased threshold); Low-VIX contains 248 (was 219).</w:t>
      </w:r>
    </w:p>
    <w:p w14:paraId="5135FA70" w14:textId="7AB49755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Regime partition for all downstream analyses recomputed under the fixed pre-test threshold.</w:t>
      </w:r>
    </w:p>
    <w:p w14:paraId="1ED56ACA" w14:textId="43842505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Expanding-window and rolling-252-day p75 threshold comparisons are also reported for sensitivity; both yield similar counts (8 and 52, respectively).</w:t>
      </w:r>
    </w:p>
    <w:p w14:paraId="7C6E8186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3.4 (regime definition and threshold calibration), Section 6.3 (threshold sensitivity), and Table 11 (threshold-comparison summary).</w:t>
      </w:r>
    </w:p>
    <w:p w14:paraId="5DEF5667" w14:textId="77777777" w:rsidR="00FC686A" w:rsidRDefault="00FC686A" w:rsidP="00FC686A">
      <w:pPr>
        <w:jc w:val="both"/>
        <w:rPr>
          <w:rFonts w:ascii="Times New Roman" w:hAnsi="Times New Roman" w:cs="Times New Roman"/>
          <w:b/>
        </w:rPr>
      </w:pPr>
    </w:p>
    <w:p w14:paraId="48F9EE57" w14:textId="77777777" w:rsidR="00FC686A" w:rsidRDefault="00FC686A" w:rsidP="00FC686A">
      <w:pPr>
        <w:jc w:val="both"/>
        <w:rPr>
          <w:rFonts w:ascii="Times New Roman" w:hAnsi="Times New Roman" w:cs="Times New Roman"/>
          <w:b/>
        </w:rPr>
      </w:pPr>
    </w:p>
    <w:p w14:paraId="366BF016" w14:textId="1CD74FB7" w:rsidR="005B7E5B" w:rsidRPr="00FC686A" w:rsidRDefault="00FC686A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lastRenderedPageBreak/>
        <w:t>R1.2 Overlap dependence in inference</w:t>
      </w:r>
    </w:p>
    <w:p w14:paraId="65E63FF3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The 21-day horizon induces overlapping outcomes and serial dependence, invalidating i.i.d. inference.</w:t>
      </w:r>
    </w:p>
    <w:p w14:paraId="4D3043D0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We replaced i.i.d.-style Fisher test with dependence-aware procedures throughout.</w:t>
      </w:r>
    </w:p>
    <w:p w14:paraId="4FA66A0A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3E3ED58E" w14:textId="7934E101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Non-overlapping Fisher exact test: every 21st aligned observation is used (approximately 12 non-overlapping pairs from 256 aligned rows).</w:t>
      </w:r>
    </w:p>
    <w:p w14:paraId="0B936CD9" w14:textId="4E618AAD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Circular block-bootstrap confidence interval (block length = 21): 95% CI for the accuracy difference = [16.2 pp, 51.4 pp].</w:t>
      </w:r>
    </w:p>
    <w:p w14:paraId="31C38684" w14:textId="0E3F356B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Block-permutation test: p = 0.357 (before Bonferroni); p = 1.000 after Bonferroni correction across 3 horizons. The result is not significant at the corrected level.</w:t>
      </w:r>
    </w:p>
    <w:p w14:paraId="350C4CF2" w14:textId="789049B7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Manuscript narrative revised to emphasise sparse support (n = 8) and the distinction between observational pattern and statistically certified predictability.</w:t>
      </w:r>
    </w:p>
    <w:p w14:paraId="33F0B555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6.3 (dependence-aware inference and uncertainty analysis), Table 5 (statistical tests), and Fig. 9 (bootstrap confidence intervals and temporal concentration).</w:t>
      </w:r>
    </w:p>
    <w:p w14:paraId="34695A6B" w14:textId="4B7F7E1C" w:rsidR="005B7E5B" w:rsidRPr="00FC686A" w:rsidRDefault="00FC686A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R1.3 Generalizability from a single stress episode</w:t>
      </w:r>
    </w:p>
    <w:p w14:paraId="48BE7ADC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High-VIX observations concentrated in one episode may make findings event-specific and not generalizable.</w:t>
      </w:r>
    </w:p>
    <w:p w14:paraId="4E7C2868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We added walk-forward yearly evaluation and tempered all generalizability claims accordingly.</w:t>
      </w:r>
    </w:p>
    <w:p w14:paraId="0C26F97F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4E3E3D33" w14:textId="7DB8DFE0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Year-wise walk-forward analysis (2019–2025): in each year's held-out window the High-VIX accuracy advantage is inconsistent (positive in 2021, negative in 2019, 2020, 2022, 2024, and 2025), confirming episode-specific concentration of the result.</w:t>
      </w:r>
    </w:p>
    <w:p w14:paraId="44BEB2FB" w14:textId="039FEF41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The manuscript now explicitly states that the 21-day High-VIX result should not be extrapolated beyond the evaluated test period without additional replication.</w:t>
      </w:r>
    </w:p>
    <w:p w14:paraId="62E51EC6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6.4 (walk-forward generalizability analysis), corresponding walk-forward results table, and Fig. 10.</w:t>
      </w:r>
    </w:p>
    <w:p w14:paraId="0ADA78BC" w14:textId="22719DF1" w:rsidR="005B7E5B" w:rsidRPr="00FC686A" w:rsidRDefault="00FC686A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R1.4 Sharpe claim inconsistency at 50 bps</w:t>
      </w:r>
    </w:p>
    <w:p w14:paraId="7A567FDD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The text previously overstated Sharpe superiority of the strategy versus buy-and-hold even at 50 bps transaction cost.</w:t>
      </w:r>
    </w:p>
    <w:p w14:paraId="63742AA2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lastRenderedPageBreak/>
        <w:t xml:space="preserve">Response: </w:t>
      </w:r>
      <w:r w:rsidRPr="00FC686A">
        <w:rPr>
          <w:rFonts w:ascii="Times New Roman" w:hAnsi="Times New Roman" w:cs="Times New Roman"/>
        </w:rPr>
        <w:t>Accepted and fully corrected. The prior claim was an artefact of an overlapping-position simulation with incorrect cost conversion. We rebuilt the simulation under a non-overlapping, deployable protocol.</w:t>
      </w:r>
    </w:p>
    <w:p w14:paraId="7A9471AC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2BD9D81C" w14:textId="69635272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Corrected buy-and-hold Sharpe: 1.204 (was 1.963 under old protocol).</w:t>
      </w:r>
    </w:p>
    <w:p w14:paraId="5F447121" w14:textId="52D13A3B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Corrected High-VIX + Up strategy (1 trade, 21 active days / 256 evaluation days):</w:t>
      </w:r>
    </w:p>
    <w:p w14:paraId="5FB4D95A" w14:textId="74F72B1C" w:rsidR="005B7E5B" w:rsidRPr="00FC686A" w:rsidRDefault="00000000" w:rsidP="00FC686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TC = 0 bps:  cumulative return +9.91</w:t>
      </w:r>
      <w:proofErr w:type="gramStart"/>
      <w:r w:rsidRPr="00FC686A">
        <w:rPr>
          <w:rFonts w:ascii="Times New Roman" w:hAnsi="Times New Roman" w:cs="Times New Roman"/>
        </w:rPr>
        <w:t>%,  Sharpe</w:t>
      </w:r>
      <w:proofErr w:type="gramEnd"/>
      <w:r w:rsidRPr="00FC686A">
        <w:rPr>
          <w:rFonts w:ascii="Times New Roman" w:hAnsi="Times New Roman" w:cs="Times New Roman"/>
        </w:rPr>
        <w:t xml:space="preserve"> </w:t>
      </w:r>
      <w:proofErr w:type="gramStart"/>
      <w:r w:rsidRPr="00FC686A">
        <w:rPr>
          <w:rFonts w:ascii="Times New Roman" w:hAnsi="Times New Roman" w:cs="Times New Roman"/>
        </w:rPr>
        <w:t>0.455  (</w:t>
      </w:r>
      <w:proofErr w:type="gramEnd"/>
      <w:r w:rsidRPr="00FC686A">
        <w:rPr>
          <w:rFonts w:ascii="Times New Roman" w:hAnsi="Times New Roman" w:cs="Times New Roman"/>
        </w:rPr>
        <w:t>vs BH 1.204)</w:t>
      </w:r>
    </w:p>
    <w:p w14:paraId="38032DC8" w14:textId="02D06617" w:rsidR="005B7E5B" w:rsidRPr="00FC686A" w:rsidRDefault="00000000" w:rsidP="00FC686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TC = 10 bps: cumulative return +9.80</w:t>
      </w:r>
      <w:proofErr w:type="gramStart"/>
      <w:r w:rsidRPr="00FC686A">
        <w:rPr>
          <w:rFonts w:ascii="Times New Roman" w:hAnsi="Times New Roman" w:cs="Times New Roman"/>
        </w:rPr>
        <w:t>%,  Sharpe</w:t>
      </w:r>
      <w:proofErr w:type="gramEnd"/>
      <w:r w:rsidRPr="00FC686A">
        <w:rPr>
          <w:rFonts w:ascii="Times New Roman" w:hAnsi="Times New Roman" w:cs="Times New Roman"/>
        </w:rPr>
        <w:t xml:space="preserve"> 0.439</w:t>
      </w:r>
    </w:p>
    <w:p w14:paraId="6D00348F" w14:textId="08B3F8B5" w:rsidR="005B7E5B" w:rsidRPr="00FC686A" w:rsidRDefault="00000000" w:rsidP="00FC686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TC = 20 bps: cumulative return +9.69</w:t>
      </w:r>
      <w:proofErr w:type="gramStart"/>
      <w:r w:rsidRPr="00FC686A">
        <w:rPr>
          <w:rFonts w:ascii="Times New Roman" w:hAnsi="Times New Roman" w:cs="Times New Roman"/>
        </w:rPr>
        <w:t>%,  Sharpe</w:t>
      </w:r>
      <w:proofErr w:type="gramEnd"/>
      <w:r w:rsidRPr="00FC686A">
        <w:rPr>
          <w:rFonts w:ascii="Times New Roman" w:hAnsi="Times New Roman" w:cs="Times New Roman"/>
        </w:rPr>
        <w:t xml:space="preserve"> 0.423</w:t>
      </w:r>
    </w:p>
    <w:p w14:paraId="3BED4929" w14:textId="53B4619E" w:rsidR="005B7E5B" w:rsidRPr="00FC686A" w:rsidRDefault="00000000" w:rsidP="00FC686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TC = 30 bps: cumulative return +9.58</w:t>
      </w:r>
      <w:proofErr w:type="gramStart"/>
      <w:r w:rsidRPr="00FC686A">
        <w:rPr>
          <w:rFonts w:ascii="Times New Roman" w:hAnsi="Times New Roman" w:cs="Times New Roman"/>
        </w:rPr>
        <w:t>%,  Sharpe</w:t>
      </w:r>
      <w:proofErr w:type="gramEnd"/>
      <w:r w:rsidRPr="00FC686A">
        <w:rPr>
          <w:rFonts w:ascii="Times New Roman" w:hAnsi="Times New Roman" w:cs="Times New Roman"/>
        </w:rPr>
        <w:t xml:space="preserve"> 0.407</w:t>
      </w:r>
    </w:p>
    <w:p w14:paraId="191C8370" w14:textId="476B2BE7" w:rsidR="005B7E5B" w:rsidRPr="00FC686A" w:rsidRDefault="00000000" w:rsidP="00FC686A">
      <w:pPr>
        <w:pStyle w:val="ListParagraph"/>
        <w:numPr>
          <w:ilvl w:val="1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TC = 50 bps: cumulative return +9.36</w:t>
      </w:r>
      <w:proofErr w:type="gramStart"/>
      <w:r w:rsidRPr="00FC686A">
        <w:rPr>
          <w:rFonts w:ascii="Times New Roman" w:hAnsi="Times New Roman" w:cs="Times New Roman"/>
        </w:rPr>
        <w:t>%,  Sharpe</w:t>
      </w:r>
      <w:proofErr w:type="gramEnd"/>
      <w:r w:rsidRPr="00FC686A">
        <w:rPr>
          <w:rFonts w:ascii="Times New Roman" w:hAnsi="Times New Roman" w:cs="Times New Roman"/>
        </w:rPr>
        <w:t xml:space="preserve"> </w:t>
      </w:r>
      <w:proofErr w:type="gramStart"/>
      <w:r w:rsidRPr="00FC686A">
        <w:rPr>
          <w:rFonts w:ascii="Times New Roman" w:hAnsi="Times New Roman" w:cs="Times New Roman"/>
        </w:rPr>
        <w:t>0.375  (</w:t>
      </w:r>
      <w:proofErr w:type="gramEnd"/>
      <w:r w:rsidRPr="00FC686A">
        <w:rPr>
          <w:rFonts w:ascii="Times New Roman" w:hAnsi="Times New Roman" w:cs="Times New Roman"/>
        </w:rPr>
        <w:t>vs BH 1.204)</w:t>
      </w:r>
    </w:p>
    <w:p w14:paraId="75EB157C" w14:textId="5340C1CA" w:rsidR="005B7E5B" w:rsidRPr="00FC686A" w:rsidRDefault="00000000" w:rsidP="00FC686A">
      <w:pPr>
        <w:pStyle w:val="ListParagraph"/>
        <w:numPr>
          <w:ilvl w:val="0"/>
          <w:numId w:val="1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The strategy does not exceed buy-and-hold Sharpe at any tested cost level. Maximum drawdown is lower (−3.69% vs −6.62%). The abstract, conclusion, and all tables have been updated to reflect corrected values.</w:t>
      </w:r>
    </w:p>
    <w:p w14:paraId="56A41FEB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5.3 (trading interpretation, signal timing, and execution protocol), Table 8 (trading performance), Table 9 (cost sensitivity), and Fig. 5 (equity curves).</w:t>
      </w:r>
    </w:p>
    <w:p w14:paraId="71696D88" w14:textId="766D2620" w:rsidR="005B7E5B" w:rsidRPr="00FC686A" w:rsidRDefault="00FC686A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R1.5 Signal timing and execution ambiguity</w:t>
      </w:r>
    </w:p>
    <w:p w14:paraId="749C0193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Potential look-ahead due to unclear signal and execution timing.</w:t>
      </w:r>
    </w:p>
    <w:p w14:paraId="1FF55852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We define and implement a fully deployable timing protocol.</w:t>
      </w:r>
    </w:p>
    <w:p w14:paraId="2249F544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0A530361" w14:textId="6A449961" w:rsidR="005B7E5B" w:rsidRPr="00FC686A" w:rsidRDefault="00000000" w:rsidP="00FC68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Signal computed from all features available after market close on day t.</w:t>
      </w:r>
    </w:p>
    <w:p w14:paraId="2DB55344" w14:textId="2267DF0A" w:rsidR="005B7E5B" w:rsidRPr="00FC686A" w:rsidRDefault="00000000" w:rsidP="00FC68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Entry at open price on day t+1.</w:t>
      </w:r>
    </w:p>
    <w:p w14:paraId="204825EE" w14:textId="3A16B06A" w:rsidR="005B7E5B" w:rsidRPr="00FC686A" w:rsidRDefault="00000000" w:rsidP="00FC68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Exit at close price on day t+21.</w:t>
      </w:r>
    </w:p>
    <w:p w14:paraId="0AE3E738" w14:textId="28A85A3A" w:rsidR="005B7E5B" w:rsidRPr="00FC686A" w:rsidRDefault="00000000" w:rsidP="00FC686A">
      <w:pPr>
        <w:pStyle w:val="ListParagraph"/>
        <w:numPr>
          <w:ilvl w:val="0"/>
          <w:numId w:val="17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At most one concurrent position; no pyramiding or overlapping trades.</w:t>
      </w:r>
    </w:p>
    <w:p w14:paraId="6429F4F5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5.3 (signal timing, execution protocol, and trading-evaluation assumptions).</w:t>
      </w:r>
    </w:p>
    <w:p w14:paraId="38A73BE3" w14:textId="1788B8E4" w:rsidR="005B7E5B" w:rsidRPr="00FC686A" w:rsidRDefault="00FC686A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R1.6 Regime-local baseline and class metrics</w:t>
      </w:r>
    </w:p>
    <w:p w14:paraId="02B147FD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Need within-regime majority baseline, precision, recall, and F1.</w:t>
      </w:r>
    </w:p>
    <w:p w14:paraId="66236430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Regime-local baselines and class-stratified metrics are now reported and interpreted conservatively.</w:t>
      </w:r>
    </w:p>
    <w:p w14:paraId="76C776E1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5D2886BB" w14:textId="04201FB1" w:rsidR="005B7E5B" w:rsidRPr="00FC686A" w:rsidRDefault="00000000" w:rsidP="00FC686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High-VIX (n = 8): all 8 days directionally Up; majority baseline = 100%; model accuracy = 100%, precision = 100%, recall = 100%, F1 = 100%. The model matches the local majority — no additional edge is claimed.</w:t>
      </w:r>
    </w:p>
    <w:p w14:paraId="76C58A79" w14:textId="024F0E3D" w:rsidR="005B7E5B" w:rsidRPr="00FC686A" w:rsidRDefault="00000000" w:rsidP="00FC686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lastRenderedPageBreak/>
        <w:t>Low-VIX (n = 248): majority Up rate = 70.2%; majority baseline = 70.2%; model accuracy = 66.5%, precision = 69.4%, recall = 93.7%, F1 = 79.7%, AUC = 0.584. The model is below the majority baseline at the unconditional level.</w:t>
      </w:r>
    </w:p>
    <w:p w14:paraId="135E3C4C" w14:textId="2C2837AD" w:rsidR="005B7E5B" w:rsidRPr="00FC686A" w:rsidRDefault="00000000" w:rsidP="00FC686A">
      <w:pPr>
        <w:pStyle w:val="ListParagraph"/>
        <w:numPr>
          <w:ilvl w:val="0"/>
          <w:numId w:val="18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Overall (n = 256): model accuracy 67.6%, majority baseline 71.1%. McNemar p = 0.022 (corrected, two-sided).</w:t>
      </w:r>
    </w:p>
    <w:p w14:paraId="213BD84C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5.2 (regime-conditioned accuracy), Table 7 (regime-stratified metrics), and Table 4 (regime diagnostic statistics).</w:t>
      </w:r>
    </w:p>
    <w:p w14:paraId="0FE5A74A" w14:textId="60E191DD" w:rsidR="005B7E5B" w:rsidRPr="00FC686A" w:rsidRDefault="00FC686A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R1.7 Reproducibility details and DOI errors</w:t>
      </w:r>
    </w:p>
    <w:p w14:paraId="784F86E3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Missing final hyperparameters/CV-OOF details; incorrect reference metadata and DOIs.</w:t>
      </w:r>
    </w:p>
    <w:p w14:paraId="1DF6BDD5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Hyperparameter and training-protocol details have been fully documented, and all identified reference errors have been corrected.</w:t>
      </w:r>
    </w:p>
    <w:p w14:paraId="1DDD6887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51FFB5D8" w14:textId="25F5FFD2" w:rsidR="005B7E5B" w:rsidRPr="00FC686A" w:rsidRDefault="00000000" w:rsidP="00FC68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Hyperparameter table added: final values for XGBoost, LightGBM, Random Forest, CatBoost, and BiLSTM, along with meta-learner specification.</w:t>
      </w:r>
    </w:p>
    <w:p w14:paraId="59EFFF27" w14:textId="0A07C297" w:rsidR="005B7E5B" w:rsidRPr="00FC686A" w:rsidRDefault="00000000" w:rsidP="00FC68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Cross-validation protocol documented: time-series 5-fold with expanding window, OOF predictions used as meta-features.</w:t>
      </w:r>
    </w:p>
    <w:p w14:paraId="671C5348" w14:textId="78932645" w:rsidR="005B7E5B" w:rsidRPr="00FC686A" w:rsidRDefault="00000000" w:rsidP="00FC68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Hamilton (1989) DOI corrected.</w:t>
      </w:r>
    </w:p>
    <w:p w14:paraId="44B3E25F" w14:textId="5E117ECE" w:rsidR="005B7E5B" w:rsidRPr="00FC686A" w:rsidRDefault="00000000" w:rsidP="00FC68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Lundberg &amp; Lee (2017) arXiv reference updated with correct preprint URL.</w:t>
      </w:r>
    </w:p>
    <w:p w14:paraId="440041F5" w14:textId="005BB729" w:rsidR="005B7E5B" w:rsidRPr="00FC686A" w:rsidRDefault="00000000" w:rsidP="00FC686A">
      <w:pPr>
        <w:pStyle w:val="ListParagraph"/>
        <w:numPr>
          <w:ilvl w:val="0"/>
          <w:numId w:val="19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 xml:space="preserve">New references added: GATE-GNN (Fofanah et al., 2024, Expert Systems with Applications, </w:t>
      </w:r>
      <w:proofErr w:type="gramStart"/>
      <w:r w:rsidRPr="00FC686A">
        <w:rPr>
          <w:rFonts w:ascii="Times New Roman" w:hAnsi="Times New Roman" w:cs="Times New Roman"/>
        </w:rPr>
        <w:t>doi:10.1016/j.eswa</w:t>
      </w:r>
      <w:proofErr w:type="gramEnd"/>
      <w:r w:rsidRPr="00FC686A">
        <w:rPr>
          <w:rFonts w:ascii="Times New Roman" w:hAnsi="Times New Roman" w:cs="Times New Roman"/>
        </w:rPr>
        <w:t xml:space="preserve">.2024.124602), EATSA-GNN (Fofanah &amp; Leigh, 2025, Neurocomputing, </w:t>
      </w:r>
      <w:proofErr w:type="gramStart"/>
      <w:r w:rsidRPr="00FC686A">
        <w:rPr>
          <w:rFonts w:ascii="Times New Roman" w:hAnsi="Times New Roman" w:cs="Times New Roman"/>
        </w:rPr>
        <w:t>doi:10.1016/j.neucom</w:t>
      </w:r>
      <w:proofErr w:type="gramEnd"/>
      <w:r w:rsidRPr="00FC686A">
        <w:rPr>
          <w:rFonts w:ascii="Times New Roman" w:hAnsi="Times New Roman" w:cs="Times New Roman"/>
        </w:rPr>
        <w:t>.2024.128686), PIMPC-GNN (Fofanah et al., 2026, IEEE TNNLS, doi:10.1109/tnnls.2026.3709308), and GBK-GNN (Du et al., 2021, arXiv:2110.15777).</w:t>
      </w:r>
    </w:p>
    <w:p w14:paraId="58EF3FF9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3.3 (model stack and hyperparameter specification), Table 3 (hyperparameter summary), and updated References section.</w:t>
      </w:r>
    </w:p>
    <w:p w14:paraId="6D7629D7" w14:textId="3E6B15CB" w:rsidR="005B7E5B" w:rsidRPr="00FC686A" w:rsidRDefault="00FC686A" w:rsidP="00FC686A">
      <w:pPr>
        <w:jc w:val="center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</w:t>
      </w:r>
    </w:p>
    <w:p w14:paraId="69301D02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  <w:sz w:val="26"/>
        </w:rPr>
        <w:t>Reviewer 2</w:t>
      </w:r>
    </w:p>
    <w:p w14:paraId="75D5B1F6" w14:textId="4F61CAD6" w:rsidR="005B7E5B" w:rsidRPr="00FC686A" w:rsidRDefault="0022373D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R2.1 Threshold look-ahead bias</w:t>
      </w:r>
    </w:p>
    <w:p w14:paraId="22191B36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The regime threshold used contemporaneous test information.</w:t>
      </w:r>
    </w:p>
    <w:p w14:paraId="3835AF60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Addressed identically to R1.1. The threshold was changed from 15.08 (test-derived, biased) to 18.71 (train+validation p75, deployable), reducing High-VIX test count from 58 to 8.</w:t>
      </w:r>
    </w:p>
    <w:p w14:paraId="7E95B7A9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3.4 (regime definition), Section 6.3 (threshold sensitivity), and Table 11.</w:t>
      </w:r>
    </w:p>
    <w:p w14:paraId="50B3BAAA" w14:textId="61CDA77A" w:rsidR="005B7E5B" w:rsidRPr="00FC686A" w:rsidRDefault="0022373D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lastRenderedPageBreak/>
        <w:t>R2.2 Temporal concentration and dependence</w:t>
      </w:r>
    </w:p>
    <w:p w14:paraId="1A0CF7BB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Clustered High-VIX observations limit i.i.d. inference and generalizability.</w:t>
      </w:r>
    </w:p>
    <w:p w14:paraId="7E8890F4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Addressed through dependence-aware inference (R1.2) and walk-forward analysis (R1.3). Block-permutation p = 0.357 (not significant after Bonferroni), and year-wise walk-forward confirms episode-specific concentration.</w:t>
      </w:r>
    </w:p>
    <w:p w14:paraId="582DE08B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6.3 (dependence-aware inference and temporal concentration) and Section 6.4 (walk-forward analysis), with Figs. 9–10.</w:t>
      </w:r>
    </w:p>
    <w:p w14:paraId="730C10BB" w14:textId="58D8059F" w:rsidR="005B7E5B" w:rsidRPr="00FC686A" w:rsidRDefault="0022373D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R2.3 Simpler baseline comparisons missing</w:t>
      </w:r>
    </w:p>
    <w:p w14:paraId="30EAC6C7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Need benchmark comparison against majority-class, persistence, and simpler model baselines under the same regime filter.</w:t>
      </w:r>
    </w:p>
    <w:p w14:paraId="39D8890D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Regime-matched baseline benchmarking is now reported.</w:t>
      </w:r>
    </w:p>
    <w:p w14:paraId="430E7983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1D585C80" w14:textId="193D167A" w:rsidR="005B7E5B" w:rsidRPr="00FC686A" w:rsidRDefault="00000000" w:rsidP="00FC68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Majority-class baseline reported within each regime: High-VIX majority = 100% (all Up), Low-VIX majority = 70.2%.</w:t>
      </w:r>
    </w:p>
    <w:p w14:paraId="61E16008" w14:textId="7D9188BC" w:rsidR="005B7E5B" w:rsidRPr="00FC686A" w:rsidRDefault="00000000" w:rsidP="00FC68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Individual base learners (XGBoost, LightGBM, RF, CatBoost, BiLSTM) evaluated under the same regime split; none individually surpass the ensemble.</w:t>
      </w:r>
    </w:p>
    <w:p w14:paraId="1E2E0254" w14:textId="2A58F6A4" w:rsidR="005B7E5B" w:rsidRPr="00FC686A" w:rsidRDefault="00000000" w:rsidP="00FC68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Baseline comparison table and figure added showing accuracy, F1, and AUC for each model under the corrected aligned evaluation.</w:t>
      </w:r>
    </w:p>
    <w:p w14:paraId="661C07D0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5.1 (baseline comparison) and corresponding baseline-comparison table and figure.</w:t>
      </w:r>
    </w:p>
    <w:p w14:paraId="5C649259" w14:textId="2D127BA5" w:rsidR="005B7E5B" w:rsidRPr="00FC686A" w:rsidRDefault="0022373D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R2.4 Sharpe calculation conventions not stated</w:t>
      </w:r>
    </w:p>
    <w:p w14:paraId="194F4DBB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Risk-free rate and annualization convention needed explicit reporting.</w:t>
      </w:r>
    </w:p>
    <w:p w14:paraId="1265B9E8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Conventions are now defined explicitly in the methods text.</w:t>
      </w:r>
    </w:p>
    <w:p w14:paraId="6399AAE2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193D8362" w14:textId="322073FC" w:rsidR="005B7E5B" w:rsidRPr="00FC686A" w:rsidRDefault="00000000" w:rsidP="00FC68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Risk-free rate: 0% (conservative, consistent with emerging-market literature).</w:t>
      </w:r>
    </w:p>
    <w:p w14:paraId="67E613ED" w14:textId="4118125E" w:rsidR="005B7E5B" w:rsidRPr="00FC686A" w:rsidRDefault="00000000" w:rsidP="00FC68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Sharpe ratio: annualized as (mean daily return / std daily return) × √252.</w:t>
      </w:r>
    </w:p>
    <w:p w14:paraId="00975653" w14:textId="6E1F766B" w:rsidR="005B7E5B" w:rsidRPr="00FC686A" w:rsidRDefault="00000000" w:rsidP="00FC686A">
      <w:pPr>
        <w:pStyle w:val="ListParagraph"/>
        <w:numPr>
          <w:ilvl w:val="0"/>
          <w:numId w:val="20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Daily P&amp;L computed as close[t+21] / open[t+1] − 1 minus round-trip cost.</w:t>
      </w:r>
    </w:p>
    <w:p w14:paraId="48D75EDB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5.3 (trading interpretation and evaluation assumptions).</w:t>
      </w:r>
    </w:p>
    <w:p w14:paraId="095ED3F3" w14:textId="07C89716" w:rsidR="005B7E5B" w:rsidRPr="00FC686A" w:rsidRDefault="0022373D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R2.5 SHAP evidence missing</w:t>
      </w:r>
    </w:p>
    <w:p w14:paraId="15F5CECC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Feature-level regime explanations needed quantitative SHAP evidence, not qualitative assertions.</w:t>
      </w:r>
    </w:p>
    <w:p w14:paraId="120B2075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lastRenderedPageBreak/>
        <w:t xml:space="preserve">Response: </w:t>
      </w:r>
      <w:r w:rsidRPr="00FC686A">
        <w:rPr>
          <w:rFonts w:ascii="Times New Roman" w:hAnsi="Times New Roman" w:cs="Times New Roman"/>
        </w:rPr>
        <w:t>Accepted. Regime-specific SHAP rankings and figures are now provided.</w:t>
      </w:r>
    </w:p>
    <w:p w14:paraId="4FE8F2C2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36B5D68B" w14:textId="19D6C353" w:rsidR="005B7E5B" w:rsidRPr="00FC686A" w:rsidRDefault="00000000" w:rsidP="00FC68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SHAP mean-absolute values computed separately for High-VIX (n = 8) and Low-VIX (n = 248) subsets.</w:t>
      </w:r>
    </w:p>
    <w:p w14:paraId="78F452B5" w14:textId="375E2A21" w:rsidR="005B7E5B" w:rsidRPr="00FC686A" w:rsidRDefault="00000000" w:rsidP="00FC68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Top features by regime reported in dedicated SHAP tables (shap_importance_High_VIX.csv, shap_importance_Low_VIX.csv) and visualized.</w:t>
      </w:r>
    </w:p>
    <w:p w14:paraId="5015DD25" w14:textId="6ED18CD5" w:rsidR="005B7E5B" w:rsidRPr="00FC686A" w:rsidRDefault="00000000" w:rsidP="00FC686A">
      <w:pPr>
        <w:pStyle w:val="ListParagraph"/>
        <w:numPr>
          <w:ilvl w:val="0"/>
          <w:numId w:val="21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SHAP regime-shift analysis (shap_regime_shift.csv) identifies which features drive the regime differential.</w:t>
      </w:r>
    </w:p>
    <w:p w14:paraId="71D1A3CA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5.4 (SHAP-based model interpretability and regime explanation), with corresponding SHAP figures and tables.</w:t>
      </w:r>
    </w:p>
    <w:p w14:paraId="128563F0" w14:textId="64033EFC" w:rsidR="005B7E5B" w:rsidRPr="00FC686A" w:rsidRDefault="0022373D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R2.6 Feature reproducibility and literature strengthening</w:t>
      </w:r>
    </w:p>
    <w:p w14:paraId="2257A2DD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Need exact feature formulas/parameters and stronger recent literature grounding; citations should be strengthened with recent graph-neural and ensemble works.</w:t>
      </w:r>
    </w:p>
    <w:p w14:paraId="170FC65D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Full feature specifications and updated literature are now provided.</w:t>
      </w:r>
    </w:p>
    <w:p w14:paraId="53399B9A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6413372A" w14:textId="6C7EAF2D" w:rsidR="005B7E5B" w:rsidRPr="00FC686A" w:rsidRDefault="00000000" w:rsidP="00FC686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Feature specification table added: 16 leakage-safe indicators with exact window parameters and formulas (Section 3.2 and feature_specification.csv).</w:t>
      </w:r>
    </w:p>
    <w:p w14:paraId="50382664" w14:textId="2BF1739E" w:rsidR="005B7E5B" w:rsidRPr="00FC686A" w:rsidRDefault="00000000" w:rsidP="00FC686A">
      <w:pPr>
        <w:pStyle w:val="ListParagraph"/>
        <w:numPr>
          <w:ilvl w:val="0"/>
          <w:numId w:val="22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Literature updated with four recent GNN works: GATE-GNN (Fofanah et al., 2024), EATSA-GNN (Fofanah &amp; Leigh, 2025), PIMPC-GNN (Fofanah et al., 2026), and GBK-GNN (Du et al., 2021). Citation added in Section 2.2.</w:t>
      </w:r>
    </w:p>
    <w:p w14:paraId="1525A5E5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3.2 (feature engineering specification) and References section.</w:t>
      </w:r>
    </w:p>
    <w:p w14:paraId="6059F451" w14:textId="7EF121F7" w:rsidR="005B7E5B" w:rsidRPr="00FC686A" w:rsidRDefault="00FC686A" w:rsidP="00FC68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</w:t>
      </w:r>
    </w:p>
    <w:p w14:paraId="75FEB51E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  <w:sz w:val="26"/>
        </w:rPr>
        <w:t>Reviewer 3</w:t>
      </w:r>
    </w:p>
    <w:p w14:paraId="47773D1A" w14:textId="0C13315F" w:rsidR="005B7E5B" w:rsidRPr="00FC686A" w:rsidRDefault="00FC686A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R3.1 Split-boundary label leakage</w:t>
      </w:r>
    </w:p>
    <w:p w14:paraId="446FFC5D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Final horizon rows near split boundaries contain future-label information that leaks across the split.</w:t>
      </w:r>
    </w:p>
    <w:p w14:paraId="17316789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We trimmed boundary-contaminated rows (last 21 rows of each pre-boundary period) and rebuilt all splits.</w:t>
      </w:r>
    </w:p>
    <w:p w14:paraId="5D5DADE3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6DE4C35D" w14:textId="18074357" w:rsidR="005B7E5B" w:rsidRPr="00FC686A" w:rsidRDefault="00000000" w:rsidP="00FC686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Training: 23 May 2016 – 11 September 2023, 1,794 rows (previously 12 October 2023, 1,410 rows; boundary rows trimmed and date corrected).</w:t>
      </w:r>
    </w:p>
    <w:p w14:paraId="7C27C82F" w14:textId="1DB1A02C" w:rsidR="005B7E5B" w:rsidRPr="00FC686A" w:rsidRDefault="00000000" w:rsidP="00FC686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lastRenderedPageBreak/>
        <w:t>Validation: 20 October 2023 – 4 December 2024, 273 rows (previously 6 January 2025, 297 rows).</w:t>
      </w:r>
    </w:p>
    <w:p w14:paraId="1D37A797" w14:textId="4B66525B" w:rsidR="005B7E5B" w:rsidRPr="00FC686A" w:rsidRDefault="00000000" w:rsidP="00FC686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Test (labelled): 14 January 2025 – 25 February 2026, 276 rows (previously 30 March 2026, 277 rows).</w:t>
      </w:r>
    </w:p>
    <w:p w14:paraId="7B2510B6" w14:textId="34E12935" w:rsidR="005B7E5B" w:rsidRPr="00FC686A" w:rsidRDefault="00000000" w:rsidP="00FC686A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Aligned evaluation sample: 256 rows (276 test rows minus the first 20 dropped for BiLSTM 20-day lookback).</w:t>
      </w:r>
    </w:p>
    <w:p w14:paraId="57FF138C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3.1 (sample construction and chronological split design) and Table 2 (sample construction summary).</w:t>
      </w:r>
    </w:p>
    <w:p w14:paraId="6F9DBE65" w14:textId="01EB29C9" w:rsidR="005B7E5B" w:rsidRPr="00FC686A" w:rsidRDefault="0022373D" w:rsidP="00FC686A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R3.2 Threshold look-ahead bias</w:t>
      </w:r>
    </w:p>
    <w:p w14:paraId="119E0F0C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Full-test VIX threshold is not deployable in real time.</w:t>
      </w:r>
    </w:p>
    <w:p w14:paraId="77B3F7A1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Addressed identically to R1.1/R2.1: threshold corrected from 15.08 (test-derived) to 18.71 (train+validation p75). High-VIX count reduced from 58 to 8.</w:t>
      </w:r>
    </w:p>
    <w:p w14:paraId="4E2FC523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3.4 (regime definition and threshold calibration), Section 6.3, and Table 11.</w:t>
      </w:r>
    </w:p>
    <w:p w14:paraId="19AAAE0D" w14:textId="7C1F40D9" w:rsidR="005B7E5B" w:rsidRPr="0022373D" w:rsidRDefault="0022373D" w:rsidP="0022373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  <w:b/>
        </w:rPr>
        <w:t>R3.3 Overlap / clustering-aware statistics</w:t>
      </w:r>
    </w:p>
    <w:p w14:paraId="43E3F680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Statistical testing must account for overlapping outcomes and clustered High-VIX episodes.</w:t>
      </w:r>
    </w:p>
    <w:p w14:paraId="1B7454CF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Addressed identically to R1.2: non-overlapping Fisher, block-bootstrap CI [16.2 pp, 51.4 pp], block-permutation p = 0.357. After Bonferroni correction the result is not significant.</w:t>
      </w:r>
    </w:p>
    <w:p w14:paraId="58E6478A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6.3 (dependence-aware inference), Table 5 (statistical tests), and Fig. 9.</w:t>
      </w:r>
    </w:p>
    <w:p w14:paraId="155357C5" w14:textId="27480F56" w:rsidR="005B7E5B" w:rsidRPr="0022373D" w:rsidRDefault="0022373D" w:rsidP="0022373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  <w:b/>
        </w:rPr>
        <w:t>R3.4 Ablation and model-component transparency</w:t>
      </w:r>
    </w:p>
    <w:p w14:paraId="395AE3DA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Need component-level ablation (removing individual base learners and BiLSTM attention); parameterization must be explicit.</w:t>
      </w:r>
    </w:p>
    <w:p w14:paraId="6EE40061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A full ablation grid and transparent hyperparameter table are added.</w:t>
      </w:r>
    </w:p>
    <w:p w14:paraId="3BEF6F71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6B931299" w14:textId="1EF868D4" w:rsidR="005B7E5B" w:rsidRPr="0022373D" w:rsidRDefault="00000000" w:rsidP="0022373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Ablation study: all subsets of base learners evaluated; removing BiLSTM degrades ensemble AUC most (ablation_results.csv).</w:t>
      </w:r>
    </w:p>
    <w:p w14:paraId="043D5B8A" w14:textId="674A25B7" w:rsidR="005B7E5B" w:rsidRPr="0022373D" w:rsidRDefault="00000000" w:rsidP="0022373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proofErr w:type="spellStart"/>
      <w:r w:rsidRPr="0022373D">
        <w:rPr>
          <w:rFonts w:ascii="Times New Roman" w:hAnsi="Times New Roman" w:cs="Times New Roman"/>
        </w:rPr>
        <w:t>BiLSTM</w:t>
      </w:r>
      <w:proofErr w:type="spellEnd"/>
      <w:r w:rsidRPr="0022373D">
        <w:rPr>
          <w:rFonts w:ascii="Times New Roman" w:hAnsi="Times New Roman" w:cs="Times New Roman"/>
        </w:rPr>
        <w:t xml:space="preserve"> attention vs no-attention ablation included.</w:t>
      </w:r>
    </w:p>
    <w:p w14:paraId="40ED7C99" w14:textId="37D25BF2" w:rsidR="005B7E5B" w:rsidRPr="0022373D" w:rsidRDefault="00000000" w:rsidP="0022373D">
      <w:pPr>
        <w:pStyle w:val="ListParagraph"/>
        <w:numPr>
          <w:ilvl w:val="0"/>
          <w:numId w:val="23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Final hyperparameter table (</w:t>
      </w:r>
      <w:proofErr w:type="spellStart"/>
      <w:r w:rsidRPr="0022373D">
        <w:rPr>
          <w:rFonts w:ascii="Times New Roman" w:hAnsi="Times New Roman" w:cs="Times New Roman"/>
        </w:rPr>
        <w:t>all_best_</w:t>
      </w:r>
      <w:proofErr w:type="gramStart"/>
      <w:r w:rsidRPr="0022373D">
        <w:rPr>
          <w:rFonts w:ascii="Times New Roman" w:hAnsi="Times New Roman" w:cs="Times New Roman"/>
        </w:rPr>
        <w:t>params.json</w:t>
      </w:r>
      <w:proofErr w:type="spellEnd"/>
      <w:proofErr w:type="gramEnd"/>
      <w:r w:rsidRPr="0022373D">
        <w:rPr>
          <w:rFonts w:ascii="Times New Roman" w:hAnsi="Times New Roman" w:cs="Times New Roman"/>
        </w:rPr>
        <w:t>) and summary table added to manuscript.</w:t>
      </w:r>
    </w:p>
    <w:p w14:paraId="71D1CDA6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4.4 (ablation study) and corresponding ablation table and figure.</w:t>
      </w:r>
    </w:p>
    <w:p w14:paraId="18CB51DE" w14:textId="551331D5" w:rsidR="005B7E5B" w:rsidRPr="0022373D" w:rsidRDefault="0022373D" w:rsidP="0022373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  <w:b/>
        </w:rPr>
        <w:lastRenderedPageBreak/>
        <w:t>R3.5 Literature recency and citation quality</w:t>
      </w:r>
    </w:p>
    <w:p w14:paraId="4B106F2A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References should be modernized and citation metadata corrected.</w:t>
      </w:r>
    </w:p>
    <w:p w14:paraId="50857CF7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Addressed identically to R1.7/R2.6: Hamilton DOI corrected, Lundberg &amp; Lee arXiv URL updated, four GNN references added (GATE-GNN 2024, EATSA-GNN 2025, PIMPC-GNN 2026, GBK-GNN 2021).</w:t>
      </w:r>
    </w:p>
    <w:p w14:paraId="2C180059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References section and Section 2.2 (updated literature positioning).</w:t>
      </w:r>
    </w:p>
    <w:p w14:paraId="2FD23066" w14:textId="2700C2F8" w:rsidR="005B7E5B" w:rsidRPr="0022373D" w:rsidRDefault="0022373D" w:rsidP="0022373D">
      <w:pPr>
        <w:pStyle w:val="ListParagraph"/>
        <w:numPr>
          <w:ilvl w:val="0"/>
          <w:numId w:val="16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  <w:b/>
        </w:rPr>
        <w:t>R3.6 Regime-specific baselines and target-realization clarity</w:t>
      </w:r>
    </w:p>
    <w:p w14:paraId="2D977945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Reviewer comment: </w:t>
      </w:r>
      <w:r w:rsidRPr="00FC686A">
        <w:rPr>
          <w:rFonts w:ascii="Times New Roman" w:hAnsi="Times New Roman" w:cs="Times New Roman"/>
        </w:rPr>
        <w:t>Need explicit regime-local baselines and clear prediction target realization and execution timing.</w:t>
      </w:r>
    </w:p>
    <w:p w14:paraId="27141918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Response: </w:t>
      </w:r>
      <w:r w:rsidRPr="00FC686A">
        <w:rPr>
          <w:rFonts w:ascii="Times New Roman" w:hAnsi="Times New Roman" w:cs="Times New Roman"/>
        </w:rPr>
        <w:t>Accepted. Regime-local baselines are explicitly reported and the prediction-to-execution timeline is defined.</w:t>
      </w:r>
    </w:p>
    <w:p w14:paraId="49137D11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Changes made: </w:t>
      </w:r>
    </w:p>
    <w:p w14:paraId="0BB1DCBB" w14:textId="5A6ED8CA" w:rsidR="005B7E5B" w:rsidRPr="0022373D" w:rsidRDefault="00000000" w:rsidP="0022373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Regime-local majority baselines: High-VIX = 100%, Low-VIX = 70.2% (see R1.6).</w:t>
      </w:r>
    </w:p>
    <w:p w14:paraId="416DA675" w14:textId="078BCA2C" w:rsidR="005B7E5B" w:rsidRPr="0022373D" w:rsidRDefault="00000000" w:rsidP="0022373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Prediction target: direction of close[t+21] relative to close[t] (binary Up/Down label).</w:t>
      </w:r>
    </w:p>
    <w:p w14:paraId="2697BD02" w14:textId="58A56B0F" w:rsidR="005B7E5B" w:rsidRPr="0022373D" w:rsidRDefault="00000000" w:rsidP="0022373D">
      <w:pPr>
        <w:pStyle w:val="ListParagraph"/>
        <w:numPr>
          <w:ilvl w:val="0"/>
          <w:numId w:val="24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Prediction generated at close of day t; execution at open of day t+1; position closed at close of day t+21.</w:t>
      </w:r>
    </w:p>
    <w:p w14:paraId="263ABBC9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 xml:space="preserve">Location in revised manuscript: </w:t>
      </w:r>
      <w:r w:rsidRPr="00FC686A">
        <w:rPr>
          <w:rFonts w:ascii="Times New Roman" w:hAnsi="Times New Roman" w:cs="Times New Roman"/>
        </w:rPr>
        <w:t>Section 3.1 (target variable definition), Section 5.2 (regime-conditioned accuracy with local baselines), and Section 5.3 (execution timeline).</w:t>
      </w:r>
    </w:p>
    <w:p w14:paraId="3642E17E" w14:textId="4EEDC56B" w:rsidR="005B7E5B" w:rsidRPr="00FC686A" w:rsidRDefault="0022373D" w:rsidP="00FC68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</w:t>
      </w:r>
    </w:p>
    <w:p w14:paraId="3ED15F96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  <w:b/>
        </w:rPr>
        <w:t>Summary of Revision Impact</w:t>
      </w:r>
    </w:p>
    <w:p w14:paraId="014CDBE8" w14:textId="45CA2826" w:rsidR="005B7E5B" w:rsidRPr="0022373D" w:rsidRDefault="00000000" w:rsidP="0022373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Split-boundary label leakage removed: training boundary moved from 2023-10-12 (1,410 rows) to 2023-09-11 (1,794 rows); validation from 297 to 273 rows; test from 277 to 276 rows.</w:t>
      </w:r>
    </w:p>
    <w:p w14:paraId="7C9D01A9" w14:textId="5D1F5838" w:rsidR="005B7E5B" w:rsidRPr="0022373D" w:rsidRDefault="00000000" w:rsidP="0022373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Threshold look-ahead bias eliminated: regime threshold changed from test-derived 15.08 to pre-test p75 = 18.71; High-VIX test count reduced from 58 to 8.</w:t>
      </w:r>
    </w:p>
    <w:p w14:paraId="2E559AF2" w14:textId="677CD7CF" w:rsidR="005B7E5B" w:rsidRPr="0022373D" w:rsidRDefault="00000000" w:rsidP="0022373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Trading simulation corrected: buy-and-hold Sharpe 1.204; strategy Sharpe 0.455 at TC = 0 bps declining to 0.375 at TC = 50 bps. Strategy does not exceed buy-and-hold in Sharpe.</w:t>
      </w:r>
    </w:p>
    <w:p w14:paraId="2526002C" w14:textId="5A1FA366" w:rsidR="005B7E5B" w:rsidRPr="0022373D" w:rsidRDefault="00000000" w:rsidP="0022373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Inference upgraded to dependence-aware procedures: non-overlapping Fisher, block-bootstrap CI [16.2 pp, 51.4 pp], block-permutation p = 0.357 (non-significant after Bonferroni).</w:t>
      </w:r>
    </w:p>
    <w:p w14:paraId="3DE14BAF" w14:textId="777F5456" w:rsidR="005B7E5B" w:rsidRPr="0022373D" w:rsidRDefault="00000000" w:rsidP="0022373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Generalizability claims tempered: walk-forward analysis across 2019–2025 shows inconsistent High-VIX advantage across years.</w:t>
      </w:r>
    </w:p>
    <w:p w14:paraId="07215F28" w14:textId="50E7F2A6" w:rsidR="005B7E5B" w:rsidRPr="0022373D" w:rsidRDefault="00000000" w:rsidP="0022373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Baselines, SHAP, and ablation fully reported: regime-local majority baselines, SHAP regime tables/figures, and full ablation grid added.</w:t>
      </w:r>
    </w:p>
    <w:p w14:paraId="264C2832" w14:textId="190D2E8F" w:rsidR="005B7E5B" w:rsidRPr="0022373D" w:rsidRDefault="00000000" w:rsidP="0022373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lastRenderedPageBreak/>
        <w:t>References corrected and updated: GATE-GNN, EATSA-GNN, PIMPC-GNN, GBK-GNN added; Hamilton and Lundberg &amp; Lee metadata corrected.</w:t>
      </w:r>
    </w:p>
    <w:p w14:paraId="52AED583" w14:textId="1590980C" w:rsidR="005B7E5B" w:rsidRPr="0022373D" w:rsidRDefault="00000000" w:rsidP="0022373D">
      <w:pPr>
        <w:pStyle w:val="ListParagraph"/>
        <w:numPr>
          <w:ilvl w:val="0"/>
          <w:numId w:val="25"/>
        </w:numPr>
        <w:jc w:val="both"/>
        <w:rPr>
          <w:rFonts w:ascii="Times New Roman" w:hAnsi="Times New Roman" w:cs="Times New Roman"/>
        </w:rPr>
      </w:pPr>
      <w:r w:rsidRPr="0022373D">
        <w:rPr>
          <w:rFonts w:ascii="Times New Roman" w:hAnsi="Times New Roman" w:cs="Times New Roman"/>
        </w:rPr>
        <w:t>Reproducibility: hyperparameter table and feature specification table added.</w:t>
      </w:r>
    </w:p>
    <w:p w14:paraId="33C041F8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We thank the Reviewers again for the constructive guidance, which has substantially improved the rigour and transparency of the manuscript.</w:t>
      </w:r>
    </w:p>
    <w:p w14:paraId="71AF873B" w14:textId="77777777" w:rsidR="005B7E5B" w:rsidRPr="00FC686A" w:rsidRDefault="005B7E5B" w:rsidP="00FC686A">
      <w:pPr>
        <w:jc w:val="both"/>
        <w:rPr>
          <w:rFonts w:ascii="Times New Roman" w:hAnsi="Times New Roman" w:cs="Times New Roman"/>
        </w:rPr>
      </w:pPr>
    </w:p>
    <w:p w14:paraId="75E3CEDA" w14:textId="77777777" w:rsidR="005B7E5B" w:rsidRPr="00FC686A" w:rsidRDefault="00000000" w:rsidP="00FC686A">
      <w:pPr>
        <w:jc w:val="both"/>
        <w:rPr>
          <w:rFonts w:ascii="Times New Roman" w:hAnsi="Times New Roman" w:cs="Times New Roman"/>
        </w:rPr>
      </w:pPr>
      <w:r w:rsidRPr="00FC686A">
        <w:rPr>
          <w:rFonts w:ascii="Times New Roman" w:hAnsi="Times New Roman" w:cs="Times New Roman"/>
        </w:rPr>
        <w:t>Sincerely,</w:t>
      </w:r>
    </w:p>
    <w:p w14:paraId="2ED7C050" w14:textId="1887D0F9" w:rsidR="0022373D" w:rsidRPr="00FC686A" w:rsidRDefault="0022373D" w:rsidP="00FC686A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 Authors</w:t>
      </w:r>
    </w:p>
    <w:sectPr w:rsidR="0022373D" w:rsidRPr="00FC686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ABFCF2" w14:textId="77777777" w:rsidR="00D4028B" w:rsidRDefault="00D4028B" w:rsidP="00EB6EB8">
      <w:pPr>
        <w:spacing w:after="0" w:line="240" w:lineRule="auto"/>
      </w:pPr>
      <w:r>
        <w:separator/>
      </w:r>
    </w:p>
  </w:endnote>
  <w:endnote w:type="continuationSeparator" w:id="0">
    <w:p w14:paraId="09BB0CF3" w14:textId="77777777" w:rsidR="00D4028B" w:rsidRDefault="00D4028B" w:rsidP="00EB6E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93F09C" w14:textId="77777777" w:rsidR="00D4028B" w:rsidRDefault="00D4028B" w:rsidP="00EB6EB8">
      <w:pPr>
        <w:spacing w:after="0" w:line="240" w:lineRule="auto"/>
      </w:pPr>
      <w:r>
        <w:separator/>
      </w:r>
    </w:p>
  </w:footnote>
  <w:footnote w:type="continuationSeparator" w:id="0">
    <w:p w14:paraId="43791287" w14:textId="77777777" w:rsidR="00D4028B" w:rsidRDefault="00D4028B" w:rsidP="00EB6EB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169680E"/>
    <w:multiLevelType w:val="hybridMultilevel"/>
    <w:tmpl w:val="821E3FB0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A904FE"/>
    <w:multiLevelType w:val="hybridMultilevel"/>
    <w:tmpl w:val="3ADEAB80"/>
    <w:lvl w:ilvl="0" w:tplc="BE22990C">
      <w:numFmt w:val="bullet"/>
      <w:lvlText w:val="•"/>
      <w:lvlJc w:val="left"/>
      <w:pPr>
        <w:ind w:left="450" w:hanging="360"/>
      </w:pPr>
      <w:rPr>
        <w:rFonts w:ascii="Cambria" w:eastAsiaTheme="minorEastAsia" w:hAnsi="Cambria" w:cstheme="minorBidi" w:hint="default"/>
      </w:rPr>
    </w:lvl>
    <w:lvl w:ilvl="1" w:tplc="04090003">
      <w:start w:val="1"/>
      <w:numFmt w:val="bullet"/>
      <w:lvlText w:val="o"/>
      <w:lvlJc w:val="left"/>
      <w:pPr>
        <w:ind w:left="1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10" w:hanging="360"/>
      </w:pPr>
      <w:rPr>
        <w:rFonts w:ascii="Wingdings" w:hAnsi="Wingdings" w:hint="default"/>
      </w:rPr>
    </w:lvl>
  </w:abstractNum>
  <w:abstractNum w:abstractNumId="11" w15:restartNumberingAfterBreak="0">
    <w:nsid w:val="23F9486D"/>
    <w:multiLevelType w:val="hybridMultilevel"/>
    <w:tmpl w:val="651C714E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6D57EF2"/>
    <w:multiLevelType w:val="hybridMultilevel"/>
    <w:tmpl w:val="9C8E5B40"/>
    <w:lvl w:ilvl="0" w:tplc="BE22990C">
      <w:numFmt w:val="bullet"/>
      <w:lvlText w:val="•"/>
      <w:lvlJc w:val="left"/>
      <w:pPr>
        <w:ind w:left="45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E3412E5"/>
    <w:multiLevelType w:val="hybridMultilevel"/>
    <w:tmpl w:val="35544E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C6E550A"/>
    <w:multiLevelType w:val="hybridMultilevel"/>
    <w:tmpl w:val="2E561104"/>
    <w:lvl w:ilvl="0" w:tplc="BE22990C">
      <w:numFmt w:val="bullet"/>
      <w:lvlText w:val="•"/>
      <w:lvlJc w:val="left"/>
      <w:pPr>
        <w:ind w:left="45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FC868E0"/>
    <w:multiLevelType w:val="hybridMultilevel"/>
    <w:tmpl w:val="37EEF2CA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3430153"/>
    <w:multiLevelType w:val="hybridMultilevel"/>
    <w:tmpl w:val="1D1AC526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6DB6026"/>
    <w:multiLevelType w:val="hybridMultilevel"/>
    <w:tmpl w:val="BD5AA8DC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38B2235"/>
    <w:multiLevelType w:val="hybridMultilevel"/>
    <w:tmpl w:val="1D9EB29E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4FC565F"/>
    <w:multiLevelType w:val="hybridMultilevel"/>
    <w:tmpl w:val="7E16AE3C"/>
    <w:lvl w:ilvl="0" w:tplc="BE22990C">
      <w:numFmt w:val="bullet"/>
      <w:lvlText w:val="•"/>
      <w:lvlJc w:val="left"/>
      <w:pPr>
        <w:ind w:left="55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0" w15:restartNumberingAfterBreak="0">
    <w:nsid w:val="68137CC5"/>
    <w:multiLevelType w:val="hybridMultilevel"/>
    <w:tmpl w:val="A7947B0C"/>
    <w:lvl w:ilvl="0" w:tplc="BE22990C">
      <w:numFmt w:val="bullet"/>
      <w:lvlText w:val="•"/>
      <w:lvlJc w:val="left"/>
      <w:pPr>
        <w:ind w:left="555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21" w15:restartNumberingAfterBreak="0">
    <w:nsid w:val="68FC650C"/>
    <w:multiLevelType w:val="hybridMultilevel"/>
    <w:tmpl w:val="A1DCF480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CF70BE1"/>
    <w:multiLevelType w:val="hybridMultilevel"/>
    <w:tmpl w:val="C660E0B8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9A51B6"/>
    <w:multiLevelType w:val="hybridMultilevel"/>
    <w:tmpl w:val="E034B6C2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776D5DBD"/>
    <w:multiLevelType w:val="hybridMultilevel"/>
    <w:tmpl w:val="BDC00432"/>
    <w:lvl w:ilvl="0" w:tplc="BE22990C">
      <w:numFmt w:val="bullet"/>
      <w:lvlText w:val="•"/>
      <w:lvlJc w:val="left"/>
      <w:pPr>
        <w:ind w:left="720" w:hanging="360"/>
      </w:pPr>
      <w:rPr>
        <w:rFonts w:ascii="Cambria" w:eastAsiaTheme="minorEastAsia" w:hAnsi="Cambria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5684322">
    <w:abstractNumId w:val="8"/>
  </w:num>
  <w:num w:numId="2" w16cid:durableId="1309939713">
    <w:abstractNumId w:val="6"/>
  </w:num>
  <w:num w:numId="3" w16cid:durableId="558173068">
    <w:abstractNumId w:val="5"/>
  </w:num>
  <w:num w:numId="4" w16cid:durableId="1710181188">
    <w:abstractNumId w:val="4"/>
  </w:num>
  <w:num w:numId="5" w16cid:durableId="1301807627">
    <w:abstractNumId w:val="7"/>
  </w:num>
  <w:num w:numId="6" w16cid:durableId="415713478">
    <w:abstractNumId w:val="3"/>
  </w:num>
  <w:num w:numId="7" w16cid:durableId="468522133">
    <w:abstractNumId w:val="2"/>
  </w:num>
  <w:num w:numId="8" w16cid:durableId="432211123">
    <w:abstractNumId w:val="1"/>
  </w:num>
  <w:num w:numId="9" w16cid:durableId="48110970">
    <w:abstractNumId w:val="0"/>
  </w:num>
  <w:num w:numId="10" w16cid:durableId="422998401">
    <w:abstractNumId w:val="13"/>
  </w:num>
  <w:num w:numId="11" w16cid:durableId="636254998">
    <w:abstractNumId w:val="10"/>
  </w:num>
  <w:num w:numId="12" w16cid:durableId="281303403">
    <w:abstractNumId w:val="12"/>
  </w:num>
  <w:num w:numId="13" w16cid:durableId="675032625">
    <w:abstractNumId w:val="14"/>
  </w:num>
  <w:num w:numId="14" w16cid:durableId="1165167058">
    <w:abstractNumId w:val="19"/>
  </w:num>
  <w:num w:numId="15" w16cid:durableId="686753624">
    <w:abstractNumId w:val="20"/>
  </w:num>
  <w:num w:numId="16" w16cid:durableId="1273824460">
    <w:abstractNumId w:val="11"/>
  </w:num>
  <w:num w:numId="17" w16cid:durableId="1479688165">
    <w:abstractNumId w:val="18"/>
  </w:num>
  <w:num w:numId="18" w16cid:durableId="1714228917">
    <w:abstractNumId w:val="22"/>
  </w:num>
  <w:num w:numId="19" w16cid:durableId="1451628658">
    <w:abstractNumId w:val="24"/>
  </w:num>
  <w:num w:numId="20" w16cid:durableId="1359087258">
    <w:abstractNumId w:val="21"/>
  </w:num>
  <w:num w:numId="21" w16cid:durableId="2072069456">
    <w:abstractNumId w:val="17"/>
  </w:num>
  <w:num w:numId="22" w16cid:durableId="1445613875">
    <w:abstractNumId w:val="15"/>
  </w:num>
  <w:num w:numId="23" w16cid:durableId="797605057">
    <w:abstractNumId w:val="16"/>
  </w:num>
  <w:num w:numId="24" w16cid:durableId="1757097182">
    <w:abstractNumId w:val="23"/>
  </w:num>
  <w:num w:numId="25" w16cid:durableId="132520597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removePersonalInformation/>
  <w:removeDateAndTime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373D"/>
    <w:rsid w:val="0029639D"/>
    <w:rsid w:val="00326F90"/>
    <w:rsid w:val="00460934"/>
    <w:rsid w:val="005B7E5B"/>
    <w:rsid w:val="00AA1D8D"/>
    <w:rsid w:val="00B47730"/>
    <w:rsid w:val="00CB0664"/>
    <w:rsid w:val="00D4028B"/>
    <w:rsid w:val="00EB6EB8"/>
    <w:rsid w:val="00FC686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2A06A22E"/>
  <w14:defaultImageDpi w14:val="33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86A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2525</Words>
  <Characters>14393</Characters>
  <Application>Microsoft Office Word</Application>
  <DocSecurity>0</DocSecurity>
  <Lines>119</Lines>
  <Paragraphs>33</Paragraphs>
  <ScaleCrop>false</ScaleCrop>
  <Manager/>
  <Company/>
  <LinksUpToDate>false</LinksUpToDate>
  <CharactersWithSpaces>16885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ModifiedBy/>
  <cp:revision>1</cp:revision>
  <dcterms:created xsi:type="dcterms:W3CDTF">2026-07-25T10:50:00Z</dcterms:created>
  <dcterms:modified xsi:type="dcterms:W3CDTF">2026-07-25T10:50:00Z</dcterms:modified>
  <cp:category/>
</cp:coreProperties>
</file>