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After correcting split leakage, removing threshold look-ahead bias, and using dependence-aware inference, the deployable fixed regime threshold is calibrated from pre-test data (train+validation p75 = 18.71), yielding a sparse High-VIX subset. On the aligned evaluation sample, regime-conditioned accuracy is 100.0% (High-VIX, N=8) versus 66.5% (Low-VIX, N=248), but the High-VIX local majority baseline is also 100.0%. Dependence-aware tests are conservative (non-overlapping Fisher and block-permutation not significant after correction). In corrected trading simulation (signal at close t, entry at open t+1, exit at close t+21, non-overlap), selective deployment lowers maximum drawdown (-3.69% vs -6.62%) but does not exceed buy-and-hold Sharpe (0.455 vs 1.204 at 0 bps; 0.375 vs 1.204 at 50 bps). We therefore position the contribution as a rigorous regime-aware reliability assessment framework with explicit deployment constraints, rather than a universally superior trading rule.</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7777777"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proofErr w:type="spellStart"/>
      <w:r>
        <w:t>generalisation</w:t>
      </w:r>
      <w:proofErr w:type="spellEnd"/>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2FF2C3C7" w:rsidR="00ED66A2" w:rsidRDefault="00000000">
      <w:pPr>
        <w:spacing w:after="80" w:line="360" w:lineRule="auto"/>
        <w:ind w:firstLine="360"/>
      </w:pPr>
      <w:r>
        <w:t xml:space="preserve">A substantial strand of finance research argues that predictability is regime-dependent rather than constant. Regime-switching models </w:t>
      </w:r>
      <w:proofErr w:type="spellStart"/>
      <w:r>
        <w:t>formalised</w:t>
      </w:r>
      <w:proofErr w:type="spellEnd"/>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proofErr w:type="spellStart"/>
      <w:r>
        <w:t>behaviour</w:t>
      </w:r>
      <w:proofErr w:type="spellEnd"/>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7777777"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proofErr w:type="spellStart"/>
      <w:r>
        <w:t>stylised</w:t>
      </w:r>
      <w:proofErr w:type="spellEnd"/>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565C3041" w:rsidR="00ED66A2" w:rsidRDefault="00000000">
      <w:pPr>
        <w:spacing w:after="80" w:line="360" w:lineRule="auto"/>
        <w:ind w:firstLine="360"/>
      </w:pPr>
      <w:r>
        <w:t xml:space="preserve">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w:t>
      </w:r>
      <w:r w:rsidR="0095557B">
        <w:fldChar w:fldCharType="begin" w:fldLock="1"/>
      </w:r>
      <w:r w:rsidR="0092647C">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techniques","type":"article-journal","volume":"42"},"uris":["http://www.mendeley.com/documents/?uuid=22929b18-9171-4b3d-9cc4-7e82c9fb75ef"]},{"id":"ITEM-2","itemData":{"DOI":"10.1016/j.procs.2016.06.096","ISSN":"18770509","abstract":"Stock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Science","id":"ITEM-2","issued":{"date-parts":[["2016"]]},"page":"441-449","publisher":"The Author(s)","title":"Prediction Models for Indian Stock Market","type":"article-journal","volume":"89"},"uris":["http://www.mendeley.com/documents/?uuid=b2e99fe4-6a91-4e6a-ba3c-08585bb9fa8e"]},{"id":"ITEM-3","itemData":{"DOI":"10.1016/j.procs.2018.05.050","ISSN":"18770509","abstract":"The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Science","id":"ITEM-3","issue":"Iccids","issued":{"date-parts":[["2018"]]},"page":"1351-1362","publisher":"Elsevier B.V.","title":"NSE Stock Market Prediction Using Deep-Learning Models","type":"article-journal","volume":"132"},"uris":["http://www.mendeley.com/documents/?uuid=e7a6b981-de14-4599-bf4d-142a53529421"]},{"id":"ITEM-4","itemData":{"DOI":"10.1016/j.ejor.2017.11.054","ISSN":"03772217","abstract":"Long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author":[{"dropping-particle":"","family":"Fischer","given":"Thomas","non-dropping-particle":"","parse-names":false,"suffix":""},{"dropping-particle":"","family":"Krauss","given":"Christopher","non-dropping-particle":"","parse-names":false,"suffix":""}],"container-title":"European Journal of Operational Research","id":"ITEM-4","issue":"2","issued":{"date-parts":[["2018"]]},"page":"654-669","publisher":"Elsevier B.V.","title":"Deep learning with long short-term memory networks for financial market predictions","type":"article-journal","volume":"270"},"uris":["http://www.mendeley.com/documents/?uuid=3f726a39-9f96-4adc-a94d-b6b1cdb93b04"]},{"id":"ITEM-5","itemData":{"DOI":"10.1016/j.asoc.2020.106181","ISSN":"15684946","abstract":"Financial time series forecasting is undoubtedly the top choice of computational intelligence for finance researchers in both academia and the finance industry due to its broad implementation areas and substantial impact. Machine Learning (ML) researchers have created various models, and a vast number of studies have been published accordingly. As such, a significant number of surveys exist covering ML studies on financial time series forecasting. Lately, Deep Learning (DL) models have appeared within the field, with results that significantly outperform their traditional ML counterparts. Even though there is a growing interest in developing models for financial time series forecasting, there is a lack of review papers that solely focus on DL for finance. Hence, the motivation of this paper is to provide a comprehensive literature review of DL studies on financial time series forecasting implementation. We not only categorized the studies according to their intended forecasting implementation areas, such as index, forex, and commodity forecasting, but we also grouped them based on their DL model choices, such as Convolutional Neural Networks (CNNs), Deep Belief Networks (DBNs), and Long-Short Term Memory (LSTM). We also tried to envision the future of the field by highlighting its possible setbacks and opportunities for the benefit of interested researchers.","author":[{"dropping-particle":"","family":"Sezer","given":"Omer Berat","non-dropping-particle":"","parse-names":false,"suffix":""},{"dropping-particle":"","family":"Gudelek","given":"Mehmet Ugur","non-dropping-particle":"","parse-names":false,"suffix":""},{"dropping-particle":"","family":"Ozbayoglu","given":"Ahmet Murat","non-dropping-particle":"","parse-names":false,"suffix":""}],"container-title":"Applied Soft Computing Journal","id":"ITEM-5","issued":{"date-parts":[["2020"]]},"page":"106181","publisher":"Elsevier B.V.","title":"Financial time series forecasting with deep learning: A systematic literature review: 2005–2019","type":"article-journal","volume":"90"},"uris":["http://www.mendeley.com/documents/?uuid=81eb43b9-aa34-4f40-b5fa-5be55fb376a0"]}],"mendeley":{"formattedCitation":"(Fischer &amp; Krauss, 2018; Hiransha et al., 2018; Nayak et al., 2016; Patel et al., 2015; Sezer et al., 2020)","plainTextFormattedCitation":"(Fischer &amp; Krauss, 2018; Hiransha et al., 2018; Nayak et al., 2016; Patel et al., 2015; Sezer et al., 2020)","previouslyFormattedCitation":"(Fischer &amp; Krauss, 2018; Hiransha et al., 2018; Nayak et al., 2016; Patel et al., 2015; Sezer et al., 2020)"},"properties":{"noteIndex":0},"schema":"https://github.com/citation-style-language/schema/raw/master/csl-citation.json"}</w:instrText>
      </w:r>
      <w:r w:rsidR="0095557B">
        <w:fldChar w:fldCharType="separate"/>
      </w:r>
      <w:r w:rsidR="0095557B" w:rsidRPr="0095557B">
        <w:rPr>
          <w:noProof/>
        </w:rPr>
        <w:t>(Fischer &amp; Krauss, 2018; Hiransha et al., 2018; Nayak et al., 2016; Patel et al., 2015; Sezer et al., 2020)</w:t>
      </w:r>
      <w:r w:rsidR="0095557B">
        <w:fldChar w:fldCharType="end"/>
      </w:r>
      <w:r>
        <w:t xml:space="preserve">.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w:t>
      </w:r>
      <w:r w:rsidR="0092647C">
        <w:fldChar w:fldCharType="begin" w:fldLock="1"/>
      </w:r>
      <w:r w:rsidR="000C25B1">
        <w:instrText>ADDIN CSL_CITATION {"citationItems":[{"id":"ITEM-1","itemData":{"DOI":"10.1016/j.eswa.2016.02.006","ISSN":"09574174","abstract":"Financial markets play an important role on the economical and social organization of modern society. In these kinds of markets, information is an invaluable asset. However, with the modernization of the financial transactions and the information systems, the large amount of information available for a trader can make prohibitive the analysis of a financial asset. In the last decades, many researchers have attempted to develop computational intelligent methods and algorithms to support the decision-making in different financial market segments. In the literature, there is a huge number of scientific papers that investigate the use of computational intelligence techniques to solve financial market problems. However, only few studies have focused on review the literature of this topic. Most of the existing review articles have a limited scope, either by focusing on a specific financial market application or by focusing on a family of machine learning algorithms. This paper presents a review of the application of several computational intelligent methods in several financial applications. This paper gives an overview of the most important primary studies published from 2009 to 2015, which cover techniques for preprocessing and clustering of financial data, for forecasting future market movements, for mining financial text information, among others. The main contributions of this paper are: (i) a comprehensive review of the literature of this field, (ii) the definition of a systematic procedure for guiding the task of building an intelligent trading system and (iii) a discussion about the main challenges and open problems in this scientific field.","author":[{"dropping-particle":"","family":"Cavalcante","given":"Rodolfo C.","non-dropping-particle":"","parse-names":false,"suffix":""},{"dropping-particle":"","family":"Brasileiro","given":"Rodrigo C.","non-dropping-particle":"","parse-names":false,"suffix":""},{"dropping-particle":"","family":"Souza","given":"Victor L.F.","non-dropping-particle":"","parse-names":false,"suffix":""},{"dropping-particle":"","family":"Nobrega","given":"Jarley P.","non-dropping-particle":"","parse-names":false,"suffix":""},{"dropping-particle":"","family":"Oliveira","given":"Adriano L.I.","non-dropping-particle":"","parse-names":false,"suffix":""}],"container-title":"Expert Systems with Applications","id":"ITEM-1","issued":{"date-parts":[["2016"]]},"page":"194-211","publisher":"Elsevier Ltd","title":"Computational Intelligence and Financial Markets: A Survey and Future Directions","type":"article-journal","volume":"55"},"uris":["http://www.mendeley.com/documents/?uuid=3d4fff9d-d4a6-4cb9-b3be-e8b4cd54ec7a"]}],"mendeley":{"formattedCitation":"(Cavalcante et al., 2016)","plainTextFormattedCitation":"(Cavalcante et al., 2016)","previouslyFormattedCitation":"(Cavalcante et al., 2016)"},"properties":{"noteIndex":0},"schema":"https://github.com/citation-style-language/schema/raw/master/csl-citation.json"}</w:instrText>
      </w:r>
      <w:r w:rsidR="0092647C">
        <w:fldChar w:fldCharType="separate"/>
      </w:r>
      <w:r w:rsidR="0092647C" w:rsidRPr="0092647C">
        <w:rPr>
          <w:noProof/>
        </w:rPr>
        <w:t>(Cavalcante et al., 2016)</w:t>
      </w:r>
      <w:r w:rsidR="0092647C">
        <w:fldChar w:fldCharType="end"/>
      </w:r>
      <w:r>
        <w:t xml:space="preserve"> document that no single algorithm consistently dominates across financial forecasting tasks, while</w:t>
      </w:r>
      <w:r w:rsidR="000C25B1">
        <w:t xml:space="preserve"> </w:t>
      </w:r>
      <w:r w:rsidR="000C25B1">
        <w:fldChar w:fldCharType="begin" w:fldLock="1"/>
      </w:r>
      <w:r w:rsidR="00B47EB1">
        <w:instrText>ADDIN CSL_CITATION {"citationItems":[{"id":"ITEM-1","itemData":{"DOI":"10.1016/j.eswa.2019.01.012","ISSN":"09574174","abstract":"The search for models to predict the prices of financial markets is still a highly researched topic, despite major related challenges. The prices of financial assets are non-linear, dynamic, and chaotic; thus, they are financial time series that are difficult to predict. Among the latest techniques, machine learning models are some of the most researched, given their capabilities for recognizing complex patterns in various applications. With the high productivity in the machine learning area applied to the prediction of financial market prices, objective methods are required for a consistent analysis of the most relevant bibliography on the subject. This article proposes the use of bibliographic survey techniques that highlight the most important texts for an area of research. Specifically, these techniques are applied to the literature about machine learning for predicting financial market values, resulting in a bibliographical review of the most important studies about this topic. Fifty-seven texts were reviewed, and a classification was proposed for markets, assets, methods, and variables. Among the main results, of particular note is the greater number of studies that use data from the North American market. The most commonly used models for prediction involve support vector machines (SVMs) and neural networks. It was concluded that the research theme is still relevant and that the use of data from developing markets is a research opportunity.","author":[{"dropping-particle":"","family":"Henrique","given":"Bruno Miranda","non-dropping-particle":"","parse-names":false,"suffix":""},{"dropping-particle":"","family":"Sobreiro","given":"Vinicius Amorim","non-dropping-particle":"","parse-names":false,"suffix":""},{"dropping-particle":"","family":"Kimura","given":"Herbert","non-dropping-particle":"","parse-names":false,"suffix":""}],"container-title":"Expert Systems with Applications","id":"ITEM-1","issued":{"date-parts":[["2019"]]},"page":"226-251","publisher":"Elsevier Ltd","title":"Literature review: Machine learning techniques applied to financial market prediction","type":"article-journal","volume":"124"},"uris":["http://www.mendeley.com/documents/?uuid=518e3876-930b-4f38-8936-e8989e24e9de"]}],"mendeley":{"formattedCitation":"(Henrique et al., 2019)","plainTextFormattedCitation":"(Henrique et al., 2019)","previouslyFormattedCitation":"(Henrique et al., 2019)"},"properties":{"noteIndex":0},"schema":"https://github.com/citation-style-language/schema/raw/master/csl-citation.json"}</w:instrText>
      </w:r>
      <w:r w:rsidR="000C25B1">
        <w:fldChar w:fldCharType="separate"/>
      </w:r>
      <w:r w:rsidR="000C25B1" w:rsidRPr="000C25B1">
        <w:rPr>
          <w:noProof/>
        </w:rPr>
        <w:t>(Henrique et al., 2019)</w:t>
      </w:r>
      <w:r w:rsidR="000C25B1">
        <w:fldChar w:fldCharType="end"/>
      </w:r>
      <w:r>
        <w:t xml:space="preserve"> review the ML literature and highlight that robust out-of-sample evaluation methodology remains a persistent challenge. Among directional forecasting benchmarks, </w:t>
      </w:r>
      <w:r w:rsidR="00B47EB1">
        <w:fldChar w:fldCharType="begin" w:fldLock="1"/>
      </w:r>
      <w:r w:rsidR="00B40D0B">
        <w:instrText>ADDIN CSL_CITATION {"citationItems":[{"id":"ITEM-1","itemData":{"DOI":"10.1016/j.cor.2004.03.016","ISSN":"03050548","abstract":"Support vector machine (SVM) is a very specific type of learning algorithms characterized by the capacity control of the decision function, the use of the kernel functions and the sparsity of the solution. In this paper, we investigate the predictability of financial movement direction with SVM by forecasting the weekly movement direction of NIKKEI 225 index. To evaluate the forecasting ability of SVM, we compare its performance with those of Linear Discriminant Analysis, Quadratic Discriminant Analysis and Elman Backpropagation Neural Networks. The experiment results show that SVM outperforms the other classification methods. Further, we propose a combining model by integrating SVM with the other classification methods. The combining model performs best among all the forecasting methods. © 2004 Elsevier Ltd. All rights reserved.","author":[{"dropping-particle":"","family":"Huang","given":"Wei","non-dropping-particle":"","parse-names":false,"suffix":""},{"dropping-particle":"","family":"Nakamori","given":"Yoshiteru","non-dropping-particle":"","parse-names":false,"suffix":""},{"dropping-particle":"","family":"Wang","given":"Shou Yang","non-dropping-particle":"","parse-names":false,"suffix":""}],"container-title":"Computers and Operations Research","id":"ITEM-1","issue":"10","issued":{"date-parts":[["2005"]]},"page":"2513-2522","title":"Forecasting stock market movement direction with support vector machine","type":"article-journal","volume":"32"},"uris":["http://www.mendeley.com/documents/?uuid=93bf0b74-ff6c-4b42-860f-14975fe4522d"]}],"mendeley":{"formattedCitation":"(Huang et al., 2005)","plainTextFormattedCitation":"(Huang et al., 2005)","previouslyFormattedCitation":"(Huang et al., 2005)"},"properties":{"noteIndex":0},"schema":"https://github.com/citation-style-language/schema/raw/master/csl-citation.json"}</w:instrText>
      </w:r>
      <w:r w:rsidR="00B47EB1">
        <w:fldChar w:fldCharType="separate"/>
      </w:r>
      <w:r w:rsidR="00B47EB1" w:rsidRPr="00B47EB1">
        <w:rPr>
          <w:noProof/>
        </w:rPr>
        <w:t>(Huang et al., 2005)</w:t>
      </w:r>
      <w:r w:rsidR="00B47EB1">
        <w:fldChar w:fldCharType="end"/>
      </w:r>
      <w:r>
        <w:t xml:space="preserve"> provided early evidence that technical-indicator classifiers can achieve competitive accuracy using support vector machines, and </w:t>
      </w:r>
      <w:r w:rsidR="00B40D0B">
        <w:fldChar w:fldCharType="begin" w:fldLock="1"/>
      </w:r>
      <w:r w:rsidR="00CA7F76">
        <w:instrText>ADDIN CSL_CITATION {"citationItems":[{"id":"ITEM-1","itemData":{"DOI":"10.1016/j.eswa.2015.05.013","ISSN":"09574174","abstract":"Stock price direction prediction is an important issue in the financial world. Even small improvements in predictive performance can be very profitable. The purpose of this paper is to benchmark ensemble methods (Random Forest, AdaBoost and Kernel Factory) against single classifier models (Neural Networks, Logistic Regression, Support Vector Machines and K-Nearest Neighbor). We gathered data from 5767 publicly listed European companies and used the area under the receiver operating characteristic curve (AUC) as a performance measure. Our predictions are one year ahead. The results indicate that Random Forest is the top algorithm followed by Support Vector Machines, Kernel Factory, AdaBoost, Neural Networks, K-Nearest Neighbors and Logistic Regression. This study contributes to literature in that it is, to the best of our knowledge, the first to make such an extensive benchmark. The results clearly suggest that novel studies in the domain of stock price direction prediction should include ensembles in their sets of algorithms. Our extensive literature review evidently indicates that this is currently not the case.","author":[{"dropping-particle":"","family":"Ballings","given":"Michel","non-dropping-particle":"","parse-names":false,"suffix":""},{"dropping-particle":"","family":"Poel","given":"Dirk","non-dropping-particle":"Van Den","parse-names":false,"suffix":""},{"dropping-particle":"","family":"Hespeels","given":"Nathalie","non-dropping-particle":"","parse-names":false,"suffix":""},{"dropping-particle":"","family":"Gryp","given":"Ruben","non-dropping-particle":"","parse-names":false,"suffix":""}],"container-title":"Expert Systems with Applications","id":"ITEM-1","issue":"20","issued":{"date-parts":[["2015"]]},"page":"7046-7056","publisher":"Elsevier Ltd","title":"Evaluating multiple classifiers for stock price direction prediction","type":"article-journal","volume":"42"},"uris":["http://www.mendeley.com/documents/?uuid=b37b14df-11fd-4c9d-9636-5a543fc0745b"]}],"mendeley":{"formattedCitation":"(Ballings et al., 2015)","plainTextFormattedCitation":"(Ballings et al., 2015)","previouslyFormattedCitation":"(Ballings et al., 2015)"},"properties":{"noteIndex":0},"schema":"https://github.com/citation-style-language/schema/raw/master/csl-citation.json"}</w:instrText>
      </w:r>
      <w:r w:rsidR="00B40D0B">
        <w:fldChar w:fldCharType="separate"/>
      </w:r>
      <w:r w:rsidR="00B40D0B" w:rsidRPr="00B40D0B">
        <w:rPr>
          <w:noProof/>
        </w:rPr>
        <w:t>(Ballings et al., 2015)</w:t>
      </w:r>
      <w:r w:rsidR="00B40D0B">
        <w:fldChar w:fldCharType="end"/>
      </w:r>
      <w:r>
        <w:t xml:space="preserve"> show through multi-classifier comparisons on European equities that ensemble methods offer consistent advantages over individual models. </w:t>
      </w:r>
      <w:r>
        <w:lastRenderedPageBreak/>
        <w:t xml:space="preserve">Reviews of deep learning for stock prediction </w:t>
      </w:r>
      <w:r w:rsidR="00CA7F76">
        <w:fldChar w:fldCharType="begin" w:fldLock="1"/>
      </w:r>
      <w:r w:rsidR="00356091">
        <w:instrText>ADDIN CSL_CITATION {"citationItems":[{"id":"ITEM-1","itemData":{"DOI":"10.1016/j.eswa.2021.115537","ISSN":"09574174","abstract":"Stock market prediction has been a classical yet challenging problem, with the attention from both economists and computer scientists. With the purpose of building an effective prediction model, both linear and machine learning tools have been explored for the past couple of decades. Lately, deep learning models have been introduced as new frontiers for this topic and the rapid development is too fast to catch up. Hence, our motivation for this survey is to give a latest review of recent works on deep learning models for stock market prediction. We not only category the different data sources, various neural network structures, and common used evaluation metrics, but also the implementation and reproducibility. Our goal is to help the interested researchers to synchronize with the latest progress and also help them to easily reproduce the previous studies as baselines. Based on the summary, we also highlight some future research directions in this topic.","author":[{"dropping-particle":"","family":"Jiang","given":"Weiwei","non-dropping-particle":"","parse-names":false,"suffix":""}],"container-title":"Expert Systems with Applications","id":"ITEM-1","issue":"March 2020","issued":{"date-parts":[["2021"]]},"page":"115537","publisher":"Elsevier Ltd","title":"Applications of deep learning in stock market prediction: Recent progress","type":"article-journal","volume":"184"},"uris":["http://www.mendeley.com/documents/?uuid=65107918-b051-4712-9349-b11c88ed0ff9"]},{"id":"ITEM-2","itemData":{"DOI":"10.1109/IC3TES62412.2024.10877452","ISBN":"9798350364699","abstract":"This study investigates the operation of deep literacy methods to prognosticate stock request movements. The purpose of this investigation is to improve the delicacy of soothsaying and the decision-making processes they include. Exercising advanced neural network infrastructures, such as convolutional and intermittent networks, the study examines the usefulness of these networks in analyzing literal stock data and relating patterns that are reflective of future price developments. To capture both time dependencies and complicated request signals, the investigation incorporates several deep literacy models, which are analogous to Long Short-Term Memory (LSTM) networks and Motor infrastructures. In this research, the prophetic performance of these models is evaluated by conducting rigorous backtesting on real-world stock data. The results of this evaluation are compared with standard statistical and machine literacy methodologies. Deep literacy models have been shown to give considerable advancement, as demonstrated by the results, which emphasize their potential for providing practical perceptivity and strategic advantages in stock trading. Through the validation of the capacities of deep literacy in the management of the problems of fiscal request vaticination, this study contributes to the expanding field of fiscal analytics.","author":[{"dropping-particle":"","family":"Raavihemalatha","given":"","non-dropping-particle":"","parse-names":false,"suffix":""},{"dropping-particle":"","family":"GodiAmulya","given":"","non-dropping-particle":"","parse-names":false,"suffix":""},{"dropping-particle":"","family":"Sailalitha","given":"Ch S.N.","non-dropping-particle":"","parse-names":false,"suffix":""}],"container-title":"2024 2nd International Conference Computational and Characterization Techniques in Engineering and Sciences, IC3TES 2024","id":"ITEM-2","issued":{"date-parts":[["2024"]]},"title":"Deep Learning for Stock Market Prediction","type":"article-journal"},"uris":["http://www.mendeley.com/documents/?uuid=80532024-fd08-4baf-a8ca-8b147536f182"]}],"mendeley":{"formattedCitation":"(Jiang, 2021; Raavihemalatha et al., 2024)","plainTextFormattedCitation":"(Jiang, 2021; Raavihemalatha et al., 2024)","previouslyFormattedCitation":"(Jiang, 2021; Raavihemalatha et al., 2024)"},"properties":{"noteIndex":0},"schema":"https://github.com/citation-style-language/schema/raw/master/csl-citation.json"}</w:instrText>
      </w:r>
      <w:r w:rsidR="00CA7F76">
        <w:fldChar w:fldCharType="separate"/>
      </w:r>
      <w:r w:rsidR="006606AE" w:rsidRPr="006606AE">
        <w:rPr>
          <w:noProof/>
        </w:rPr>
        <w:t>(Jiang, 2021; Raavihemalatha et al., 2024)</w:t>
      </w:r>
      <w:r w:rsidR="00CA7F76">
        <w:fldChar w:fldCharType="end"/>
      </w:r>
      <w:r w:rsidR="006606AE">
        <w:t xml:space="preserve"> </w:t>
      </w:r>
      <w:r>
        <w:t xml:space="preserve">document growing adoption of hybrid sequence-tabular architectures but also </w:t>
      </w:r>
      <w:proofErr w:type="spellStart"/>
      <w:r>
        <w:t>emphasise</w:t>
      </w:r>
      <w:proofErr w:type="spellEnd"/>
      <w:r>
        <w:t xml:space="preserve"> the rarity of deployment translation and regime-conditional reporting.</w:t>
      </w:r>
    </w:p>
    <w:p w14:paraId="3073CE33" w14:textId="180E328C"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proofErr w:type="spellStart"/>
      <w:r>
        <w:t>maximise</w:t>
      </w:r>
      <w:proofErr w:type="spellEnd"/>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 xml:space="preserve">A strict chronological split is maintained throughout the pipeline. </w:t>
      </w:r>
      <w:r w:rsidR="006C3E53">
        <w:t xml:space="preserve">The </w:t>
      </w:r>
      <w:r w:rsidR="006C3E53" w:rsidRPr="006C3E53">
        <w:t xml:space="preserve">Table 2 </w:t>
      </w:r>
      <w:r w:rsidR="006C3E53">
        <w:t>shows s</w:t>
      </w:r>
      <w:r w:rsidR="006C3E53" w:rsidRPr="006C3E53">
        <w:t>ample construction, temporal splits, and India VIX regime counts for the evaluation.</w:t>
      </w:r>
      <w:r w:rsidR="006C3E53">
        <w:t xml:space="preserve"> </w:t>
      </w:r>
      <w:r>
        <w:t xml:space="preserve">The training window runs from 23 May 2016 to 12 October 2023 and contains 1,410 trading days. The validation window runs from 20 October 2023 to 6 January 2025 and contains 297 trading days. The held-out test window runs from 14 January 2025 to 30 March 2026 and contains 277 trading days at the 21-day horizon. No row from the test set is used during feature scaling, model fitting, </w:t>
      </w:r>
      <w:r>
        <w:lastRenderedPageBreak/>
        <w:t>hyperparameter search, or meta-learner training. The test set therefore serves as the only surface on which the regime-conditioned result is measured.</w:t>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2023-10-12</w:t>
            </w:r>
          </w:p>
        </w:tc>
        <w:tc>
          <w:tcPr>
            <w:tcW w:w="1279" w:type="dxa"/>
            <w:vAlign w:val="center"/>
          </w:tcPr>
          <w:p w14:paraId="474C5CC6" w14:textId="77777777" w:rsidR="00ED66A2" w:rsidRDefault="00000000" w:rsidP="00040C97">
            <w:pPr>
              <w:jc w:val="center"/>
            </w:pPr>
            <w:r>
              <w:rPr>
                <w:sz w:val="20"/>
              </w:rPr>
              <w:t>1,410</w:t>
            </w:r>
          </w:p>
        </w:tc>
        <w:tc>
          <w:tcPr>
            <w:tcW w:w="3781" w:type="dxa"/>
            <w:vAlign w:val="center"/>
          </w:tcPr>
          <w:p w14:paraId="578FF1FE" w14:textId="77777777" w:rsidR="00ED66A2" w:rsidRDefault="00000000" w:rsidP="00040C97">
            <w:pPr>
              <w:jc w:val="left"/>
            </w:pPr>
            <w:r>
              <w:rPr>
                <w:sz w:val="20"/>
              </w:rPr>
              <w:t>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2025-01-06</w:t>
            </w:r>
          </w:p>
        </w:tc>
        <w:tc>
          <w:tcPr>
            <w:tcW w:w="1279" w:type="dxa"/>
            <w:vAlign w:val="center"/>
          </w:tcPr>
          <w:p w14:paraId="2E2179A3" w14:textId="77777777" w:rsidR="00ED66A2" w:rsidRDefault="00000000" w:rsidP="00040C97">
            <w:pPr>
              <w:jc w:val="center"/>
            </w:pPr>
            <w:r>
              <w:rPr>
                <w:sz w:val="20"/>
              </w:rPr>
              <w:t>297</w:t>
            </w:r>
          </w:p>
        </w:tc>
        <w:tc>
          <w:tcPr>
            <w:tcW w:w="3781" w:type="dxa"/>
            <w:vAlign w:val="center"/>
          </w:tcPr>
          <w:p w14:paraId="55443D1A" w14:textId="77777777" w:rsidR="00ED66A2" w:rsidRDefault="00000000" w:rsidP="00040C97">
            <w:pPr>
              <w:jc w:val="left"/>
            </w:pPr>
            <w:r>
              <w:rPr>
                <w:sz w:val="20"/>
              </w:rPr>
              <w:t>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2026-03-30</w:t>
            </w:r>
          </w:p>
        </w:tc>
        <w:tc>
          <w:tcPr>
            <w:tcW w:w="1279" w:type="dxa"/>
            <w:vAlign w:val="center"/>
          </w:tcPr>
          <w:p w14:paraId="66BEBF4B" w14:textId="77777777" w:rsidR="00ED66A2" w:rsidRDefault="00000000" w:rsidP="00040C97">
            <w:pPr>
              <w:jc w:val="center"/>
            </w:pPr>
            <w:r>
              <w:rPr>
                <w:sz w:val="20"/>
              </w:rPr>
              <w:t>277</w:t>
            </w:r>
          </w:p>
        </w:tc>
        <w:tc>
          <w:tcPr>
            <w:tcW w:w="3781" w:type="dxa"/>
            <w:vAlign w:val="center"/>
          </w:tcPr>
          <w:p w14:paraId="3EBD7EA8" w14:textId="77777777" w:rsidR="00ED66A2" w:rsidRDefault="00000000" w:rsidP="00040C97">
            <w:pPr>
              <w:jc w:val="left"/>
            </w:pPr>
            <w:r>
              <w:rPr>
                <w:sz w:val="20"/>
              </w:rPr>
              <w:t>Strictly held out for final evaluation</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&gt;= 15.08</w:t>
            </w:r>
          </w:p>
        </w:tc>
        <w:tc>
          <w:tcPr>
            <w:tcW w:w="1279" w:type="dxa"/>
            <w:vAlign w:val="center"/>
          </w:tcPr>
          <w:p w14:paraId="0737262C" w14:textId="77777777" w:rsidR="00ED66A2" w:rsidRDefault="00000000" w:rsidP="00040C97">
            <w:pPr>
              <w:jc w:val="center"/>
            </w:pPr>
            <w:r>
              <w:rPr>
                <w:sz w:val="20"/>
              </w:rPr>
              <w:t>58</w:t>
            </w:r>
          </w:p>
        </w:tc>
        <w:tc>
          <w:tcPr>
            <w:tcW w:w="3781" w:type="dxa"/>
            <w:vAlign w:val="center"/>
          </w:tcPr>
          <w:p w14:paraId="69C014AA" w14:textId="77777777" w:rsidR="00ED66A2" w:rsidRDefault="00000000" w:rsidP="00040C97">
            <w:pPr>
              <w:jc w:val="left"/>
            </w:pPr>
            <w:r>
              <w:rPr>
                <w:sz w:val="20"/>
              </w:rPr>
              <w:t>20.9% of the test period</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15.08</w:t>
            </w:r>
          </w:p>
        </w:tc>
        <w:tc>
          <w:tcPr>
            <w:tcW w:w="1279" w:type="dxa"/>
            <w:vAlign w:val="center"/>
          </w:tcPr>
          <w:p w14:paraId="11F1BA6C" w14:textId="77777777" w:rsidR="00ED66A2" w:rsidRDefault="00000000" w:rsidP="00040C97">
            <w:pPr>
              <w:jc w:val="center"/>
            </w:pPr>
            <w:r>
              <w:rPr>
                <w:sz w:val="20"/>
              </w:rPr>
              <w:t>219</w:t>
            </w:r>
          </w:p>
        </w:tc>
        <w:tc>
          <w:tcPr>
            <w:tcW w:w="3781" w:type="dxa"/>
            <w:vAlign w:val="center"/>
          </w:tcPr>
          <w:p w14:paraId="0189753D" w14:textId="77777777" w:rsidR="00ED66A2" w:rsidRDefault="00000000" w:rsidP="00040C97">
            <w:pPr>
              <w:jc w:val="left"/>
            </w:pPr>
            <w:r>
              <w:rPr>
                <w:sz w:val="20"/>
              </w:rPr>
              <w:t>79.1% of the test period</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77777777"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proofErr w:type="spellStart"/>
      <w:r>
        <w:t>generalises</w:t>
      </w:r>
      <w:proofErr w:type="spellEnd"/>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The regime rule is now defined without look-ahead bias. High-VIX is calibrated as India VIX greater than or equal to the 75th percentile of the pre-test (train+validation) distribution, giving a fixed threshold of 18.71 rather than the previously used test-derived 15.08. Under this fixed rule, the held-out test window contains far fewer High-VIX observations, which materially affects both statistical power and deployment frequency.</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09E5E91E"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542CCAC9" w14:textId="5D202176"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0.6101</w:t>
            </w:r>
          </w:p>
        </w:tc>
        <w:tc>
          <w:tcPr>
            <w:tcW w:w="1344" w:type="dxa"/>
            <w:vAlign w:val="center"/>
          </w:tcPr>
          <w:p w14:paraId="1A23FAE0" w14:textId="77777777" w:rsidR="00ED66A2" w:rsidRDefault="00000000" w:rsidP="00DF5C9B">
            <w:pPr>
              <w:jc w:val="center"/>
            </w:pPr>
            <w:r>
              <w:rPr>
                <w:sz w:val="20"/>
              </w:rPr>
              <w:t>0.5616</w:t>
            </w:r>
          </w:p>
        </w:tc>
        <w:tc>
          <w:tcPr>
            <w:tcW w:w="1642" w:type="dxa"/>
            <w:vAlign w:val="center"/>
          </w:tcPr>
          <w:p w14:paraId="715C1B1E" w14:textId="77777777" w:rsidR="00ED66A2" w:rsidRDefault="00000000" w:rsidP="00DF5C9B">
            <w:pPr>
              <w:jc w:val="center"/>
            </w:pPr>
            <w:r>
              <w:rPr>
                <w:sz w:val="20"/>
              </w:rPr>
              <w:t>0.6895</w:t>
            </w:r>
          </w:p>
        </w:tc>
        <w:tc>
          <w:tcPr>
            <w:tcW w:w="1493" w:type="dxa"/>
            <w:vAlign w:val="center"/>
          </w:tcPr>
          <w:p w14:paraId="7589537E" w14:textId="77777777" w:rsidR="00ED66A2" w:rsidRDefault="00000000" w:rsidP="00DF5C9B">
            <w:pPr>
              <w:jc w:val="center"/>
            </w:pPr>
            <w:r>
              <w:rPr>
                <w:sz w:val="20"/>
              </w:rPr>
              <w:t>0.004</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193053EA"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key validity check is comparison against within-regime baselines. In the High-VIX subset, the majority-class baseline equals 100.0%, matching model accuracy because all eight observations are Up. In Low-VIX, model accuracy is 66.5% versus a 70.2% local majority baseline. These comparisons are now reported explicitly to prevent over-interpretation of subset accuracy in class-imbalanced, small-cell conditions.</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58</w:t>
            </w:r>
          </w:p>
        </w:tc>
        <w:tc>
          <w:tcPr>
            <w:tcW w:w="1017" w:type="dxa"/>
            <w:vAlign w:val="center"/>
          </w:tcPr>
          <w:p w14:paraId="13E009F0" w14:textId="77777777" w:rsidR="00ED66A2" w:rsidRDefault="00000000" w:rsidP="0030390A">
            <w:pPr>
              <w:jc w:val="center"/>
            </w:pPr>
            <w:r>
              <w:rPr>
                <w:sz w:val="20"/>
              </w:rPr>
              <w:t>0.845</w:t>
            </w:r>
          </w:p>
        </w:tc>
        <w:tc>
          <w:tcPr>
            <w:tcW w:w="799" w:type="dxa"/>
            <w:vAlign w:val="center"/>
          </w:tcPr>
          <w:p w14:paraId="14E9F882" w14:textId="77777777" w:rsidR="00ED66A2" w:rsidRDefault="00000000" w:rsidP="0030390A">
            <w:pPr>
              <w:jc w:val="center"/>
            </w:pPr>
            <w:r>
              <w:rPr>
                <w:sz w:val="20"/>
              </w:rPr>
              <w:t>219</w:t>
            </w:r>
          </w:p>
        </w:tc>
        <w:tc>
          <w:tcPr>
            <w:tcW w:w="1017" w:type="dxa"/>
            <w:vAlign w:val="center"/>
          </w:tcPr>
          <w:p w14:paraId="6EEF4F2B" w14:textId="77777777" w:rsidR="00ED66A2" w:rsidRDefault="00000000" w:rsidP="0030390A">
            <w:pPr>
              <w:jc w:val="center"/>
            </w:pPr>
            <w:r>
              <w:rPr>
                <w:sz w:val="20"/>
              </w:rPr>
              <w:t>0.548</w:t>
            </w:r>
          </w:p>
        </w:tc>
        <w:tc>
          <w:tcPr>
            <w:tcW w:w="1017" w:type="dxa"/>
            <w:vAlign w:val="center"/>
          </w:tcPr>
          <w:p w14:paraId="6DBD0A72" w14:textId="77777777" w:rsidR="00ED66A2" w:rsidRDefault="00000000" w:rsidP="0030390A">
            <w:pPr>
              <w:jc w:val="center"/>
            </w:pPr>
            <w:r>
              <w:rPr>
                <w:sz w:val="20"/>
              </w:rPr>
              <w:t>+0.297</w:t>
            </w:r>
          </w:p>
        </w:tc>
        <w:tc>
          <w:tcPr>
            <w:tcW w:w="1454" w:type="dxa"/>
            <w:vAlign w:val="center"/>
          </w:tcPr>
          <w:p w14:paraId="0846B1ED" w14:textId="77777777" w:rsidR="00ED66A2" w:rsidRDefault="00000000" w:rsidP="0030390A">
            <w:pPr>
              <w:jc w:val="center"/>
            </w:pPr>
            <w:r>
              <w:rPr>
                <w:sz w:val="20"/>
              </w:rPr>
              <w:t>≈ 3×10⁻⁵</w:t>
            </w:r>
          </w:p>
        </w:tc>
        <w:tc>
          <w:tcPr>
            <w:tcW w:w="799" w:type="dxa"/>
            <w:vAlign w:val="center"/>
          </w:tcPr>
          <w:p w14:paraId="1B2483FA" w14:textId="77777777" w:rsidR="00ED66A2" w:rsidRDefault="00000000" w:rsidP="0030390A">
            <w:pPr>
              <w:jc w:val="center"/>
            </w:pPr>
            <w:r>
              <w:rPr>
                <w:sz w:val="20"/>
              </w:rPr>
              <w:t>0.248</w:t>
            </w:r>
          </w:p>
        </w:tc>
        <w:tc>
          <w:tcPr>
            <w:tcW w:w="1172" w:type="dxa"/>
            <w:vAlign w:val="center"/>
          </w:tcPr>
          <w:p w14:paraId="62E7CE1B" w14:textId="77777777" w:rsidR="00ED66A2" w:rsidRDefault="00000000" w:rsidP="0030390A">
            <w:pPr>
              <w:jc w:val="center"/>
            </w:pPr>
            <w:r>
              <w:rPr>
                <w:sz w:val="20"/>
              </w:rPr>
              <w:t>Yes</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The statistical result is translated into a conservative deployment test. Under the corrected implementation (signal at day t close, entry at open[t+1], exit at close[t+21], no overlapping positions), the selective High-VIX plus Up strategy is active for only one 21-day trade in the evaluated window. At zero cost, strategy Sharpe is 0.455 versus 1.204 for buy-and-hold, while maximum drawdown is lower (-3.69% versus -6.62%). Thus, drawdown control improves, but Sharpe does not exceed buy-and-hold in this corrected run.</w:t>
      </w:r>
    </w:p>
    <w:p w14:paraId="03385538"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2329F659"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277/277</w:t>
            </w:r>
          </w:p>
        </w:tc>
        <w:tc>
          <w:tcPr>
            <w:tcW w:w="1454" w:type="dxa"/>
            <w:vAlign w:val="center"/>
          </w:tcPr>
          <w:p w14:paraId="5EA01407" w14:textId="77777777" w:rsidR="00ED66A2" w:rsidRDefault="00000000" w:rsidP="00815225">
            <w:pPr>
              <w:jc w:val="center"/>
            </w:pPr>
            <w:r>
              <w:rPr>
                <w:sz w:val="20"/>
              </w:rPr>
              <w:t>+25.57%</w:t>
            </w:r>
          </w:p>
        </w:tc>
        <w:tc>
          <w:tcPr>
            <w:tcW w:w="1454" w:type="dxa"/>
            <w:vAlign w:val="center"/>
          </w:tcPr>
          <w:p w14:paraId="3E2D4090" w14:textId="77777777" w:rsidR="00ED66A2" w:rsidRDefault="00000000" w:rsidP="00815225">
            <w:pPr>
              <w:jc w:val="center"/>
            </w:pPr>
            <w:r>
              <w:rPr>
                <w:sz w:val="20"/>
              </w:rPr>
              <w:t>23.92%</w:t>
            </w:r>
          </w:p>
        </w:tc>
        <w:tc>
          <w:tcPr>
            <w:tcW w:w="1018" w:type="dxa"/>
            <w:vAlign w:val="center"/>
          </w:tcPr>
          <w:p w14:paraId="69129CFE" w14:textId="77777777" w:rsidR="00ED66A2" w:rsidRDefault="00000000" w:rsidP="00815225">
            <w:pPr>
              <w:jc w:val="center"/>
            </w:pPr>
            <w:r>
              <w:rPr>
                <w:sz w:val="20"/>
              </w:rPr>
              <w:t>1.963</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223/277</w:t>
            </w:r>
          </w:p>
        </w:tc>
        <w:tc>
          <w:tcPr>
            <w:tcW w:w="1454" w:type="dxa"/>
            <w:vAlign w:val="center"/>
          </w:tcPr>
          <w:p w14:paraId="5D93F989" w14:textId="77777777" w:rsidR="00ED66A2" w:rsidRDefault="00000000" w:rsidP="00815225">
            <w:pPr>
              <w:jc w:val="center"/>
            </w:pPr>
            <w:r>
              <w:rPr>
                <w:sz w:val="20"/>
              </w:rPr>
              <w:t>+22.34%</w:t>
            </w:r>
          </w:p>
        </w:tc>
        <w:tc>
          <w:tcPr>
            <w:tcW w:w="1454" w:type="dxa"/>
            <w:vAlign w:val="center"/>
          </w:tcPr>
          <w:p w14:paraId="10D8D6C3" w14:textId="77777777" w:rsidR="00ED66A2" w:rsidRDefault="00000000" w:rsidP="00815225">
            <w:pPr>
              <w:jc w:val="center"/>
            </w:pPr>
            <w:r>
              <w:rPr>
                <w:sz w:val="20"/>
              </w:rPr>
              <w:t>20.88%</w:t>
            </w:r>
          </w:p>
        </w:tc>
        <w:tc>
          <w:tcPr>
            <w:tcW w:w="1018" w:type="dxa"/>
            <w:vAlign w:val="center"/>
          </w:tcPr>
          <w:p w14:paraId="69B3B015" w14:textId="77777777" w:rsidR="00ED66A2" w:rsidRDefault="00000000" w:rsidP="00815225">
            <w:pPr>
              <w:jc w:val="center"/>
            </w:pPr>
            <w:r>
              <w:rPr>
                <w:sz w:val="20"/>
              </w:rPr>
              <w:t>1.876</w:t>
            </w:r>
          </w:p>
        </w:tc>
        <w:tc>
          <w:tcPr>
            <w:tcW w:w="1309" w:type="dxa"/>
            <w:vAlign w:val="center"/>
          </w:tcPr>
          <w:p w14:paraId="2D770D24" w14:textId="77777777" w:rsidR="00ED66A2" w:rsidRDefault="00000000" w:rsidP="00815225">
            <w:pPr>
              <w:jc w:val="center"/>
            </w:pPr>
            <w:r>
              <w:rPr>
                <w:sz w:val="20"/>
              </w:rPr>
              <w:t>-4.29%</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48/277</w:t>
            </w:r>
          </w:p>
        </w:tc>
        <w:tc>
          <w:tcPr>
            <w:tcW w:w="1454" w:type="dxa"/>
            <w:vAlign w:val="center"/>
          </w:tcPr>
          <w:p w14:paraId="44943DCA" w14:textId="77777777" w:rsidR="00ED66A2" w:rsidRDefault="00000000" w:rsidP="00815225">
            <w:pPr>
              <w:jc w:val="center"/>
            </w:pPr>
            <w:r>
              <w:rPr>
                <w:sz w:val="20"/>
              </w:rPr>
              <w:t>+17.35%</w:t>
            </w:r>
          </w:p>
        </w:tc>
        <w:tc>
          <w:tcPr>
            <w:tcW w:w="1454" w:type="dxa"/>
            <w:vAlign w:val="center"/>
          </w:tcPr>
          <w:p w14:paraId="0613460E" w14:textId="77777777" w:rsidR="00ED66A2" w:rsidRDefault="00000000" w:rsidP="00815225">
            <w:pPr>
              <w:jc w:val="center"/>
            </w:pPr>
            <w:r>
              <w:rPr>
                <w:sz w:val="20"/>
              </w:rPr>
              <w:t>15.96%</w:t>
            </w:r>
          </w:p>
        </w:tc>
        <w:tc>
          <w:tcPr>
            <w:tcW w:w="1018" w:type="dxa"/>
            <w:vAlign w:val="center"/>
          </w:tcPr>
          <w:p w14:paraId="2C732821" w14:textId="77777777" w:rsidR="00ED66A2" w:rsidRDefault="00000000" w:rsidP="00815225">
            <w:pPr>
              <w:jc w:val="center"/>
            </w:pPr>
            <w:r>
              <w:rPr>
                <w:sz w:val="20"/>
              </w:rPr>
              <w:t>2.216</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58/277</w:t>
            </w:r>
          </w:p>
        </w:tc>
        <w:tc>
          <w:tcPr>
            <w:tcW w:w="1454" w:type="dxa"/>
            <w:vAlign w:val="center"/>
          </w:tcPr>
          <w:p w14:paraId="6EA6A155" w14:textId="77777777" w:rsidR="00ED66A2" w:rsidRDefault="00000000" w:rsidP="00815225">
            <w:pPr>
              <w:jc w:val="center"/>
            </w:pPr>
            <w:r>
              <w:rPr>
                <w:sz w:val="20"/>
              </w:rPr>
              <w:t>+15.63%</w:t>
            </w:r>
          </w:p>
        </w:tc>
        <w:tc>
          <w:tcPr>
            <w:tcW w:w="1454" w:type="dxa"/>
            <w:vAlign w:val="center"/>
          </w:tcPr>
          <w:p w14:paraId="09881A51" w14:textId="77777777" w:rsidR="00ED66A2" w:rsidRDefault="00000000" w:rsidP="00815225">
            <w:pPr>
              <w:jc w:val="center"/>
            </w:pPr>
            <w:r>
              <w:rPr>
                <w:sz w:val="20"/>
              </w:rPr>
              <w:t>14.45%</w:t>
            </w:r>
          </w:p>
        </w:tc>
        <w:tc>
          <w:tcPr>
            <w:tcW w:w="1018" w:type="dxa"/>
            <w:vAlign w:val="center"/>
          </w:tcPr>
          <w:p w14:paraId="45665723" w14:textId="77777777" w:rsidR="00ED66A2" w:rsidRDefault="00000000" w:rsidP="00815225">
            <w:pPr>
              <w:jc w:val="center"/>
            </w:pPr>
            <w:r>
              <w:rPr>
                <w:sz w:val="20"/>
              </w:rPr>
              <w:t>1.914</w:t>
            </w:r>
          </w:p>
        </w:tc>
        <w:tc>
          <w:tcPr>
            <w:tcW w:w="1309" w:type="dxa"/>
            <w:vAlign w:val="center"/>
          </w:tcPr>
          <w:p w14:paraId="0229BF06" w14:textId="77777777" w:rsidR="00ED66A2" w:rsidRDefault="00000000" w:rsidP="00815225">
            <w:pPr>
              <w:jc w:val="center"/>
            </w:pPr>
            <w:r>
              <w:rPr>
                <w:sz w:val="20"/>
              </w:rPr>
              <w:t>-3.69%</w:t>
            </w:r>
          </w:p>
        </w:tc>
      </w:tr>
    </w:tbl>
    <w:p w14:paraId="7729A6A3" w14:textId="77777777" w:rsidR="00ED66A2" w:rsidRDefault="00ED66A2"/>
    <w:p w14:paraId="59519160" w14:textId="06FB5509"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05E77C28" w:rsidR="00ED66A2" w:rsidRDefault="00000000">
      <w:pPr>
        <w:spacing w:after="80" w:line="360" w:lineRule="auto"/>
        <w:ind w:firstLine="360"/>
      </w:pPr>
      <w:r>
        <w:t xml:space="preserve">That </w:t>
      </w:r>
      <w:proofErr w:type="spellStart"/>
      <w:r>
        <w:t>behaviour</w:t>
      </w:r>
      <w:proofErr w:type="spellEnd"/>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proofErr w:type="spellStart"/>
      <w:r>
        <w:t>ensembl</w:t>
      </w:r>
      <w:r w:rsidR="00541B59">
        <w:t>p</w:t>
      </w:r>
      <w:r>
        <w:t>e’s</w:t>
      </w:r>
      <w:proofErr w:type="spellEnd"/>
      <w:r>
        <w:t xml:space="preserve"> internal confidence also rises when the regime says it should.</w:t>
      </w:r>
    </w:p>
    <w:p w14:paraId="178ABCD6" w14:textId="77777777" w:rsidR="00ED66A2" w:rsidRDefault="00000000">
      <w:pPr>
        <w:pStyle w:val="Heading1"/>
      </w:pPr>
      <w:r>
        <w:rPr>
          <w:rFonts w:ascii="Times New Roman" w:hAnsi="Times New Roman"/>
        </w:rPr>
        <w:t xml:space="preserve">6. Robustness and </w:t>
      </w:r>
      <w:proofErr w:type="spellStart"/>
      <w:r>
        <w:rPr>
          <w:rFonts w:ascii="Times New Roman" w:hAnsi="Times New Roman"/>
        </w:rPr>
        <w:t>Generalisation</w:t>
      </w:r>
      <w:proofErr w:type="spellEnd"/>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25.57%</w:t>
            </w:r>
          </w:p>
        </w:tc>
        <w:tc>
          <w:tcPr>
            <w:tcW w:w="1440" w:type="dxa"/>
            <w:vAlign w:val="center"/>
          </w:tcPr>
          <w:p w14:paraId="420E1EE6" w14:textId="77777777" w:rsidR="00ED66A2" w:rsidRDefault="00000000" w:rsidP="004E59A3">
            <w:pPr>
              <w:jc w:val="center"/>
            </w:pPr>
            <w:r>
              <w:rPr>
                <w:sz w:val="20"/>
              </w:rPr>
              <w:t>23.92%</w:t>
            </w:r>
          </w:p>
        </w:tc>
        <w:tc>
          <w:tcPr>
            <w:tcW w:w="1152" w:type="dxa"/>
            <w:vAlign w:val="center"/>
          </w:tcPr>
          <w:p w14:paraId="32C429D5" w14:textId="77777777" w:rsidR="00ED66A2" w:rsidRDefault="00000000" w:rsidP="004E59A3">
            <w:pPr>
              <w:jc w:val="center"/>
            </w:pPr>
            <w:r>
              <w:rPr>
                <w:sz w:val="20"/>
              </w:rPr>
              <w:t>1.963</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17.35%</w:t>
            </w:r>
          </w:p>
        </w:tc>
        <w:tc>
          <w:tcPr>
            <w:tcW w:w="1440" w:type="dxa"/>
            <w:vAlign w:val="center"/>
          </w:tcPr>
          <w:p w14:paraId="110A1B72" w14:textId="77777777" w:rsidR="00ED66A2" w:rsidRDefault="00000000" w:rsidP="004E59A3">
            <w:pPr>
              <w:jc w:val="center"/>
            </w:pPr>
            <w:r>
              <w:rPr>
                <w:sz w:val="20"/>
              </w:rPr>
              <w:t>15.96%</w:t>
            </w:r>
          </w:p>
        </w:tc>
        <w:tc>
          <w:tcPr>
            <w:tcW w:w="1152" w:type="dxa"/>
            <w:vAlign w:val="center"/>
          </w:tcPr>
          <w:p w14:paraId="4BCBA53A" w14:textId="77777777" w:rsidR="00ED66A2" w:rsidRDefault="00000000" w:rsidP="004E59A3">
            <w:pPr>
              <w:jc w:val="center"/>
            </w:pPr>
            <w:r>
              <w:rPr>
                <w:sz w:val="20"/>
              </w:rPr>
              <w:t>2.216</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17.21%</w:t>
            </w:r>
          </w:p>
        </w:tc>
        <w:tc>
          <w:tcPr>
            <w:tcW w:w="1440" w:type="dxa"/>
            <w:vAlign w:val="center"/>
          </w:tcPr>
          <w:p w14:paraId="0475886F" w14:textId="77777777" w:rsidR="00ED66A2" w:rsidRDefault="00000000" w:rsidP="004E59A3">
            <w:pPr>
              <w:jc w:val="center"/>
            </w:pPr>
            <w:r>
              <w:rPr>
                <w:sz w:val="20"/>
              </w:rPr>
              <w:t>15.83%</w:t>
            </w:r>
          </w:p>
        </w:tc>
        <w:tc>
          <w:tcPr>
            <w:tcW w:w="1152" w:type="dxa"/>
            <w:vAlign w:val="center"/>
          </w:tcPr>
          <w:p w14:paraId="2BFFB902" w14:textId="77777777" w:rsidR="00ED66A2" w:rsidRDefault="00000000" w:rsidP="004E59A3">
            <w:pPr>
              <w:jc w:val="center"/>
            </w:pPr>
            <w:r>
              <w:rPr>
                <w:sz w:val="20"/>
              </w:rPr>
              <w:t>2.200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16.88%</w:t>
            </w:r>
          </w:p>
        </w:tc>
        <w:tc>
          <w:tcPr>
            <w:tcW w:w="1440" w:type="dxa"/>
            <w:vAlign w:val="center"/>
          </w:tcPr>
          <w:p w14:paraId="5D467DC7" w14:textId="77777777" w:rsidR="00ED66A2" w:rsidRDefault="00000000" w:rsidP="004E59A3">
            <w:pPr>
              <w:jc w:val="center"/>
            </w:pPr>
            <w:r>
              <w:rPr>
                <w:sz w:val="20"/>
              </w:rPr>
              <w:t>15.54%</w:t>
            </w:r>
          </w:p>
        </w:tc>
        <w:tc>
          <w:tcPr>
            <w:tcW w:w="1152" w:type="dxa"/>
            <w:vAlign w:val="center"/>
          </w:tcPr>
          <w:p w14:paraId="74541761" w14:textId="77777777" w:rsidR="00ED66A2" w:rsidRDefault="00000000" w:rsidP="004E59A3">
            <w:pPr>
              <w:jc w:val="center"/>
            </w:pPr>
            <w:r>
              <w:rPr>
                <w:sz w:val="20"/>
              </w:rPr>
              <w:t>2.163</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16.42%</w:t>
            </w:r>
          </w:p>
        </w:tc>
        <w:tc>
          <w:tcPr>
            <w:tcW w:w="1440" w:type="dxa"/>
            <w:vAlign w:val="center"/>
          </w:tcPr>
          <w:p w14:paraId="49D054AD" w14:textId="77777777" w:rsidR="00ED66A2" w:rsidRDefault="00000000" w:rsidP="004E59A3">
            <w:pPr>
              <w:jc w:val="center"/>
            </w:pPr>
            <w:r>
              <w:rPr>
                <w:sz w:val="20"/>
              </w:rPr>
              <w:t>15.12%</w:t>
            </w:r>
          </w:p>
        </w:tc>
        <w:tc>
          <w:tcPr>
            <w:tcW w:w="1152" w:type="dxa"/>
            <w:vAlign w:val="center"/>
          </w:tcPr>
          <w:p w14:paraId="584D3D33" w14:textId="77777777" w:rsidR="00ED66A2" w:rsidRDefault="00000000" w:rsidP="004E59A3">
            <w:pPr>
              <w:jc w:val="center"/>
            </w:pPr>
            <w:r>
              <w:rPr>
                <w:sz w:val="20"/>
              </w:rPr>
              <w:t>2.108</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15.95%</w:t>
            </w:r>
          </w:p>
        </w:tc>
        <w:tc>
          <w:tcPr>
            <w:tcW w:w="1440" w:type="dxa"/>
            <w:vAlign w:val="center"/>
          </w:tcPr>
          <w:p w14:paraId="6B7C4EDB" w14:textId="77777777" w:rsidR="00ED66A2" w:rsidRDefault="00000000" w:rsidP="004E59A3">
            <w:pPr>
              <w:jc w:val="center"/>
            </w:pPr>
            <w:r>
              <w:rPr>
                <w:sz w:val="20"/>
              </w:rPr>
              <w:t>14.71%</w:t>
            </w:r>
          </w:p>
        </w:tc>
        <w:tc>
          <w:tcPr>
            <w:tcW w:w="1152" w:type="dxa"/>
            <w:vAlign w:val="center"/>
          </w:tcPr>
          <w:p w14:paraId="1AEA1781" w14:textId="77777777" w:rsidR="00ED66A2" w:rsidRDefault="00000000" w:rsidP="004E59A3">
            <w:pPr>
              <w:jc w:val="center"/>
            </w:pPr>
            <w:r>
              <w:rPr>
                <w:sz w:val="20"/>
              </w:rPr>
              <w:t>2.052</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15.03%</w:t>
            </w:r>
          </w:p>
        </w:tc>
        <w:tc>
          <w:tcPr>
            <w:tcW w:w="1440" w:type="dxa"/>
            <w:vAlign w:val="center"/>
          </w:tcPr>
          <w:p w14:paraId="7572F092" w14:textId="77777777" w:rsidR="00ED66A2" w:rsidRDefault="00000000" w:rsidP="004E59A3">
            <w:pPr>
              <w:jc w:val="center"/>
            </w:pPr>
            <w:r>
              <w:rPr>
                <w:sz w:val="20"/>
              </w:rPr>
              <w:t>13.88%</w:t>
            </w:r>
          </w:p>
        </w:tc>
        <w:tc>
          <w:tcPr>
            <w:tcW w:w="1152" w:type="dxa"/>
            <w:vAlign w:val="center"/>
          </w:tcPr>
          <w:p w14:paraId="5583FE95" w14:textId="77777777" w:rsidR="00ED66A2" w:rsidRDefault="00000000" w:rsidP="004E59A3">
            <w:pPr>
              <w:jc w:val="center"/>
            </w:pPr>
            <w:r>
              <w:rPr>
                <w:sz w:val="20"/>
              </w:rPr>
              <w:t>1.936</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15.08)</w:t>
            </w:r>
          </w:p>
        </w:tc>
        <w:tc>
          <w:tcPr>
            <w:tcW w:w="874" w:type="dxa"/>
            <w:vAlign w:val="center"/>
          </w:tcPr>
          <w:p w14:paraId="2EEDC01F" w14:textId="77777777" w:rsidR="00ED66A2" w:rsidRDefault="00000000" w:rsidP="00127063">
            <w:pPr>
              <w:jc w:val="center"/>
            </w:pPr>
            <w:r>
              <w:rPr>
                <w:sz w:val="20"/>
              </w:rPr>
              <w:t>58</w:t>
            </w:r>
          </w:p>
        </w:tc>
        <w:tc>
          <w:tcPr>
            <w:tcW w:w="1457" w:type="dxa"/>
            <w:vAlign w:val="center"/>
          </w:tcPr>
          <w:p w14:paraId="71F03F66" w14:textId="77777777" w:rsidR="00ED66A2" w:rsidRDefault="00000000" w:rsidP="00127063">
            <w:pPr>
              <w:jc w:val="center"/>
            </w:pPr>
            <w:r>
              <w:rPr>
                <w:sz w:val="20"/>
              </w:rPr>
              <w:t>84.5%</w:t>
            </w:r>
          </w:p>
        </w:tc>
        <w:tc>
          <w:tcPr>
            <w:tcW w:w="1457" w:type="dxa"/>
            <w:vAlign w:val="center"/>
          </w:tcPr>
          <w:p w14:paraId="28BD199A" w14:textId="77777777" w:rsidR="00ED66A2" w:rsidRDefault="00000000" w:rsidP="00127063">
            <w:pPr>
              <w:jc w:val="center"/>
            </w:pPr>
            <w:r>
              <w:rPr>
                <w:sz w:val="20"/>
              </w:rPr>
              <w:t>≈ 3×10⁻⁵</w:t>
            </w:r>
          </w:p>
        </w:tc>
        <w:tc>
          <w:tcPr>
            <w:tcW w:w="1020" w:type="dxa"/>
            <w:vAlign w:val="center"/>
          </w:tcPr>
          <w:p w14:paraId="798BF1FF" w14:textId="77777777" w:rsidR="00ED66A2" w:rsidRDefault="00000000" w:rsidP="00127063">
            <w:pPr>
              <w:jc w:val="center"/>
            </w:pPr>
            <w:r>
              <w:rPr>
                <w:sz w:val="20"/>
              </w:rPr>
              <w:t>0.248</w:t>
            </w:r>
          </w:p>
        </w:tc>
        <w:tc>
          <w:tcPr>
            <w:tcW w:w="1457" w:type="dxa"/>
            <w:vAlign w:val="center"/>
          </w:tcPr>
          <w:p w14:paraId="08CFC7AA" w14:textId="77777777" w:rsidR="00ED66A2" w:rsidRDefault="00000000" w:rsidP="00127063">
            <w:pPr>
              <w:jc w:val="center"/>
            </w:pPr>
            <w:r>
              <w:rPr>
                <w:sz w:val="20"/>
              </w:rPr>
              <w:t>Yes</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219</w:t>
            </w:r>
          </w:p>
        </w:tc>
        <w:tc>
          <w:tcPr>
            <w:tcW w:w="1457" w:type="dxa"/>
            <w:vAlign w:val="center"/>
          </w:tcPr>
          <w:p w14:paraId="50C23A86" w14:textId="77777777" w:rsidR="00ED66A2" w:rsidRDefault="00000000" w:rsidP="00127063">
            <w:pPr>
              <w:jc w:val="center"/>
            </w:pPr>
            <w:r>
              <w:rPr>
                <w:sz w:val="20"/>
              </w:rPr>
              <w:t>54.8%</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627A1D43" w14:textId="6869A132"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01C175CD" w14:textId="654C9E34"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p75-p80</w:t>
            </w:r>
          </w:p>
        </w:tc>
        <w:tc>
          <w:tcPr>
            <w:tcW w:w="1213" w:type="dxa"/>
            <w:vAlign w:val="center"/>
          </w:tcPr>
          <w:p w14:paraId="4F787A06" w14:textId="77777777" w:rsidR="00ED66A2" w:rsidRDefault="00000000" w:rsidP="00261841">
            <w:pPr>
              <w:jc w:val="center"/>
            </w:pPr>
            <w:r>
              <w:rPr>
                <w:sz w:val="20"/>
              </w:rPr>
              <w:t>58-44</w:t>
            </w:r>
          </w:p>
        </w:tc>
        <w:tc>
          <w:tcPr>
            <w:tcW w:w="1624" w:type="dxa"/>
            <w:vAlign w:val="center"/>
          </w:tcPr>
          <w:p w14:paraId="5BEE1983" w14:textId="77777777" w:rsidR="00ED66A2" w:rsidRDefault="00000000" w:rsidP="00261841">
            <w:pPr>
              <w:jc w:val="center"/>
            </w:pPr>
            <w:r>
              <w:rPr>
                <w:sz w:val="20"/>
              </w:rPr>
              <w:t>83.9%-84.5%</w:t>
            </w:r>
          </w:p>
        </w:tc>
        <w:tc>
          <w:tcPr>
            <w:tcW w:w="1501" w:type="dxa"/>
            <w:vAlign w:val="center"/>
          </w:tcPr>
          <w:p w14:paraId="58558E8E" w14:textId="77777777" w:rsidR="00ED66A2" w:rsidRDefault="00000000" w:rsidP="00261841">
            <w:pPr>
              <w:jc w:val="center"/>
            </w:pPr>
            <w:r>
              <w:rPr>
                <w:sz w:val="20"/>
              </w:rPr>
              <w:t>54%-55%</w:t>
            </w:r>
          </w:p>
        </w:tc>
        <w:tc>
          <w:tcPr>
            <w:tcW w:w="2922" w:type="dxa"/>
            <w:vAlign w:val="center"/>
          </w:tcPr>
          <w:p w14:paraId="654AC0DD" w14:textId="77777777" w:rsidR="00ED66A2" w:rsidRDefault="00000000" w:rsidP="00261841">
            <w:pPr>
              <w:jc w:val="left"/>
            </w:pPr>
            <w:r>
              <w:rPr>
                <w:sz w:val="20"/>
              </w:rPr>
              <w:t>Main result remains strong</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This paper shows that medium-term Bank Nifty directional behavior is state-sensitive under India VIX conditioning, but the corrected evidence is more nuanced than our earlier draft. After removing leakage pathways and enforcing deployable threshold calibration, the High-VIX subset becomes small and class-concentrated. Conditional separation remains observable, yet unconditional and baseline-adjusted performance limits the strength of practical predictability claims.</w:t>
      </w:r>
    </w:p>
    <w:p w14:paraId="167AD587"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1AF0E98E" w:rsidR="00ED66A2" w:rsidRDefault="00000000" w:rsidP="0077482E">
      <w:pPr>
        <w:spacing w:after="80" w:line="240" w:lineRule="auto"/>
      </w:pPr>
      <w:r>
        <w:t>Bank Nifty OHLCV and India VIX daily data are publicly available from the National Stock Exchange of India.</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(1970). Efficient Capital Markets: A Review Of Theory And Empirical Work.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25</w:t>
      </w:r>
      <w:r w:rsidRPr="00A36C97">
        <w:rPr>
          <w:rFonts w:cs="Times New Roman"/>
          <w:noProof/>
          <w:szCs w:val="28"/>
        </w:rPr>
        <w:t>(2), 383–417. https://doi.org/https://doi.org/10.2307/2325486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w:t>
      </w:r>
      <w:r w:rsidRPr="00A36C97">
        <w:rPr>
          <w:rFonts w:cs="Times New Roman"/>
          <w:noProof/>
          <w:szCs w:val="28"/>
        </w:rPr>
        <w:lastRenderedPageBreak/>
        <w:t xml:space="preserve">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Giot, P. (2005). Relationships Between Implied Volatility Indexes and Stock Index Returns. </w:t>
      </w:r>
      <w:r w:rsidRPr="00A36C97">
        <w:rPr>
          <w:rFonts w:cs="Times New Roman"/>
          <w:i/>
          <w:iCs/>
          <w:noProof/>
          <w:szCs w:val="28"/>
        </w:rPr>
        <w:t>The Journal of Portfolio Management</w:t>
      </w:r>
      <w:r w:rsidRPr="00A36C97">
        <w:rPr>
          <w:rFonts w:cs="Times New Roman"/>
          <w:noProof/>
          <w:szCs w:val="28"/>
        </w:rPr>
        <w:t xml:space="preserve">, </w:t>
      </w:r>
      <w:r w:rsidRPr="00A36C97">
        <w:rPr>
          <w:rFonts w:cs="Times New Roman"/>
          <w:i/>
          <w:iCs/>
          <w:noProof/>
          <w:szCs w:val="28"/>
        </w:rPr>
        <w:t>Spring 200</w:t>
      </w:r>
      <w:r w:rsidRPr="00A36C97">
        <w:rPr>
          <w:rFonts w:cs="Times New Roman"/>
          <w:noProof/>
          <w:szCs w:val="28"/>
        </w:rPr>
        <w:t>, 92–100. https://doi.org/https://doi.org/10.3905/jpm.2005.500363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Hamilton, J. D. (1989). A New Approach to the Economic Analysis of Nonstationary Time Series and the Business Cycle. </w:t>
      </w:r>
      <w:r w:rsidRPr="00A36C97">
        <w:rPr>
          <w:rFonts w:cs="Times New Roman"/>
          <w:i/>
          <w:iCs/>
          <w:noProof/>
          <w:szCs w:val="28"/>
        </w:rPr>
        <w:t>Econometrica</w:t>
      </w:r>
      <w:r w:rsidRPr="00A36C97">
        <w:rPr>
          <w:rFonts w:cs="Times New Roman"/>
          <w:noProof/>
          <w:szCs w:val="28"/>
        </w:rPr>
        <w:t xml:space="preserve">, </w:t>
      </w:r>
      <w:r w:rsidRPr="00A36C97">
        <w:rPr>
          <w:rFonts w:cs="Times New Roman"/>
          <w:i/>
          <w:iCs/>
          <w:noProof/>
          <w:szCs w:val="28"/>
        </w:rPr>
        <w:t>57</w:t>
      </w:r>
      <w:r w:rsidRPr="00A36C97">
        <w:rPr>
          <w:rFonts w:cs="Times New Roman"/>
          <w:noProof/>
          <w:szCs w:val="28"/>
        </w:rPr>
        <w:t>(2), 357–384. https://doi.org/https://doi.org/10.3905/jpm.2005.500363</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Lundberg, S. M., &amp; Lee, S. . (2017). A unified approach to interpreting model predictions. </w:t>
      </w:r>
      <w:r w:rsidRPr="00A36C97">
        <w:rPr>
          <w:rFonts w:cs="Times New Roman"/>
          <w:i/>
          <w:iCs/>
          <w:noProof/>
          <w:szCs w:val="28"/>
        </w:rPr>
        <w:t>NIPS-2017 Advances in Neural Information Processing Systems</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(2), 4765–4774. https://doi.org/10.1016/j.inffus.2019.12.012%0Ahttps://doi.org/10.1016/j.ophtha.2018.11.016</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Prokhorenkova, L., Gusev, G., Vorobev, A., Dorogush, A. V., &amp; Gulin, A. (2018). Catboost: Unbiased boosting with categorical features. </w:t>
      </w:r>
      <w:r w:rsidRPr="00A36C97">
        <w:rPr>
          <w:rFonts w:cs="Times New Roman"/>
          <w:i/>
          <w:iCs/>
          <w:noProof/>
          <w:szCs w:val="28"/>
        </w:rPr>
        <w:t>Advances in Neural Information Processing Systems</w:t>
      </w:r>
      <w:r w:rsidRPr="00A36C97">
        <w:rPr>
          <w:rFonts w:cs="Times New Roman"/>
          <w:noProof/>
          <w:szCs w:val="28"/>
        </w:rPr>
        <w:t xml:space="preserve">, </w:t>
      </w:r>
      <w:r w:rsidRPr="00A36C97">
        <w:rPr>
          <w:rFonts w:cs="Times New Roman"/>
          <w:i/>
          <w:iCs/>
          <w:noProof/>
          <w:szCs w:val="28"/>
        </w:rPr>
        <w:t>2018</w:t>
      </w:r>
      <w:r w:rsidRPr="00A36C97">
        <w:rPr>
          <w:rFonts w:cs="Times New Roman"/>
          <w:noProof/>
          <w:szCs w:val="28"/>
        </w:rPr>
        <w:t>-</w:t>
      </w:r>
      <w:r w:rsidRPr="00A36C97">
        <w:rPr>
          <w:rFonts w:cs="Times New Roman"/>
          <w:i/>
          <w:iCs/>
          <w:noProof/>
          <w:szCs w:val="28"/>
        </w:rPr>
        <w:t>Decem</w:t>
      </w:r>
      <w:r w:rsidRPr="00A36C97">
        <w:rPr>
          <w:rFonts w:cs="Times New Roman"/>
          <w:noProof/>
          <w:szCs w:val="28"/>
        </w:rPr>
        <w:t>(Section 4), 6638–6648. https://doi.org/https://doi.org/10.48550/arXiv.1706.09516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xml:space="preserve">. </w:t>
      </w:r>
      <w:r w:rsidRPr="00A36C97">
        <w:rPr>
          <w:rFonts w:cs="Times New Roman"/>
          <w:noProof/>
          <w:szCs w:val="28"/>
        </w:rPr>
        <w:lastRenderedPageBreak/>
        <w:t>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Sharpe, W. F. (1994). The Sharpe ratio. Journal of Portfolio Management, 49–58. 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Spyros Makridakis, Evangelos Spiliotis, &amp; Vassilios Assimakopoulos. (2018). Statistical and Machine Learning forecasting methods: Concerns and ways forward. </w:t>
      </w:r>
      <w:r w:rsidRPr="00A36C97">
        <w:rPr>
          <w:rFonts w:cs="Times New Roman"/>
          <w:i/>
          <w:iCs/>
          <w:noProof/>
          <w:szCs w:val="28"/>
        </w:rPr>
        <w:t>PLoS ONE</w:t>
      </w:r>
      <w:r w:rsidRPr="00A36C97">
        <w:rPr>
          <w:rFonts w:cs="Times New Roman"/>
          <w:noProof/>
          <w:szCs w:val="28"/>
        </w:rPr>
        <w:t xml:space="preserve">, </w:t>
      </w:r>
      <w:r w:rsidRPr="00A36C97">
        <w:rPr>
          <w:rFonts w:cs="Times New Roman"/>
          <w:i/>
          <w:iCs/>
          <w:noProof/>
          <w:szCs w:val="28"/>
        </w:rPr>
        <w:t>13</w:t>
      </w:r>
      <w:r w:rsidRPr="00A36C97">
        <w:rPr>
          <w:rFonts w:cs="Times New Roman"/>
          <w:noProof/>
          <w:szCs w:val="28"/>
        </w:rPr>
        <w:t>(3), 1–26. https://doi.org/https://doi.org/ 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Whaley, R. E. (2000). The investor fear gauge. </w:t>
      </w:r>
      <w:r w:rsidRPr="00A36C97">
        <w:rPr>
          <w:rFonts w:cs="Times New Roman"/>
          <w:i/>
          <w:iCs/>
          <w:noProof/>
          <w:szCs w:val="28"/>
        </w:rPr>
        <w:t>Journal of Portfolio Management</w:t>
      </w:r>
      <w:r w:rsidRPr="00A36C97">
        <w:rPr>
          <w:rFonts w:cs="Times New Roman"/>
          <w:noProof/>
          <w:szCs w:val="28"/>
        </w:rPr>
        <w:t>, 12–17. https://doi.org/https://doi.org/10.3905/jpm.2000.319728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C5B9" w14:textId="77777777" w:rsidR="000510BC" w:rsidRDefault="000510BC" w:rsidP="00A36C97">
      <w:pPr>
        <w:spacing w:after="0" w:line="240" w:lineRule="auto"/>
      </w:pPr>
      <w:r>
        <w:separator/>
      </w:r>
    </w:p>
  </w:endnote>
  <w:endnote w:type="continuationSeparator" w:id="0">
    <w:p w14:paraId="7F795290" w14:textId="77777777" w:rsidR="000510BC" w:rsidRDefault="000510BC"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55B" w14:textId="77777777" w:rsidR="000510BC" w:rsidRDefault="000510BC" w:rsidP="00A36C97">
      <w:pPr>
        <w:spacing w:after="0" w:line="240" w:lineRule="auto"/>
      </w:pPr>
      <w:r>
        <w:separator/>
      </w:r>
    </w:p>
  </w:footnote>
  <w:footnote w:type="continuationSeparator" w:id="0">
    <w:p w14:paraId="29DCD3B0" w14:textId="77777777" w:rsidR="000510BC" w:rsidRDefault="000510BC"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28</Pages>
  <Words>19588</Words>
  <Characters>111657</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Prakash Ukhalkar</cp:lastModifiedBy>
  <cp:revision>92</cp:revision>
  <dcterms:created xsi:type="dcterms:W3CDTF">2013-12-23T23:15:00Z</dcterms:created>
  <dcterms:modified xsi:type="dcterms:W3CDTF">2026-05-19T17:46:00Z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