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42FC" w14:textId="77777777" w:rsidR="00ED66A2" w:rsidRDefault="00000000">
      <w:pPr>
        <w:spacing w:before="160" w:after="160"/>
        <w:jc w:val="center"/>
      </w:pPr>
      <w:r>
        <w:rPr>
          <w:b/>
          <w:sz w:val="32"/>
        </w:rPr>
        <w:t>India VIX Regime-Conditional Directional Prediction of Bank Nifty: A Stacking Ensemble Approach</w:t>
      </w:r>
    </w:p>
    <w:p w14:paraId="57C9687B" w14:textId="0290DE7B" w:rsidR="00ED66A2" w:rsidRDefault="00000000">
      <w:pPr>
        <w:pStyle w:val="Heading1"/>
      </w:pPr>
      <w:r>
        <w:rPr>
          <w:rFonts w:ascii="Times New Roman" w:hAnsi="Times New Roman"/>
        </w:rPr>
        <w:t>Abstract</w:t>
      </w:r>
    </w:p>
    <w:p w14:paraId="64BA1398" w14:textId="2C01C001" w:rsidR="00ED66A2" w:rsidRDefault="00000000">
      <w:pPr>
        <w:spacing w:after="80" w:line="360" w:lineRule="auto"/>
      </w:pPr>
      <w:r>
        <w:t>Equity forecasting models commonly report marginal aggregate accuracy improvements without clarifying whether predictive signal concentrates in specific market states or how output should gate real deployment. This paper develops a regime-aware decision framework for 21-day directional prediction of Bank Nifty using a stacking ensemble (XGBoost, LightGBM, Random Forest, CatBoost, and BiLSTM) on sixteen leakage-safe indicators. After correcting split leakage, removing threshold look-ahead bias, and using dependence-aware inference, the deployable fixed regime threshold is calibrated from pre-test data (train+validation p75 = 18.71), yielding a sparse High-VIX subset. On the aligned evaluation sample, regime-conditioned accuracy is 100.0% (High-VIX, N=8) versus 66.5% (Low-VIX, N=248), but the High-VIX local majority baseline is also 100.0%. Dependence-aware tests are conservative (non-overlapping Fisher and block-permutation not significant after correction). In corrected trading simulation (signal at close t, entry at open t+1, exit at close t+21, non-overlap), selective deployment lowers maximum drawdown (-3.69% vs -6.62%) but does not exceed buy-and-hold Sharpe (0.455 vs 1.204 at 0 bps; 0.375 vs 1.204 at 50 bps). We therefore position the contribution as a rigorous regime-aware reliability assessment framework with explicit deployment constraints, rather than a universally superior trading rule.</w:t>
      </w:r>
    </w:p>
    <w:p w14:paraId="518E910C" w14:textId="54950D5F" w:rsidR="00ED66A2" w:rsidRDefault="00000000">
      <w:pPr>
        <w:spacing w:before="120" w:after="80"/>
      </w:pPr>
      <w:r>
        <w:rPr>
          <w:b/>
        </w:rPr>
        <w:t xml:space="preserve">Keywords: </w:t>
      </w:r>
      <w:r>
        <w:t xml:space="preserve">Bank Nifty; India VIX; stacking ensemble; volatility regime; </w:t>
      </w:r>
      <w:proofErr w:type="spellStart"/>
      <w:r>
        <w:t>BiLSTM</w:t>
      </w:r>
      <w:proofErr w:type="spellEnd"/>
      <w:r>
        <w:t>; expert systems</w:t>
      </w:r>
      <w:r w:rsidR="00B01C2F">
        <w:t>;</w:t>
      </w:r>
    </w:p>
    <w:p w14:paraId="655F699A" w14:textId="77777777" w:rsidR="00ED66A2" w:rsidRDefault="00000000">
      <w:pPr>
        <w:pStyle w:val="Heading1"/>
      </w:pPr>
      <w:r>
        <w:rPr>
          <w:rFonts w:ascii="Times New Roman" w:hAnsi="Times New Roman"/>
        </w:rPr>
        <w:t>1. Introduction</w:t>
      </w:r>
    </w:p>
    <w:p w14:paraId="18631689" w14:textId="7C6ED0E4" w:rsidR="00ED66A2" w:rsidRDefault="00000000">
      <w:pPr>
        <w:spacing w:after="80" w:line="360" w:lineRule="auto"/>
        <w:ind w:firstLine="360"/>
      </w:pPr>
      <w:r>
        <w:t xml:space="preserve">The longstanding benchmark in financial economics is that publicly traded securities should be difficult to forecast in a systematic way because prices rapidly incorporate available information </w:t>
      </w:r>
      <w:r w:rsidR="003F6231">
        <w:fldChar w:fldCharType="begin" w:fldLock="1"/>
      </w:r>
      <w:r w:rsidR="00F556B9">
        <w:instrText>ADDIN CSL_CITATION {"citationItems":[{"id":"ITEM-1","itemData":{"DOI":"https://doi.org/10.2307/2325486","ISSN":"1769-6917","PMID":"24977454","abstract":"Tyrosine kinase inhibitors (TKI) that block epidermal growth factor receptor (EGFR) pathway have demonstrated a clinical benefit for patients with non-small-cell lung cancer (NSCLC) harboring EGFR mutations. The currently available TKI (gefitinib and erlotinib) are EGFR reversible inhibitors. Afatinib is an oral, irreversible ErbB family blocker that covalently binds and blocks signaling from EGFR (ErbB1), HER2 (ErbB2) and ErbB4. The compound inhibits also the transphosphorylation of ErbB3. With this mode of action, afatinib is thought to have a mechanistic advantage over EGFR blockade alone, in that it provides a sustained, covalent inhibition of ErbB homo- and hetero-dimers. In the pivotal LUX-Lung 3 study, afatinib demonstrated a prolonged progression free survival over standard pemetrexed plus cisplatin chemotherapy (11.1 versus 6.9 months; HR = 0.58, 95% CI: 0.43-0.78; P = 0.001) in EGFR mutation positive NSCLC patients. The compound has recently been granted a marketing authorization (MA) for the treatment of patients with locally advanced or metastatic NSCLC with activating EGFR mutation(s) and EGFR TKI-naive. In this paper are summarized the efficacy and safety data in this indication.","author":[{"dropping-particle":"","family":"Fama","given":"Eugene F.","non-dropping-particle":"","parse-names":false,"suffix":""}],"container-title":"The Journal of Finance","id":"ITEM-1","issue":"2","issued":{"date-parts":[["1970"]]},"page":"383-417","title":"Efficient Capital Markets: A Review Of Theory And Empirical Work","type":"article-journal","volume":"25"},"uris":["http://www.mendeley.com/documents/?uuid=59a45523-7225-4fd8-a895-a2f4be183b9a"]},{"id":"ITEM-2","itemData":{"DOI":"10.2307/2328565","ISSN":"00221082","abstract":"The primary role of the capital market is allocation of ownership of the economy's capital stock. In general terms, the ideal is a market in which prices provide accurate signals for resource allocation: that is, a market in which firms can make production-investment decisions, and investors can choose among the securities that represent ownership of firms' activities under the assumption that security prices at any time \"fully reflect\" all available information. A market in which prices always \"fully reflect\" available information is called \"efficient.\" This paper reviews the theoretical and empirical literature on the efficient markets model. After a discussion of the theory, empirical work concerned with the adjustment of security prices to three relevant information subsets is considered. First, weak form tests, in which the information set is just historical prices, are discussed. Then semi-strong form tests, in which the concern is whether prices efficiently adjust to other information that is obviously publicly available (e.g., announcements of annual earnings, stock splits, etc.) are considered. Finally, strong form tests concerned with whether given investors or groups have monopolistic access to any information relevant for price formation are reviewed. We shall conclude that, with but a few exceptions, the efficient markets model stands up well. Though we proceed from theory to empirical work, to keep the proper historical perspective we should note to a large extent the empirical work in this area preceded the development of the theory. The theory is presented first here in order to more easily judge which of the empirical results are most relevant from the viewpoint of the theory. The empirical work itself, however, will then be reviewed in more or less historical sequence. [ABSTRACT FROM AUTHOR]","author":[{"dropping-particle":"","family":"Fama","given":"Eugene F.","non-dropping-particle":"","parse-names":false,"suffix":""}],"container-title":"The Journal of Finance","id":"ITEM-2","issue":"5","issued":{"date-parts":[["1991"]]},"page":"1575","title":"Efficient Capital Markets: II","type":"article-journal","volume":"46"},"uris":["http://www.mendeley.com/documents/?uuid=376551ef-2d75-4efb-98d6-ada65be8ed59"]}],"mendeley":{"formattedCitation":"(Fama, 1970, 1991)","plainTextFormattedCitation":"(Fama, 1970, 1991)","previouslyFormattedCitation":"(Fama, 1970, 1991)"},"properties":{"noteIndex":0},"schema":"https://github.com/citation-style-language/schema/raw/master/csl-citation.json"}</w:instrText>
      </w:r>
      <w:r w:rsidR="003F6231">
        <w:fldChar w:fldCharType="separate"/>
      </w:r>
      <w:r w:rsidR="003F6231" w:rsidRPr="003F6231">
        <w:rPr>
          <w:noProof/>
        </w:rPr>
        <w:t>(Fama, 1970, 1991)</w:t>
      </w:r>
      <w:r w:rsidR="003F6231">
        <w:fldChar w:fldCharType="end"/>
      </w:r>
      <w:r>
        <w:t xml:space="preserve">. Yet that benchmark never implies a perfectly featureless </w:t>
      </w:r>
      <w:r>
        <w:lastRenderedPageBreak/>
        <w:t xml:space="preserve">market. In practice, investors operate under heterogeneous beliefs, delayed processing, leverage constraints, transaction costs, institutional frictions, and episodic uncertainty shocks. Those frictions create windows in which price discovery is noisy but not fully random, especially when markets transition from calm states into stress states. This perspective aligns with the adaptive markets hypothesis </w:t>
      </w:r>
      <w:r w:rsidR="00F556B9">
        <w:fldChar w:fldCharType="begin" w:fldLock="1"/>
      </w:r>
      <w:r w:rsidR="00040632">
        <w:instrText>ADDIN CSL_CITATION {"citationItems":[{"id":"ITEM-1","itemData":{"DOI":"10.3905/jpm.2004.442611","ISSN":"00954918","abstract":"One of the most influential ideas in the past 30 years is the efficient markets hypothesis, the idea that market prices incorporate all information rationally and instantaneously. The emerging discipline of behavioral economics and finance has challenged the EMH, arguing that markets are not rational, but rather driven by fear and greed. Research in the cognitive neurosciences suggests these two perspectives are opposite sides of the same coin. An adaptive markets hypothesis that reconciles market efficiency with behavioral alternatives applies the principles of evolution-competition, adaptation, and natural selection-to financial interactions. Extending Simon's notion of \"satisficing\" with evolutionary dynamics, the author argues that much of what behaviorists cite as counter-examples to economic rationality-loss aversion, overconfidence, overreaction, mental accounting, and other behavioral biases-is in fact consistent with an evolutionary model of individual adaptation to a changing environment via simple heuristics. The adaptive markets hypothesis offers a number of surprisingly concrete implications for portfolio management.","author":[{"dropping-particle":"","family":"Lo","given":"Andrew W.","non-dropping-particle":"","parse-names":false,"suffix":""}],"container-title":"Journal of Portfolio Management","id":"ITEM-1","issue":"SUPPL.","issued":{"date-parts":[["2004"]]},"page":"15-29","title":"The adaptive markets hypothesis","type":"article-journal","volume":"30"},"uris":["http://www.mendeley.com/documents/?uuid=8d54fcd5-3ab8-4ac6-84db-f8daebf7a865"]}],"mendeley":{"formattedCitation":"(Lo, 2004)","plainTextFormattedCitation":"(Lo, 2004)","previouslyFormattedCitation":"(Lo, 2004)"},"properties":{"noteIndex":0},"schema":"https://github.com/citation-style-language/schema/raw/master/csl-citation.json"}</w:instrText>
      </w:r>
      <w:r w:rsidR="00F556B9">
        <w:fldChar w:fldCharType="separate"/>
      </w:r>
      <w:r w:rsidR="00F556B9" w:rsidRPr="00F556B9">
        <w:rPr>
          <w:noProof/>
        </w:rPr>
        <w:t>(Lo, 2004)</w:t>
      </w:r>
      <w:r w:rsidR="00F556B9">
        <w:fldChar w:fldCharType="end"/>
      </w:r>
      <w:r>
        <w:t>, which argues that predictive opportunities emerge and recede as participants adapt to changing environmental conditions rather than disappearing uniformly across all states. The modern forecasting problem is therefore better posed as a conditional question: under what market conditions does predictive skill become sufficiently strong, stable, and interpretable to support a deployable decision rule?</w:t>
      </w:r>
    </w:p>
    <w:p w14:paraId="2C64343A" w14:textId="77777777" w:rsidR="00ED66A2" w:rsidRDefault="00000000">
      <w:pPr>
        <w:spacing w:after="80" w:line="360" w:lineRule="auto"/>
        <w:ind w:firstLine="360"/>
      </w:pPr>
      <w:r>
        <w:t>This conditional framing matters acutely in machine learning for finance. A large share of the empirical literature still optimizes aggregate accuracy, AUC, or F1 over the full sample, then interprets small average gains as evidence of exploitable predictability. Such practice is weak for at least three reasons. First, a model can look acceptable in pooled classification metrics while being economically unusable once the result is translated into directional deployment decisions. Second, pooled averages obscure the possibility that signal quality is concentrated in specific market states rather than distributed uniformly across time. Third, a model that occasionally becomes highly reliable in stressful regimes can be more valuable to a trader or risk manager than a model that is mediocre but always active. An expert system perspective therefore requires not just a prediction engine, but a decision layer that determines when that engine should be trusted.</w:t>
      </w:r>
    </w:p>
    <w:p w14:paraId="1B34603A" w14:textId="47747FBC" w:rsidR="00ED66A2" w:rsidRDefault="00000000">
      <w:pPr>
        <w:spacing w:after="80" w:line="360" w:lineRule="auto"/>
        <w:ind w:firstLine="360"/>
      </w:pPr>
      <w:r>
        <w:t xml:space="preserve">Bank Nifty offers a compelling test bed for this question. It is India’s flagship banking-sector index, highly liquid, macro-sensitive, and closely tied to shifts in risk appetite, credit expectations, policy communication, and foreign capital flows. The index experienced distinct macro episodes over 2016-2026, including the COVID-19 crash, the post-pandemic recovery, tightening and normalization phases, and the post-election bull run. A forecasting system for Bank Nifty must therefore contend with changing volatility environments rather than a single stationary distribution. India VIX, calculated from option prices on the National Stock Exchange, is a natural candidate for summarizing that environment because it embeds forward-looking uncertainty rather than only backward-looking realized variation </w:t>
      </w:r>
      <w:r w:rsidR="00040632">
        <w:fldChar w:fldCharType="begin" w:fldLock="1"/>
      </w:r>
      <w:r w:rsidR="007535C2">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id":"ITEM-2","itemData":{"URL":"https://nsearchives.nseindia.com/web/sites/default/files/inline-files/white_paper_IndiaVIX.pdf","accessed":{"date-parts":[["2026","5","16"]]},"author":[{"dropping-particle":"","family":"NSE","given":"","non-dropping-particle":"","parse-names":false,"suffix":""}],"container-title":"NSE, India","id":"ITEM-2","issued":{"date-parts":[["2008"]]},"title":"India VIX: A Volatility Index Based on the Nifty 50 Index Option Prices. National Stock Exchange of India white paper","type":"webpage"},"uris":["http://www.mendeley.com/documents/?uuid=874d88be-ba19-3c18-9b74-da48a75797de"]}],"mendeley":{"formattedCitation":"(NSE, 2008; Whaley, 2000)","plainTextFormattedCitation":"(NSE, 2008; Whaley, 2000)","previouslyFormattedCitation":"(NSE, 2008; Whaley, 2000)"},"properties":{"noteIndex":0},"schema":"https://github.com/citation-style-language/schema/raw/master/csl-citation.json"}</w:instrText>
      </w:r>
      <w:r w:rsidR="00040632">
        <w:fldChar w:fldCharType="separate"/>
      </w:r>
      <w:r w:rsidR="00E55942" w:rsidRPr="00E55942">
        <w:rPr>
          <w:noProof/>
        </w:rPr>
        <w:t>(NSE, 2008; Whaley, 2000)</w:t>
      </w:r>
      <w:r w:rsidR="00040632">
        <w:fldChar w:fldCharType="end"/>
      </w:r>
      <w:r w:rsidR="00E55942">
        <w:t>.</w:t>
      </w:r>
    </w:p>
    <w:p w14:paraId="435C4BAA" w14:textId="77777777" w:rsidR="00ED66A2" w:rsidRDefault="00000000">
      <w:pPr>
        <w:spacing w:after="80" w:line="360" w:lineRule="auto"/>
        <w:ind w:firstLine="360"/>
      </w:pPr>
      <w:r>
        <w:t xml:space="preserve">The present study asks a narrow but decision-relevant question: does India VIX condition the directional predictability of Bank Nifty at short and medium horizons when the underlying </w:t>
      </w:r>
      <w:r>
        <w:lastRenderedPageBreak/>
        <w:t>predictive engine is a modern stacking ensemble? The answer is yes, but only at the 21-trading-day horizon. The ensemble does not dominate naive baselines unconditionally; in fact, the unconditioned 21-day test accuracy is below the majority-class rate in a strongly bullish test sample. Once the held-out test period is partitioned by contemporaneous India VIX, however, the signal concentrates sharply in the upper-volatility regime. This is exactly the kind of pattern that a decision-support system should surface to the end user: not permanent confidence, but state-dependent confidence.</w:t>
      </w:r>
    </w:p>
    <w:p w14:paraId="46CF943F" w14:textId="0AFA4D2C" w:rsidR="00ED66A2" w:rsidRDefault="00000000">
      <w:pPr>
        <w:spacing w:after="80" w:line="360" w:lineRule="auto"/>
        <w:ind w:firstLine="360"/>
      </w:pPr>
      <w:r>
        <w:t>This paper makes four contributions. First, it provides the first evidence in this project context that Bank Nifty directional forecasting accuracy is materially regime-dependent when regimes are defined by India VIX and evaluated on a fully held-out period. Second, it shows that the effect is horizon-specific: no comparable advantage appears at 1-day or 5-day horizons, which argues against a generic high-volatility uplift story. Third, it converts the statistical result into a deployment rule and shows that selective participation improves risk-adjusted performance relative to buy-and-hold while using market exposure on only 48 out of 277 test days. Fourth, it frames the ensemble plus regime filter as an expert decision system rather than as a raw black-box classifier</w:t>
      </w:r>
      <w:r w:rsidR="00FC18EA">
        <w:t>.</w:t>
      </w:r>
    </w:p>
    <w:p w14:paraId="24770669" w14:textId="77777777" w:rsidR="00ED66A2" w:rsidRDefault="00000000">
      <w:pPr>
        <w:spacing w:after="80" w:line="360" w:lineRule="auto"/>
        <w:ind w:firstLine="360"/>
      </w:pPr>
      <w:r>
        <w:t xml:space="preserve">The rest of the paper proceeds as follows. Section 2 positions the study against the literature on regime-dependent predictability, machine learning for market direction, and expert-system decision support in finance. Section 3 presents the data, features, model stack, and regime definition. Section 4 details the evaluation design, statistical tests, and trading protocol. Section 5 reports the empirical results. Section 6 examines robustness and </w:t>
      </w:r>
      <w:proofErr w:type="spellStart"/>
      <w:r>
        <w:t>generalisation</w:t>
      </w:r>
      <w:proofErr w:type="spellEnd"/>
      <w:r>
        <w:t>. Section 7 discusses mechanisms, deployment implications, and limitations. Section 8 concludes.</w:t>
      </w:r>
    </w:p>
    <w:p w14:paraId="053DB59A" w14:textId="77777777" w:rsidR="00ED66A2" w:rsidRDefault="00000000">
      <w:pPr>
        <w:pStyle w:val="Heading1"/>
      </w:pPr>
      <w:r>
        <w:rPr>
          <w:rFonts w:ascii="Times New Roman" w:hAnsi="Times New Roman"/>
        </w:rPr>
        <w:t>2. Related Work and Research Positioning</w:t>
      </w:r>
    </w:p>
    <w:p w14:paraId="2B6C850D" w14:textId="77777777" w:rsidR="00ED66A2" w:rsidRDefault="00000000">
      <w:pPr>
        <w:pStyle w:val="Heading2"/>
      </w:pPr>
      <w:r>
        <w:rPr>
          <w:rFonts w:ascii="Times New Roman" w:hAnsi="Times New Roman"/>
        </w:rPr>
        <w:t>2.1. Regime-dependent predictability and implied volatility</w:t>
      </w:r>
    </w:p>
    <w:p w14:paraId="7D390EB9" w14:textId="2FF2C3C7" w:rsidR="00ED66A2" w:rsidRDefault="00000000">
      <w:pPr>
        <w:spacing w:after="80" w:line="360" w:lineRule="auto"/>
        <w:ind w:firstLine="360"/>
      </w:pPr>
      <w:r>
        <w:t xml:space="preserve">A substantial strand of finance research argues that predictability is regime-dependent rather than constant. Regime-switching models </w:t>
      </w:r>
      <w:proofErr w:type="spellStart"/>
      <w:r>
        <w:t>formalised</w:t>
      </w:r>
      <w:proofErr w:type="spellEnd"/>
      <w:r>
        <w:t xml:space="preserve"> the idea that return-generating processes differ across latent states </w:t>
      </w:r>
      <w:r w:rsidR="007535C2">
        <w:fldChar w:fldCharType="begin" w:fldLock="1"/>
      </w:r>
      <w:r w:rsidR="00694262">
        <w:instrText>ADDIN CSL_CITATION {"citationItems":[{"id":"ITEM-1","itemData":{"DOI":"https://doi.org/10.3905/jpm.2005.500363","abstract":"This paper proposes a very tractable approach to modeling changes in regime. The parameters of an autoregression are viewed as the outcome of a discrete-state Markov process. For example, the mean growth rate of a nonstationary series may be subject to occasional, discrete shifts. The econometrician is presumed not to observe these shifts directly, but instead must draw probabilistic inference about whether and when they may have occurred based on the observed behavior of the series. The paper presents an algorithm for drawing such probabilistic inference in the form of a nonlinear iterative filter. The filter also permits estimation of population parameters by the method of maximum likelihood and provides the foundation for forecasting future values of the series. An empirical application of this technique to postwar U.S. real GNP suggests that the periodic shift from a positive growth rate to a negative growth rate is a recurrent feature of the U.S. business cycle, and indeed could be used as an objective criterion for defining and measuring economic recessions. The estimated parameter values suggest that a typical economic recession is associated with a 3% permanent drop in the level of GNP. KEYwoRDs:","author":[{"dropping-particle":"","family":"Hamilton","given":"James D.","non-dropping-particle":"","parse-names":false,"suffix":""}],"container-title":"Econometrica","id":"ITEM-1","issue":"2","issued":{"date-parts":[["1989"]]},"page":"357-384","title":"A New Approach to the Economic Analysis of Nonstationary Time Series and the Business Cycle","type":"article-journal","volume":"57"},"uris":["http://www.mendeley.com/documents/?uuid=aa62ec28-618a-48b3-b3a9-bdc70b7d5788"]},{"id":"ITEM-2","itemData":{"DOI":"10.1198/073500102317351930","ISSN":"07350015","abstract":"We examine the econometric performance of regime-switching models for interest rate data from the United States, Germany, and the United Kingdom. Regime-switching models forecast better out-of-sample than single-regime models, including an affine multifactor model, but do not always match moments very well. Regime-switching models incorporating international short-rate and term spread information forecast better, match sample moments better, and classify regimes better than univariate regime-switching models. Finally, the regimes in interest rates correspond reasonably well with business cycles, at least in the United States.","author":[{"dropping-particle":"","family":"Ang","given":"Andrew","non-dropping-particle":"","parse-names":false,"suffix":""},{"dropping-particle":"","family":"Bekaert","given":"Geert","non-dropping-particle":"","parse-names":false,"suffix":""}],"container-title":"Journal of Business and Economic Statistics","id":"ITEM-2","issue":"2","issued":{"date-parts":[["2002"]]},"page":"163-182","title":"Regime switches in interest rates","type":"article-journal","volume":"20"},"uris":["http://www.mendeley.com/documents/?uuid=8589f074-aa90-4795-8465-3c37ad2f3cdb"]}],"mendeley":{"formattedCitation":"(Ang &amp; Bekaert, 2002; Hamilton, 1989)","plainTextFormattedCitation":"(Ang &amp; Bekaert, 2002; Hamilton, 1989)","previouslyFormattedCitation":"(Ang &amp; Bekaert, 2002; Hamilton, 1989)"},"properties":{"noteIndex":0},"schema":"https://github.com/citation-style-language/schema/raw/master/csl-citation.json"}</w:instrText>
      </w:r>
      <w:r w:rsidR="007535C2">
        <w:fldChar w:fldCharType="separate"/>
      </w:r>
      <w:r w:rsidR="007535C2" w:rsidRPr="007535C2">
        <w:rPr>
          <w:noProof/>
        </w:rPr>
        <w:t>(Ang &amp; Bekaert, 2002; Hamilton, 1989)</w:t>
      </w:r>
      <w:r w:rsidR="007535C2">
        <w:fldChar w:fldCharType="end"/>
      </w:r>
      <w:r>
        <w:t xml:space="preserve">, while volatility and sentiment studies showed that periods of elevated uncertainty alter risk premia, investor </w:t>
      </w:r>
      <w:proofErr w:type="spellStart"/>
      <w:r>
        <w:t>behaviour</w:t>
      </w:r>
      <w:proofErr w:type="spellEnd"/>
      <w:r>
        <w:t xml:space="preserve">, and information processing </w:t>
      </w:r>
      <w:r w:rsidR="00694262">
        <w:fldChar w:fldCharType="begin" w:fldLock="1"/>
      </w:r>
      <w:r w:rsidR="00BE7273">
        <w:instrText>ADDIN CSL_CITATION {"citationItems":[{"id":"ITEM-1","itemData":{"DOI":"10.1111/j.1540-6261.1989.tb02647.x","ISSN":"15406261","abstract":"This paper analyzes the relation of stock volatility with real and nominal macroeconomic volatility, economic activity, financial leverage, and stock trading activity using monthly data from 1857 to 1987. An important fact, previously noted by , is that stock return variability was unusually high during the 1929–1939 Great Depression. While aggregate leverage is significantly correlated with volatility, it explains a relatively small part of the movements in stock volatility. The amplitude of the fluctuations in aggregate stock volatility is difficult to explain using simple models of stock valuation, especially during the Great Depression. 1989 The American Finance Association","author":[{"dropping-particle":"","family":"SCHWERT","given":"G. WILLIAM","non-dropping-particle":"","parse-names":false,"suffix":""}],"container-title":"The Journal of Finance","id":"ITEM-1","issue":"5","issued":{"date-parts":[["1989"]]},"page":"1115-1153","title":"Why Does Stock Market Volatility Change Over Time?","type":"article-journal","volume":"44"},"uris":["http://www.mendeley.com/documents/?uuid=75d105f7-76db-49aa-91ee-e0e1283015a9"]},{"id":"ITEM-2","itemData":{"DOI":"10.1257/jep.21.2.129","ISSN":"08953309","author":[{"dropping-particle":"","family":"Baker","given":"Malcolm","non-dropping-particle":"","parse-names":false,"suffix":""},{"dropping-particle":"","family":"Wurgler","given":"Jeffrey","non-dropping-particle":"","parse-names":false,"suffix":""}],"container-title":"Journal of Economic Perspectives","id":"ITEM-2","issue":"2","issued":{"date-parts":[["2007"]]},"page":"129-151","title":"Investor sentiment in the stock market","type":"article-journal","volume":"21"},"uris":["http://www.mendeley.com/documents/?uuid=fd65696c-509a-4219-834f-63017f146900"]}],"mendeley":{"formattedCitation":"(Baker &amp; Wurgler, 2007; SCHWERT, 1989)","plainTextFormattedCitation":"(Baker &amp; Wurgler, 2007; SCHWERT, 1989)","previouslyFormattedCitation":"(Baker &amp; Wurgler, 2007; SCHWERT, 1989)"},"properties":{"noteIndex":0},"schema":"https://github.com/citation-style-language/schema/raw/master/csl-citation.json"}</w:instrText>
      </w:r>
      <w:r w:rsidR="00694262">
        <w:fldChar w:fldCharType="separate"/>
      </w:r>
      <w:r w:rsidR="00694262" w:rsidRPr="00694262">
        <w:rPr>
          <w:noProof/>
        </w:rPr>
        <w:t>(Baker &amp; Wurgler, 2007; SCHWERT, 1989)</w:t>
      </w:r>
      <w:r w:rsidR="00694262">
        <w:fldChar w:fldCharType="end"/>
      </w:r>
      <w:r>
        <w:t xml:space="preserve">. Option-implied volatility indexes are especially relevant because they measure forward-looking uncertainty rather than </w:t>
      </w:r>
      <w:r>
        <w:lastRenderedPageBreak/>
        <w:t xml:space="preserve">merely historical dispersion. </w:t>
      </w:r>
      <w:r w:rsidR="00BE7273">
        <w:fldChar w:fldCharType="begin" w:fldLock="1"/>
      </w:r>
      <w:r w:rsidR="00644936">
        <w:instrText>ADDIN CSL_CITATION {"citationItems":[{"id":"ITEM-1","itemData":{"DOI":"https://doi.org/10.3905/jpm.2000.319728","author":[{"dropping-particle":"","family":"Whaley","given":"Robert E","non-dropping-particle":"","parse-names":false,"suffix":""}],"container-title":"Journal of Portfolio Management","id":"ITEM-1","issued":{"date-parts":[["2000"]]},"page":"12-17","title":"The investor fear gauge","type":"article-journal"},"uris":["http://www.mendeley.com/documents/?uuid=ca1fd848-1e42-4f1a-96d4-b33db2ef739c"]}],"mendeley":{"formattedCitation":"(Whaley, 2000)","plainTextFormattedCitation":"(Whaley, 2000)","previouslyFormattedCitation":"(Whaley, 2000)"},"properties":{"noteIndex":0},"schema":"https://github.com/citation-style-language/schema/raw/master/csl-citation.json"}</w:instrText>
      </w:r>
      <w:r w:rsidR="00BE7273">
        <w:fldChar w:fldCharType="separate"/>
      </w:r>
      <w:r w:rsidR="00BE7273" w:rsidRPr="00BE7273">
        <w:rPr>
          <w:noProof/>
        </w:rPr>
        <w:t>(Whaley, 2000)</w:t>
      </w:r>
      <w:r w:rsidR="00BE7273">
        <w:fldChar w:fldCharType="end"/>
      </w:r>
      <w:r>
        <w:t xml:space="preserve"> </w:t>
      </w:r>
      <w:r w:rsidR="00BF3280">
        <w:t>characterized</w:t>
      </w:r>
      <w:r>
        <w:t xml:space="preserve"> volatility indexes as investor fear gauges, and </w:t>
      </w:r>
      <w:r w:rsidR="00644936">
        <w:fldChar w:fldCharType="begin" w:fldLock="1"/>
      </w:r>
      <w:r w:rsidR="0095557B">
        <w:instrText>ADDIN CSL_CITATION {"citationItems":[{"id":"ITEM-1","itemData":{"DOI":"https://doi.org/10.3905/jpm.2005.500363","author":[{"dropping-particle":"","family":"Giot","given":"Pierre","non-dropping-particle":"","parse-names":false,"suffix":""}],"container-title":"The Journal of Portfolio Management","id":"ITEM-1","issued":{"date-parts":[["2005"]]},"page":"92-100","title":"Relationships Between Implied Volatility Indexes and Stock Index Returns","type":"article-journal","volume":"Spring 200"},"uris":["http://www.mendeley.com/documents/?uuid=1846cae6-c3af-423c-b365-d912087fef9c"]}],"mendeley":{"formattedCitation":"(Giot, 2005)","plainTextFormattedCitation":"(Giot, 2005)","previouslyFormattedCitation":"(Giot, 2005)"},"properties":{"noteIndex":0},"schema":"https://github.com/citation-style-language/schema/raw/master/csl-citation.json"}</w:instrText>
      </w:r>
      <w:r w:rsidR="00644936">
        <w:fldChar w:fldCharType="separate"/>
      </w:r>
      <w:r w:rsidR="00644936" w:rsidRPr="00644936">
        <w:rPr>
          <w:noProof/>
        </w:rPr>
        <w:t>(Giot, 2005)</w:t>
      </w:r>
      <w:r w:rsidR="00644936">
        <w:fldChar w:fldCharType="end"/>
      </w:r>
      <w:r>
        <w:t xml:space="preserve"> documented links between implied-volatility levels and subsequent equity returns. In practical terms, these studies motivate the use of an implied-volatility threshold as a state variable that can gate forecasting decisions.</w:t>
      </w:r>
    </w:p>
    <w:p w14:paraId="10F6C898" w14:textId="77777777" w:rsidR="00ED66A2" w:rsidRDefault="00000000">
      <w:pPr>
        <w:spacing w:after="80" w:line="360" w:lineRule="auto"/>
        <w:ind w:firstLine="360"/>
      </w:pPr>
      <w:r>
        <w:t xml:space="preserve">What remains underdeveloped in the emerging-market machine-learning literature is the translation of regime theory into a deployment protocol. Many studies cite volatility clustering or market phases as a </w:t>
      </w:r>
      <w:proofErr w:type="spellStart"/>
      <w:r>
        <w:t>stylised</w:t>
      </w:r>
      <w:proofErr w:type="spellEnd"/>
      <w:r>
        <w:t xml:space="preserve"> fact, yet the predictive model is still trained and evaluated as if one stationary mapping exists for all dates. That leaves the user with an all-weather probability output but no guidance on when the model is likely to be reliable. This paper departs from that convention by treating the regime label not as an input feature for model fitting, but as a post-hoc diagnostic partition applied strictly to the held-out test set. That distinction matters scientifically because it avoids leakage from regime labels into training while still allowing economically interpretable analysis of where the signal truly lives.</w:t>
      </w:r>
    </w:p>
    <w:p w14:paraId="667A2C95" w14:textId="77777777" w:rsidR="00ED66A2" w:rsidRDefault="00000000">
      <w:pPr>
        <w:pStyle w:val="Heading2"/>
      </w:pPr>
      <w:r>
        <w:rPr>
          <w:rFonts w:ascii="Times New Roman" w:hAnsi="Times New Roman"/>
        </w:rPr>
        <w:t>2.2. Machine learning and deep learning for directional forecasting</w:t>
      </w:r>
    </w:p>
    <w:p w14:paraId="780D4743" w14:textId="565C3041" w:rsidR="00ED66A2" w:rsidRDefault="00000000">
      <w:pPr>
        <w:spacing w:after="80" w:line="360" w:lineRule="auto"/>
        <w:ind w:firstLine="360"/>
      </w:pPr>
      <w:r>
        <w:t>The supervised-learning literature on financial direction prediction is broad but methodologically uneven. Classical work uses technical indicators and structured tabular features with linear models, support-vector machines, random forests, and gradient boosting; more recent work layers deep sequence models such as LSTM and GRU on top of rolling windows (Fischer &amp; Krauss, 2018; Hiransha et al., 2018; Nayak et al., 2016; Patel et al., 2015; Sezer et al., 2020). A recurring result is that no single algorithm dominates across assets, time periods, and design choices. Tree-based methods often perform well because they capture nonlinear interactions in engineered technical features, while sequence models help when the signal depends on temporal ordering across lookback windows. The practical implication is that model uncertainty should be diversified rather than resolved by selecting one winner too early. Comprehensive surveys confirm these patterns: (Cavalcante et al., 2016) document that no single algorithm consistently dominates across financial forecasting tasks, while (Henrique et al., 2019) review the ML literature and highlight that robust out-of-sample evaluation methodology remains a persistent challenge. Among directional forecasting benchmarks, (Huang et al., 2005) provided early evidence that technical-indicator classifiers can achieve competitive accuracy using support vector machines, and (Ballings et al., 2015) show through multi-classifier comparisons on European equities that ensemble methods offer consistent advantages over individual models. Reviews of deep learning for stock prediction (Jiang, 2021; Raavihemalatha et al., 2024) document growing adoption of hybrid sequence-tabular architectures but also emphasise the rarity of deployment translation and regime-conditional reporting. Recent graph-neural forecasting streams further support the need for model-diversification rather than single-model dependence, including architecture families such as GATE-GNN and EATSA-GNN, and recent graph-gating designs for non-i.i.d. structures (Du et al., 2021; Fofanah et al., 2026).</w:t>
      </w:r>
    </w:p>
    <w:p w14:paraId="3073CE33" w14:textId="180E328C" w:rsidR="00ED66A2" w:rsidRDefault="00000000">
      <w:pPr>
        <w:spacing w:after="80" w:line="360" w:lineRule="auto"/>
        <w:ind w:firstLine="360"/>
      </w:pPr>
      <w:r>
        <w:t xml:space="preserve">Stacked ensembles offer a natural response to this problem. </w:t>
      </w:r>
      <w:r w:rsidR="008A4DEF">
        <w:fldChar w:fldCharType="begin" w:fldLock="1"/>
      </w:r>
      <w:r w:rsidR="008A4DEF">
        <w:instrText>ADDIN CSL_CITATION {"citationItems":[{"id":"ITEM-1","itemData":{"DOI":"10.1016/S0893-6080(05)80023-1","ISSN":"08936080","abstract":"This paper introduces stacked generalization, a scheme for minimizing the generalization error rate of one or more generalizers. Stacked generalization works by deducing the biases of the generalizer(s) with respect to a provided learning set. This deduction proceeds by generalizing in a second space whose inputs are (for example) the guesses of the original generalizers when taught with part of the learning set and trying to guess the rest of it, and whose output is (for example) the correct guess. When used with multiple generalizers, stacked generalization can be seen as a more sophisticated version of cross-validation, exploiting a strategy more sophisticated than cross-validation's crude winner-takes-all for combining the individual generalizers. When used with a single generalizer, stacked generalization is a scheme for estimating (and then correcting for) the error of a generalizer which has been trained on a particular learning set and then asked a particular question. After introducing stacked generalization and justifying its use, this paper presents two numerical experiments. The first demonstrates how stacked generalization improves upon a set of separate generalizers for the NETtalk task of translating text to phonemes. The second demonstrates how stacked generalization improves the performance of a single surface-fitter. With the other experimental evidence in the literature, the usual arguments supporting cross-validation, and the abstract justifications presented in this paper, the conclusion is that for almost any real-world generalization problem one should use some version of stacked generalization to minimize the generalization error rate. This paper ends by discussing some of the variations of stacked generalization, and how it touches on other fields like chaos theory. © 1992 Pergamon Press Ltd.","author":[{"dropping-particle":"","family":"Wolpert","given":"David H.","non-dropping-particle":"","parse-names":false,"suffix":""}],"container-title":"Neural Networks","id":"ITEM-1","issue":"2","issued":{"date-parts":[["1992"]]},"page":"241-259","title":"Stacked generalization","type":"article-journal","volume":"5"},"uris":["http://www.mendeley.com/documents/?uuid=ba8356bf-2bd3-48e6-8cac-c1b54ea95b11"]}],"mendeley":{"formattedCitation":"(Wolpert, 1992)","plainTextFormattedCitation":"(Wolpert, 1992)"},"properties":{"noteIndex":0},"schema":"https://github.com/citation-style-language/schema/raw/master/csl-citation.json"}</w:instrText>
      </w:r>
      <w:r w:rsidR="008A4DEF">
        <w:fldChar w:fldCharType="separate"/>
      </w:r>
      <w:r w:rsidR="008A4DEF" w:rsidRPr="008A4DEF">
        <w:rPr>
          <w:noProof/>
        </w:rPr>
        <w:t>(Wolpert, 1992)</w:t>
      </w:r>
      <w:r w:rsidR="008A4DEF">
        <w:fldChar w:fldCharType="end"/>
      </w:r>
      <w:r>
        <w:t xml:space="preserve"> showed that stacked generalization can combine heterogeneous base learners using out-of-fold predictions, thereby reducing the risk that one inductive bias dominates the final decision. In finance, </w:t>
      </w:r>
      <w:r w:rsidR="00356091">
        <w:fldChar w:fldCharType="begin" w:fldLock="1"/>
      </w:r>
      <w:r w:rsidR="00C1364C">
        <w:instrText>ADDIN CSL_CITATION {"citationItems":[{"id":"ITEM-1","itemData":{"DOI":"10.1016/j.ejor.2016.10.031","ISSN":"03772217","abstract":"In recent years, machine learning research has gained momentum: new developments in the field of deep learning allow for multiple levels of abstraction and are starting to supersede well-known and powerful tree-based techniques mainly operating on the original feature space. All these methods can be applied to various fields, including finance. This paper implements and analyzes the effectiveness of deep neural networks (DNN), gradient-boosted-trees (GBT), random forests (RAF), and several ensembles of these methods in the context of statistical arbitrage. Each model is trained on lagged returns of all stocks in the S&amp;P 500, after elimination of survivor bias. From 1992 to 2015, daily one-day-ahead trading signals are generated based on the probability forecast of a stock to outperform the general market. The highest k probabilities are converted into long and the lowest k probabilities into short positions, thus censoring the less certain middle part of the ranking. Empirical findings are promising. A simple, equal-weighted ensemble (ENS1) consisting of one deep neural network, one gradient-boosted tree, and one random forest produces out-of-sample returns exceeding 0.45 percent per day for k=10, prior to transaction costs. Irrespective of the fact that profits are declining in recent years, our findings pose a severe challenge to the semi-strong form of market efficiency.","author":[{"dropping-particle":"","family":"Krauss","given":"Christopher","non-dropping-particle":"","parse-names":false,"suffix":""},{"dropping-particle":"","family":"Do","given":"Xuan Anh","non-dropping-particle":"","parse-names":false,"suffix":""},{"dropping-particle":"","family":"Huck","given":"Nicolas","non-dropping-particle":"","parse-names":false,"suffix":""}],"container-title":"European Journal of Operational Research","id":"ITEM-1","issue":"2","issued":{"date-parts":[["2017"]]},"page":"689-702","publisher":"Elsevier B.V.","title":"Deep neural networks, gradient-boosted trees, random forests: Statistical arbitrage on the S&amp;P 500","type":"article-journal","volume":"259"},"uris":["http://www.mendeley.com/documents/?uuid=d228ef35-00ea-4b42-ae7b-3ac3195b6336"]}],"mendeley":{"formattedCitation":"(Krauss et al., 2017)","plainTextFormattedCitation":"(Krauss et al., 2017)","previouslyFormattedCitation":"(Krauss et al., 2017)"},"properties":{"noteIndex":0},"schema":"https://github.com/citation-style-language/schema/raw/master/csl-citation.json"}</w:instrText>
      </w:r>
      <w:r w:rsidR="00356091">
        <w:fldChar w:fldCharType="separate"/>
      </w:r>
      <w:r w:rsidR="00356091" w:rsidRPr="00356091">
        <w:rPr>
          <w:noProof/>
        </w:rPr>
        <w:t>(Krauss et al., 2017)</w:t>
      </w:r>
      <w:r w:rsidR="00356091">
        <w:fldChar w:fldCharType="end"/>
      </w:r>
      <w:r>
        <w:t xml:space="preserve"> and later studies found that ensembles of trees and neural models can outperform individual models under some settings, but the results often remain difficult to interpret economically. The present study uses stacking not to </w:t>
      </w:r>
      <w:proofErr w:type="spellStart"/>
      <w:r>
        <w:t>maximise</w:t>
      </w:r>
      <w:proofErr w:type="spellEnd"/>
      <w:r>
        <w:t xml:space="preserve"> an in-sample score at any cost, but to create a more stable medium-term directional estimate that can then be evaluated under an explicit regime filter. A taxonomy of stock market prediction techniques </w:t>
      </w:r>
      <w:r w:rsidR="00C1364C">
        <w:fldChar w:fldCharType="begin" w:fldLock="1"/>
      </w:r>
      <w:r w:rsidR="00641CD0">
        <w:instrText>ADDIN CSL_CITATION {"citationItems":[{"id":"ITEM-1","itemData":{"DOI":"10.3390/ijfs7020026","ISSN":"22277072","abstract":"Stock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author":[{"dropping-particle":"","family":"Shah","given":"Dev","non-dropping-particle":"","parse-names":false,"suffix":""},{"dropping-particle":"","family":"Isah","given":"Haruna","non-dropping-particle":"","parse-names":false,"suffix":""},{"dropping-particle":"","family":"Zulkernine","given":"Farhana","non-dropping-particle":"","parse-names":false,"suffix":""}],"container-title":"International Journal of Financial Studies","id":"ITEM-1","issue":"2","issued":{"date-parts":[["2019"]]},"title":"Stock market analysis: A review and taxonomy of prediction techniques","type":"article-journal","volume":"7"},"uris":["http://www.mendeley.com/documents/?uuid=698abe4b-43ae-4993-8621-13fac3ade594"]}],"mendeley":{"formattedCitation":"(Shah et al., 2019)","plainTextFormattedCitation":"(Shah et al., 2019)","previouslyFormattedCitation":"(Shah et al., 2019)"},"properties":{"noteIndex":0},"schema":"https://github.com/citation-style-language/schema/raw/master/csl-citation.json"}</w:instrText>
      </w:r>
      <w:r w:rsidR="00C1364C">
        <w:fldChar w:fldCharType="separate"/>
      </w:r>
      <w:r w:rsidR="00C1364C" w:rsidRPr="00C1364C">
        <w:rPr>
          <w:noProof/>
        </w:rPr>
        <w:t>(Shah et al., 2019)</w:t>
      </w:r>
      <w:r w:rsidR="00C1364C">
        <w:fldChar w:fldCharType="end"/>
      </w:r>
      <w:r>
        <w:t xml:space="preserve"> classifies existing approaches and finds that regime-conditional evaluation is rarely addressed. </w:t>
      </w:r>
      <w:r w:rsidR="00641CD0">
        <w:fldChar w:fldCharType="begin" w:fldLock="1"/>
      </w:r>
      <w:r w:rsidR="00B27505">
        <w:instrText>ADDIN CSL_CITATION {"citationItems":[{"id":"ITEM-1","itemData":{"DOI":"https://doi.org/ 10.1371/journal.pone.0194889","ISBN":"1111111111","ISSN":"19326203","abstract":"Machine Learning (ML) methods have been proposed in the academic literature as alternatives to statistical ones for time series forecasting. Yet, scant evidence is available about their relative performance in terms of accuracy and computational requirements. The purpose of this paper is to evaluate such performance across multiple forecasting horizons using a large subset of 1045 monthly time series used in the M3 Competition. After comparing the post-sample accuracy of popular ML methods with that of eight traditional statistical ones, we found that the former are dominated across both accuracy measures used and for all forecasting horizons examined. Moreover, we observed that their computational requirements are considerably greater than those of statistical methods. The paper discusses the results, explains why the accuracy of ML models is below that of statistical ones and proposes some possible ways forward. The empirical results found in our research stress the need for objective and unbiased ways to test the performance of forecasting methods that can be achieved through sizable and open competitions allowing meaningful comparisons and definite conclusions.","author":[{"dropping-particle":"","family":"Spyros Makridakis","given":"","non-dropping-particle":"","parse-names":false,"suffix":""},{"dropping-particle":"","family":"Evangelos Spiliotis","given":"","non-dropping-particle":"","parse-names":false,"suffix":""},{"dropping-particle":"","family":"Vassilios Assimakopoulos","given":"","non-dropping-particle":"","parse-names":false,"suffix":""}],"container-title":"PLoS ONE","id":"ITEM-1","issue":"3","issued":{"date-parts":[["2018"]]},"page":"1-26","title":"Statistical and Machine Learning forecasting methods: Concerns and ways forward","type":"article-journal","volume":"13"},"uris":["http://www.mendeley.com/documents/?uuid=a5ad55ee-75d0-40bf-b982-74d5d18ec460"]}],"mendeley":{"formattedCitation":"(Spyros Makridakis et al., 2018)","plainTextFormattedCitation":"(Spyros Makridakis et al., 2018)","previouslyFormattedCitation":"(Spyros Makridakis et al., 2018)"},"properties":{"noteIndex":0},"schema":"https://github.com/citation-style-language/schema/raw/master/csl-citation.json"}</w:instrText>
      </w:r>
      <w:r w:rsidR="00641CD0">
        <w:fldChar w:fldCharType="separate"/>
      </w:r>
      <w:r w:rsidR="00641CD0" w:rsidRPr="00641CD0">
        <w:rPr>
          <w:noProof/>
        </w:rPr>
        <w:t>(Spyros Makridakis et al., 2018)</w:t>
      </w:r>
      <w:r w:rsidR="00641CD0">
        <w:fldChar w:fldCharType="end"/>
      </w:r>
      <w:r>
        <w:t xml:space="preserve"> further document that the relative advantage of machine learning over statistical forecasting is inconsistent across settings, motivating the diversified ensemble strategy adopted here. That combination of heterogeneous forecasting and selective activation is more consistent with how a real expert system would support a human user.</w:t>
      </w:r>
    </w:p>
    <w:p w14:paraId="65BA53EA" w14:textId="77777777" w:rsidR="00ED66A2" w:rsidRDefault="00000000">
      <w:pPr>
        <w:pStyle w:val="Heading2"/>
      </w:pPr>
      <w:r>
        <w:rPr>
          <w:rFonts w:ascii="Times New Roman" w:hAnsi="Times New Roman"/>
        </w:rPr>
        <w:t>2.3. Machine learning in Indian equity markets</w:t>
      </w:r>
    </w:p>
    <w:p w14:paraId="38322C99" w14:textId="1A1EFDE4" w:rsidR="00ED66A2" w:rsidRDefault="00000000">
      <w:pPr>
        <w:spacing w:after="80" w:line="360" w:lineRule="auto"/>
        <w:ind w:firstLine="360"/>
      </w:pPr>
      <w:r>
        <w:t xml:space="preserve">Indian equity markets present unique challenges for machine-learning forecasters: they blend global macro spillovers with domestic policy cycles, NSE-specific derivatives effects, and retail participation frictions. </w:t>
      </w:r>
      <w:r w:rsidR="00B27505">
        <w:fldChar w:fldCharType="begin" w:fldLock="1"/>
      </w:r>
      <w:r w:rsidR="006C4075">
        <w:instrText>ADDIN CSL_CITATION {"citationItems":[{"id":"ITEM-1","itemData":{"DOI":"10.1016/j.eswa.2014.07.040","ISSN":"09574174","abstract":"This paper addresses problem of predicting direction of movement of stock and stock price index for Indian stock markets. The study compares four prediction models, Artificial Neural Network (ANN), Support Vector Machine (SVM), random forest and naive-Bayes with two approaches for input to these models. The first approach for input data involves computation of ten technical parameters using stock trading data (open, high, low &amp; close prices) while the second approach focuses on representing these technical parameters as trend deterministic data. Accuracy of each of the prediction models for each of the two input approaches is evaluated. Evaluation is carried out on 10 years of historical data from 2003 to 2012 of two stocks namely Reliance Industries and Infosys Ltd. and two stock price indices CNX Nifty and S&amp;P Bombay Stock Exchange (BSE) Sensex. The experimental results suggest that for the first approach of input data where ten technical parameters are represented as continuous values, random forest outperforms other three prediction models on overall performance. Experimental results also show that the performance of all the prediction models improve when these technical parameters are represented as trend deterministic data. © 2014 Elsevier Ltd. All rights reserved.","author":[{"dropping-particle":"","family":"Patel","given":"Jigar","non-dropping-particle":"","parse-names":false,"suffix":""},{"dropping-particle":"","family":"Shah","given":"Sahil","non-dropping-particle":"","parse-names":false,"suffix":""},{"dropping-particle":"","family":"Thakkar","given":"Priyank","non-dropping-particle":"","parse-names":false,"suffix":""},{"dropping-particle":"","family":"Kotecha","given":"K.","non-dropping-particle":"","parse-names":false,"suffix":""}],"container-title":"Expert Systems with Applications","id":"ITEM-1","issue":"1","issued":{"date-parts":[["2015"]]},"page":"259-268","publisher":"Elsevier Ltd","title":"Predicting stock and stock price index movement using Trend Deterministic Data Preparation and machine learning techniques","type":"article-journal","volume":"42"},"uris":["http://www.mendeley.com/documents/?uuid=22929b18-9171-4b3d-9cc4-7e82c9fb75ef"]}],"mendeley":{"formattedCitation":"(Patel et al., 2015)","plainTextFormattedCitation":"(Patel et al., 2015)","previouslyFormattedCitation":"(Patel et al., 2015)"},"properties":{"noteIndex":0},"schema":"https://github.com/citation-style-language/schema/raw/master/csl-citation.json"}</w:instrText>
      </w:r>
      <w:r w:rsidR="00B27505">
        <w:fldChar w:fldCharType="separate"/>
      </w:r>
      <w:r w:rsidR="00B27505" w:rsidRPr="00B27505">
        <w:rPr>
          <w:noProof/>
        </w:rPr>
        <w:t>(Patel et al., 2015)</w:t>
      </w:r>
      <w:r w:rsidR="00B27505">
        <w:fldChar w:fldCharType="end"/>
      </w:r>
      <w:r>
        <w:t xml:space="preserve">, provided early and directly relevant evidence that trend-deterministic preprocessing combined with decision trees and SVMs can improve short-term direction prediction in BSE and NSE indices. </w:t>
      </w:r>
      <w:r w:rsidR="006C4075">
        <w:fldChar w:fldCharType="begin" w:fldLock="1"/>
      </w:r>
      <w:r w:rsidR="004E65F5">
        <w:instrText>ADDIN CSL_CITATION {"citationItems":[{"id":"ITEM-1","itemData":{"DOI":"10.1016/j.procs.2016.06.096","ISSN":"18770509","abstract":"Stock market price data is generated in huge volume and it changes every second. Stock market is a complex and challenging system where people will either gain money or lose their entire life savings. In this work, an attempt is made for prediction of stock market trend. Two models are built one for daily prediction and the other one is for monthly prediction. Supervised machine learning algorithms are used to build the models. As part of the daily prediction model, historical prices are combined with sentiments. Up to 70% of accuracy is observed using supervised machine learning algorithms on daily prediction model. Monthly prediction model tries to evaluate whether there is any similarity between any two months trend. Evaluation proves that trend of one month is least correlated with the trend of another month.","author":[{"dropping-particle":"","family":"Nayak","given":"Aparna","non-dropping-particle":"","parse-names":false,"suffix":""},{"dropping-particle":"","family":"Pai","given":"M. M.Manohara","non-dropping-particle":"","parse-names":false,"suffix":""},{"dropping-particle":"","family":"Pai","given":"Radhika M.","non-dropping-particle":"","parse-names":false,"suffix":""}],"container-title":"Procedia Computer Science","id":"ITEM-1","issued":{"date-parts":[["2016"]]},"page":"441-449","publisher":"The Author(s)","title":"Prediction Models for Indian Stock Market","type":"article-journal","volume":"89"},"uris":["http://www.mendeley.com/documents/?uuid=b2e99fe4-6a91-4e6a-ba3c-08585bb9fa8e"]}],"mendeley":{"formattedCitation":"(Nayak et al., 2016)","plainTextFormattedCitation":"(Nayak et al., 2016)","previouslyFormattedCitation":"(Nayak et al., 2016)"},"properties":{"noteIndex":0},"schema":"https://github.com/citation-style-language/schema/raw/master/csl-citation.json"}</w:instrText>
      </w:r>
      <w:r w:rsidR="006C4075">
        <w:fldChar w:fldCharType="separate"/>
      </w:r>
      <w:r w:rsidR="006C4075" w:rsidRPr="006C4075">
        <w:rPr>
          <w:noProof/>
        </w:rPr>
        <w:t>(Nayak et al., 2016)</w:t>
      </w:r>
      <w:r w:rsidR="006C4075">
        <w:fldChar w:fldCharType="end"/>
      </w:r>
      <w:r>
        <w:t xml:space="preserve"> applied multilayer neural networks and logistic regression to Indian indices, showing that data preprocessing choices often dominate raw model selection. </w:t>
      </w:r>
      <w:r w:rsidR="004E65F5">
        <w:fldChar w:fldCharType="begin" w:fldLock="1"/>
      </w:r>
      <w:r w:rsidR="00F663A7">
        <w:instrText>ADDIN CSL_CITATION {"citationItems":[{"id":"ITEM-1","itemData":{"DOI":"10.1016/j.procs.2018.05.050","ISSN":"18770509","abstract":"The neural network, one of the intelligent data mining technique that has been used by researchers in various areas for the past 10 years. Prediction and analysis of stock market data have got an important role in today's economy. The various algorithms used for forecasting can be categorized into linear (AR, MA, ARIMA, ARMA) and non-linear models (ARCH, GARCH, Neural Network). In this paper, we are using four types of deep learning architectures i.e Multilayer Perceptron (MLP), Recurrent Neural Networks (RNN), Long Short-Term Memory (LSTM) and Convolutional Neural Network (CNN) for predicting the stock price of a company based on the historical prices available. Here we are using day-wise closing price of two different stock markets, National Stock Exchange (NSE) of India and New York Stock Exchange (NYSE). The network was trained with the stock price of a single company from NSE and predicted for five different companies from both NSE and NYSE. It has been observed that CNN is outperforming the other models. The network was able to predict for NYSE even though it was trained with NSE data. This was possible because both the stock markets share some common inner dynamics. The results obtained were com- pared with ARIMA model and it has been observed that the neural networks are outperforming the existing linear model (ARIMA).","author":[{"dropping-particle":"","family":"Hiransha","given":"M.","non-dropping-particle":"","parse-names":false,"suffix":""},{"dropping-particle":"","family":"Gopalakrishnan","given":"E. A.","non-dropping-particle":"","parse-names":false,"suffix":""},{"dropping-particle":"","family":"Menon","given":"Vijay Krishna","non-dropping-particle":"","parse-names":false,"suffix":""},{"dropping-particle":"","family":"Soman","given":"K. P.","non-dropping-particle":"","parse-names":false,"suffix":""}],"container-title":"Procedia Computer Science","id":"ITEM-1","issue":"Iccids","issued":{"date-parts":[["2018"]]},"page":"1351-1362","publisher":"Elsevier B.V.","title":"NSE Stock Market Prediction Using Deep-Learning Models","type":"article-journal","volume":"132"},"uris":["http://www.mendeley.com/documents/?uuid=e7a6b981-de14-4599-bf4d-142a53529421"]}],"mendeley":{"formattedCitation":"(Hiransha et al., 2018)","plainTextFormattedCitation":"(Hiransha et al., 2018)","previouslyFormattedCitation":"(Hiransha et al., 2018)"},"properties":{"noteIndex":0},"schema":"https://github.com/citation-style-language/schema/raw/master/csl-citation.json"}</w:instrText>
      </w:r>
      <w:r w:rsidR="004E65F5">
        <w:fldChar w:fldCharType="separate"/>
      </w:r>
      <w:r w:rsidR="004E65F5" w:rsidRPr="004E65F5">
        <w:rPr>
          <w:noProof/>
        </w:rPr>
        <w:t>(Hiransha et al., 2018)</w:t>
      </w:r>
      <w:r w:rsidR="004E65F5">
        <w:fldChar w:fldCharType="end"/>
      </w:r>
      <w:r>
        <w:t xml:space="preserve"> extended the comparison to NSE equities using LSTM-based deep architectures, with results that depend heavily on the evaluation window. </w:t>
      </w:r>
      <w:r w:rsidR="00F663A7">
        <w:fldChar w:fldCharType="begin" w:fldLock="1"/>
      </w:r>
      <w:r w:rsidR="00B45B55">
        <w:instrText>ADDIN CSL_CITATION {"citationItems":[{"id":"ITEM-1","itemData":{"DOI":"10.1016/j.cosrev.2019.08.001","ISSN":"15740137","abstract":"Prediction of stock market trends is considered as an important task and is of great attention as predicting stock prices successfully may lead to attractive profits by making proper decisions. Stock market prediction is a major challenge owing to non-stationary, blaring, and chaotic data, and thus, the prediction becomes challenging among the investors to invest the money for making profits. Several techniques are devised in the existing techniques to predict the stock market trends. This work presents the detailed review of 50 research papers suggesting the methodologies, like Bayesian model, Fuzzy classifier, Artificial Neural Networks (ANN), Support Vector Machine (SVM) classifier, Neural Network (NN), Machine Learning Methods and so on, based on stock market prediction. The obtained papers are classified based on different prediction and clustering techniques. The research gaps and the challenges faced by the existing techniques are listed and elaborated, which help the researchers to upgrade the future works. The works are analyzed using certain datasets, software tools, performance evaluation measures, prediction techniques utilized, and performance attained by different techniques. The commonly used technique for attaining effective stock market prediction is ANN and the fuzzy-based technique. Even though a lot of research efforts, the current stock market prediction technique still have many limits. From this survey, it can be concluded that the stock market prediction is a very complex task, and different factors should be considered for predicting the future of the market more accurately and efficiently.","author":[{"dropping-particle":"","family":"Gandhmal","given":"Dattatray P.","non-dropping-particle":"","parse-names":false,"suffix":""},{"dropping-particle":"","family":"Kumar","given":"K.","non-dropping-particle":"","parse-names":false,"suffix":""}],"container-title":"Computer Science Review","id":"ITEM-1","issued":{"date-parts":[["2019"]]},"page":"100190","publisher":"Elsevier Inc.","title":"Systematic analysis and review of stock market prediction techniques","type":"article-journal","volume":"34"},"uris":["http://www.mendeley.com/documents/?uuid=f1b37d0b-2ef8-466b-af49-7c57996a6927"]}],"mendeley":{"formattedCitation":"(Gandhmal &amp; Kumar, 2019)","plainTextFormattedCitation":"(Gandhmal &amp; Kumar, 2019)","previouslyFormattedCitation":"(Gandhmal &amp; Kumar, 2019)"},"properties":{"noteIndex":0},"schema":"https://github.com/citation-style-language/schema/raw/master/csl-citation.json"}</w:instrText>
      </w:r>
      <w:r w:rsidR="00F663A7">
        <w:fldChar w:fldCharType="separate"/>
      </w:r>
      <w:r w:rsidR="00F663A7" w:rsidRPr="00F663A7">
        <w:rPr>
          <w:noProof/>
        </w:rPr>
        <w:t>(Gandhmal &amp; Kumar, 2019)</w:t>
      </w:r>
      <w:r w:rsidR="00F663A7">
        <w:fldChar w:fldCharType="end"/>
      </w:r>
      <w:r>
        <w:t xml:space="preserve"> surveyed prediction techniques across Indian and global markets and noted that most Indian studies use short historical windows and do not account for volatility-state variability.</w:t>
      </w:r>
    </w:p>
    <w:p w14:paraId="77E5B555" w14:textId="77777777" w:rsidR="00ED66A2" w:rsidRDefault="00000000">
      <w:pPr>
        <w:spacing w:after="80" w:line="360" w:lineRule="auto"/>
        <w:ind w:firstLine="360"/>
      </w:pPr>
      <w:r>
        <w:t>Despite this growing body of work, no prior study applies India VIX as a regime gate to partition held-out predictive performance for Bank Nifty specifically. That index is more policy-</w:t>
      </w:r>
      <w:r>
        <w:lastRenderedPageBreak/>
        <w:t>sensitive and volatility-reactive than broader Nifty benchmarks because banking stocks transmit monetary policy changes, credit cycle effects, and foreign portfolio flows in concentrated form. The present study targets this gap by incorporating the most natural regime variable for this asset into a systematic deployment protocol, rather than merely using it as an optional input feature.</w:t>
      </w:r>
    </w:p>
    <w:p w14:paraId="426A7038" w14:textId="77777777" w:rsidR="00ED66A2" w:rsidRDefault="00000000">
      <w:pPr>
        <w:pStyle w:val="Heading2"/>
      </w:pPr>
      <w:r>
        <w:rPr>
          <w:rFonts w:ascii="Times New Roman" w:hAnsi="Times New Roman"/>
        </w:rPr>
        <w:t>2.4. Expert systems, explainability, and decision support</w:t>
      </w:r>
    </w:p>
    <w:p w14:paraId="085FF561" w14:textId="4E6AF2B0" w:rsidR="00ED66A2" w:rsidRDefault="00000000">
      <w:pPr>
        <w:spacing w:after="80" w:line="360" w:lineRule="auto"/>
        <w:ind w:firstLine="360"/>
      </w:pPr>
      <w:r>
        <w:t xml:space="preserve">In trading and portfolio contexts, this means the model must communicate when it should be used, what evidence supports that usage, and what risk profile follows from the decision. The explainable algorithmic-trading literature increasingly argues that a useful system should connect model outputs to economically meaningful states such as volatility, trend, or liquidity rather than treating prediction as an end in itself </w:t>
      </w:r>
      <w:r w:rsidR="00B45B55">
        <w:fldChar w:fldCharType="begin" w:fldLock="1"/>
      </w:r>
      <w:r w:rsidR="00A354BC">
        <w:instrText>ADDIN CSL_CITATION {"citationItems":[{"id":"ITEM-1","itemData":{"DOI":"10.1016/j.eswa.2017.04.030","ISSN":"09574174","abstract":"We offer a systematic analysis of the use of deep learning networks for stock market analysis and prediction. Its ability to extract features from a large set of raw data without relying on prior knowledge of predictors makes deep learning potentially attractive for stock market prediction at high frequencies. Deep learning algorithms vary considerably in the choice of network structure, activation function, and other model parameters, and their performance is known to depend heavily on the method of data representation. Our study attempts to provides a comprehensive and objective assessment of both the advantages and drawbacks of deep learning algorithms for stock market analysis and prediction. Using high-frequency intraday stock returns as input data, we examine the effects of three unsupervised feature extraction methods—principal component analysis, autoencoder, and the restricted Boltzmann machine—on the network's overall ability to predict future market behavior. Empirical results suggest that deep neural networks can extract additional information from the residuals of the autoregressive model and improve prediction performance; the same cannot be said when the autoregressive model is applied to the residuals of the network. Covariance estimation is also noticeably improved when the predictive network is applied to covariance-based market structure analysis. Our study offers practical insights and potentially useful directions for further investigation into how deep learning networks can be effectively used for stock market analysis and prediction.","author":[{"dropping-particle":"","family":"Chong","given":"Eunsuk","non-dropping-particle":"","parse-names":false,"suffix":""},{"dropping-particle":"","family":"Han","given":"Chulwoo","non-dropping-particle":"","parse-names":false,"suffix":""},{"dropping-particle":"","family":"Park","given":"Frank C.","non-dropping-particle":"","parse-names":false,"suffix":""}],"container-title":"Expert Systems with Applications","id":"ITEM-1","issued":{"date-parts":[["2017"]]},"page":"187-205","publisher":"Elsevier Ltd","title":"Deep learning networks for stock market analysis and prediction: Methodology, data representations, and case studies","type":"article-journal","volume":"83"},"uris":["http://www.mendeley.com/documents/?uuid=6853e498-45a2-46da-9c60-ef3c336f4b8e"]},{"id":"ITEM-2","itemData":{"ISBN":"9781450360128","ISSN":"23318422","PMID":"30553900","abstract":"Understanding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author":[{"dropping-particle":"","family":"Lundberg","given":"S.M.","non-dropping-particle":"","parse-names":false,"suffix":""},{"dropping-particle":"","family":"Lee","given":"S.I","non-dropping-particle":"","parse-names":false,"suffix":""}],"container-title":"NIPS-2017 Advances in Neural Information Processing Systems","id":"ITEM-2","issue":"2","issued":{"date-parts":[["2017"]]},"page":"4765–4774","title":"A unified approach to interpreting model predictions","type":"article-journal","volume":"32"},"uris":["http://www.mendeley.com/documents/?uuid=9343ed2e-1d5e-4721-851d-c76ab24d50af"]}],"mendeley":{"formattedCitation":"(Chong et al., 2017; Lundberg &amp; Lee, 2017)","plainTextFormattedCitation":"(Chong et al., 2017; Lundberg &amp; Lee, 2017)","previouslyFormattedCitation":"(Chong et al., 2017; Lundberg &amp; Lee, 2017)"},"properties":{"noteIndex":0},"schema":"https://github.com/citation-style-language/schema/raw/master/csl-citation.json"}</w:instrText>
      </w:r>
      <w:r w:rsidR="00B45B55">
        <w:fldChar w:fldCharType="separate"/>
      </w:r>
      <w:r w:rsidR="00B45B55" w:rsidRPr="00B45B55">
        <w:rPr>
          <w:noProof/>
        </w:rPr>
        <w:t>(Chong et al., 2017; Lundberg &amp; Lee, 2017)</w:t>
      </w:r>
      <w:r w:rsidR="00B45B55">
        <w:fldChar w:fldCharType="end"/>
      </w:r>
      <w:r>
        <w:t xml:space="preserve"> The current work aligns with that orientation by turning a probability forecast into a two-stage decision rule: predict direction, then deploy only when the volatility state implies materially higher reliability.</w:t>
      </w:r>
    </w:p>
    <w:p w14:paraId="64554654" w14:textId="77777777" w:rsidR="00ED66A2" w:rsidRDefault="00000000">
      <w:pPr>
        <w:spacing w:after="80" w:line="360" w:lineRule="auto"/>
        <w:ind w:firstLine="360"/>
      </w:pPr>
      <w:r>
        <w:t>This framing also changes what counts as success. A useful expert system for market direction does not need to be active every day, and it does not need to outperform a buy-and-hold benchmark on raw total return in a strong bull sample to be valuable. Instead, it should improve decision quality under the conditions where the user faces the highest uncertainty and the greatest downside risk from being wrong. In the present application, those are the high-VIX windows. The contribution is therefore not just a better predictive model, but a decision architecture that converts regime information into selective model trust.</w:t>
      </w:r>
    </w:p>
    <w:p w14:paraId="3677F848" w14:textId="77777777" w:rsidR="00ED66A2" w:rsidRDefault="00000000">
      <w:pPr>
        <w:pStyle w:val="Heading2"/>
      </w:pPr>
      <w:r>
        <w:rPr>
          <w:rFonts w:ascii="Times New Roman" w:hAnsi="Times New Roman"/>
        </w:rPr>
        <w:t>2.5. Research gap and contribution mapping</w:t>
      </w:r>
    </w:p>
    <w:p w14:paraId="337CADFC" w14:textId="77777777" w:rsidR="00ED66A2" w:rsidRDefault="00000000">
      <w:pPr>
        <w:spacing w:after="80" w:line="360" w:lineRule="auto"/>
        <w:ind w:firstLine="360"/>
      </w:pPr>
      <w:r>
        <w:t>The literature leaves four gaps that directly motivate this study. First, Indian equity-direction studies rarely evaluate whether predictive skill varies materially across implied-volatility states. Second, stacking and sequence models are often assessed only through pooled classification metrics, with little attention to whether the signal is concentrated in high-information windows. Third, many studies stop at predictive statistics and do not translate the result into a selective deployment rule. Fourth, even when robustness is reported, it usually covers hyperparameters rather than the broader question of whether the discovered signal survives alternative thresholds, cost assumptions, and replication windows.</w:t>
      </w:r>
    </w:p>
    <w:p w14:paraId="512B6F7E" w14:textId="77777777" w:rsidR="00ED66A2" w:rsidRDefault="00000000">
      <w:pPr>
        <w:spacing w:after="80" w:line="360" w:lineRule="auto"/>
        <w:ind w:firstLine="360"/>
      </w:pPr>
      <w:r>
        <w:t xml:space="preserve">Table 1 summarizes how the present design addresses those gaps. The resulting contribution is intentionally narrower than a universal claim about market predictability. It is a claim about </w:t>
      </w:r>
      <w:r>
        <w:lastRenderedPageBreak/>
        <w:t>conditional predictability: when India VIX is elevated, a stacking ensemble built on leakage-safe technical features provides substantially more reliable 21-day directional signals for Bank Nifty than it does during calm periods. For an expert-systems audience, that conditional reliability is the main result because it directly informs how a system should gate recommendations.</w:t>
      </w:r>
    </w:p>
    <w:p w14:paraId="0A61118A" w14:textId="77777777" w:rsidR="00ED66A2" w:rsidRPr="002936C1" w:rsidRDefault="00000000" w:rsidP="006A7AAE">
      <w:pPr>
        <w:spacing w:before="80" w:after="80"/>
        <w:jc w:val="center"/>
        <w:rPr>
          <w:iCs/>
        </w:rPr>
      </w:pPr>
      <w:r w:rsidRPr="002936C1">
        <w:rPr>
          <w:iCs/>
          <w:sz w:val="20"/>
        </w:rPr>
        <w:t>Table 1. Research gaps and the corresponding design choices in the proposed framework.</w:t>
      </w:r>
    </w:p>
    <w:tbl>
      <w:tblPr>
        <w:tblStyle w:val="TableGrid"/>
        <w:tblW w:w="9679" w:type="dxa"/>
        <w:jc w:val="center"/>
        <w:tblLook w:val="04A0" w:firstRow="1" w:lastRow="0" w:firstColumn="1" w:lastColumn="0" w:noHBand="0" w:noVBand="1"/>
      </w:tblPr>
      <w:tblGrid>
        <w:gridCol w:w="3123"/>
        <w:gridCol w:w="2851"/>
        <w:gridCol w:w="3705"/>
      </w:tblGrid>
      <w:tr w:rsidR="00ED66A2" w14:paraId="03133745" w14:textId="77777777" w:rsidTr="002936C1">
        <w:trPr>
          <w:trHeight w:val="373"/>
          <w:jc w:val="center"/>
        </w:trPr>
        <w:tc>
          <w:tcPr>
            <w:tcW w:w="3123" w:type="dxa"/>
            <w:vAlign w:val="center"/>
          </w:tcPr>
          <w:p w14:paraId="48EA89AA" w14:textId="77777777" w:rsidR="00ED66A2" w:rsidRDefault="00000000" w:rsidP="002936C1">
            <w:pPr>
              <w:jc w:val="center"/>
            </w:pPr>
            <w:r>
              <w:rPr>
                <w:b/>
                <w:sz w:val="20"/>
              </w:rPr>
              <w:t>Research gap</w:t>
            </w:r>
          </w:p>
        </w:tc>
        <w:tc>
          <w:tcPr>
            <w:tcW w:w="2851" w:type="dxa"/>
            <w:vAlign w:val="center"/>
          </w:tcPr>
          <w:p w14:paraId="68B010E1" w14:textId="77777777" w:rsidR="00ED66A2" w:rsidRDefault="00000000" w:rsidP="002936C1">
            <w:pPr>
              <w:jc w:val="center"/>
            </w:pPr>
            <w:r>
              <w:rPr>
                <w:b/>
                <w:sz w:val="20"/>
              </w:rPr>
              <w:t>Risk if ignored</w:t>
            </w:r>
          </w:p>
        </w:tc>
        <w:tc>
          <w:tcPr>
            <w:tcW w:w="3705" w:type="dxa"/>
            <w:vAlign w:val="center"/>
          </w:tcPr>
          <w:p w14:paraId="45846493" w14:textId="77777777" w:rsidR="00ED66A2" w:rsidRDefault="00000000" w:rsidP="002936C1">
            <w:pPr>
              <w:jc w:val="center"/>
            </w:pPr>
            <w:r>
              <w:rPr>
                <w:b/>
                <w:sz w:val="20"/>
              </w:rPr>
              <w:t>Design choice in this study</w:t>
            </w:r>
          </w:p>
        </w:tc>
      </w:tr>
      <w:tr w:rsidR="00ED66A2" w14:paraId="2A97E7BA" w14:textId="77777777" w:rsidTr="002936C1">
        <w:trPr>
          <w:trHeight w:val="798"/>
          <w:jc w:val="center"/>
        </w:trPr>
        <w:tc>
          <w:tcPr>
            <w:tcW w:w="3123" w:type="dxa"/>
            <w:vAlign w:val="center"/>
          </w:tcPr>
          <w:p w14:paraId="133BF9B5" w14:textId="77777777" w:rsidR="00ED66A2" w:rsidRDefault="00000000" w:rsidP="002936C1">
            <w:pPr>
              <w:jc w:val="center"/>
            </w:pPr>
            <w:r>
              <w:rPr>
                <w:sz w:val="20"/>
              </w:rPr>
              <w:t>No India VIX regime analysis in prior Bank Nifty directional work</w:t>
            </w:r>
          </w:p>
        </w:tc>
        <w:tc>
          <w:tcPr>
            <w:tcW w:w="2851" w:type="dxa"/>
            <w:vAlign w:val="center"/>
          </w:tcPr>
          <w:p w14:paraId="7EE74B9A" w14:textId="77777777" w:rsidR="00ED66A2" w:rsidRDefault="00000000" w:rsidP="002936C1">
            <w:pPr>
              <w:jc w:val="center"/>
            </w:pPr>
            <w:r>
              <w:rPr>
                <w:sz w:val="20"/>
              </w:rPr>
              <w:t>Pooled results may hide state-dependent predictability</w:t>
            </w:r>
          </w:p>
        </w:tc>
        <w:tc>
          <w:tcPr>
            <w:tcW w:w="3705" w:type="dxa"/>
            <w:vAlign w:val="center"/>
          </w:tcPr>
          <w:p w14:paraId="0A4C424B" w14:textId="77777777" w:rsidR="00ED66A2" w:rsidRDefault="00000000" w:rsidP="002936C1">
            <w:pPr>
              <w:jc w:val="left"/>
            </w:pPr>
            <w:r>
              <w:rPr>
                <w:sz w:val="20"/>
              </w:rPr>
              <w:t>Partition held-out test predictions into High-VIX and Low-VIX regimes using contemporaneous India VIX</w:t>
            </w:r>
          </w:p>
        </w:tc>
      </w:tr>
      <w:tr w:rsidR="00ED66A2" w14:paraId="0849B7FA" w14:textId="77777777" w:rsidTr="002936C1">
        <w:trPr>
          <w:trHeight w:val="798"/>
          <w:jc w:val="center"/>
        </w:trPr>
        <w:tc>
          <w:tcPr>
            <w:tcW w:w="3123" w:type="dxa"/>
            <w:vAlign w:val="center"/>
          </w:tcPr>
          <w:p w14:paraId="20A1920E" w14:textId="77777777" w:rsidR="00ED66A2" w:rsidRDefault="00000000" w:rsidP="002936C1">
            <w:pPr>
              <w:jc w:val="center"/>
            </w:pPr>
            <w:r>
              <w:rPr>
                <w:sz w:val="20"/>
              </w:rPr>
              <w:t>Single-model claims dominate the literature</w:t>
            </w:r>
          </w:p>
        </w:tc>
        <w:tc>
          <w:tcPr>
            <w:tcW w:w="2851" w:type="dxa"/>
            <w:vAlign w:val="center"/>
          </w:tcPr>
          <w:p w14:paraId="716CE180" w14:textId="77777777" w:rsidR="00ED66A2" w:rsidRDefault="00000000" w:rsidP="002936C1">
            <w:pPr>
              <w:jc w:val="center"/>
            </w:pPr>
            <w:r>
              <w:rPr>
                <w:sz w:val="20"/>
              </w:rPr>
              <w:t>Apparent superiority may reflect model-specific inductive bias</w:t>
            </w:r>
          </w:p>
        </w:tc>
        <w:tc>
          <w:tcPr>
            <w:tcW w:w="3705" w:type="dxa"/>
            <w:vAlign w:val="center"/>
          </w:tcPr>
          <w:p w14:paraId="7913D119" w14:textId="77777777" w:rsidR="00ED66A2" w:rsidRDefault="00000000" w:rsidP="002936C1">
            <w:pPr>
              <w:jc w:val="left"/>
            </w:pPr>
            <w:r>
              <w:rPr>
                <w:sz w:val="20"/>
              </w:rPr>
              <w:t xml:space="preserve">Use a heterogeneous stacking ensemble with four tabular learners plus a </w:t>
            </w:r>
            <w:proofErr w:type="spellStart"/>
            <w:r>
              <w:rPr>
                <w:sz w:val="20"/>
              </w:rPr>
              <w:t>BiLSTM</w:t>
            </w:r>
            <w:proofErr w:type="spellEnd"/>
            <w:r>
              <w:rPr>
                <w:sz w:val="20"/>
              </w:rPr>
              <w:t xml:space="preserve"> sequence learner</w:t>
            </w:r>
          </w:p>
        </w:tc>
      </w:tr>
      <w:tr w:rsidR="00ED66A2" w14:paraId="1BBAE310" w14:textId="77777777" w:rsidTr="002936C1">
        <w:trPr>
          <w:trHeight w:val="781"/>
          <w:jc w:val="center"/>
        </w:trPr>
        <w:tc>
          <w:tcPr>
            <w:tcW w:w="3123" w:type="dxa"/>
            <w:vAlign w:val="center"/>
          </w:tcPr>
          <w:p w14:paraId="0F23AA18" w14:textId="77777777" w:rsidR="00ED66A2" w:rsidRDefault="00000000" w:rsidP="002936C1">
            <w:pPr>
              <w:jc w:val="center"/>
            </w:pPr>
            <w:r>
              <w:rPr>
                <w:sz w:val="20"/>
              </w:rPr>
              <w:t>Weak connection between prediction metrics and trading decisions</w:t>
            </w:r>
          </w:p>
        </w:tc>
        <w:tc>
          <w:tcPr>
            <w:tcW w:w="2851" w:type="dxa"/>
            <w:vAlign w:val="center"/>
          </w:tcPr>
          <w:p w14:paraId="66411E01" w14:textId="77777777" w:rsidR="00ED66A2" w:rsidRDefault="00000000" w:rsidP="002936C1">
            <w:pPr>
              <w:jc w:val="center"/>
            </w:pPr>
            <w:r>
              <w:rPr>
                <w:sz w:val="20"/>
              </w:rPr>
              <w:t>Statistically interesting results may be economically unusable</w:t>
            </w:r>
          </w:p>
        </w:tc>
        <w:tc>
          <w:tcPr>
            <w:tcW w:w="3705" w:type="dxa"/>
            <w:vAlign w:val="center"/>
          </w:tcPr>
          <w:p w14:paraId="6B28EA8C" w14:textId="77777777" w:rsidR="00ED66A2" w:rsidRDefault="00000000" w:rsidP="002936C1">
            <w:pPr>
              <w:jc w:val="left"/>
            </w:pPr>
            <w:r>
              <w:rPr>
                <w:sz w:val="20"/>
              </w:rPr>
              <w:t>Translate the signal into a selective long-only deployment rule and compare against benchmark strategies</w:t>
            </w:r>
          </w:p>
        </w:tc>
      </w:tr>
      <w:tr w:rsidR="00ED66A2" w14:paraId="2DD02B76" w14:textId="77777777" w:rsidTr="002936C1">
        <w:trPr>
          <w:trHeight w:val="798"/>
          <w:jc w:val="center"/>
        </w:trPr>
        <w:tc>
          <w:tcPr>
            <w:tcW w:w="3123" w:type="dxa"/>
            <w:vAlign w:val="center"/>
          </w:tcPr>
          <w:p w14:paraId="6BA5AD5C" w14:textId="77777777" w:rsidR="00ED66A2" w:rsidRDefault="00000000" w:rsidP="002936C1">
            <w:pPr>
              <w:jc w:val="center"/>
            </w:pPr>
            <w:r>
              <w:rPr>
                <w:sz w:val="20"/>
              </w:rPr>
              <w:t>Limited robustness reporting around regime findings</w:t>
            </w:r>
          </w:p>
        </w:tc>
        <w:tc>
          <w:tcPr>
            <w:tcW w:w="2851" w:type="dxa"/>
            <w:vAlign w:val="center"/>
          </w:tcPr>
          <w:p w14:paraId="4DF88660" w14:textId="77777777" w:rsidR="00ED66A2" w:rsidRDefault="00000000" w:rsidP="002936C1">
            <w:pPr>
              <w:jc w:val="center"/>
            </w:pPr>
            <w:r>
              <w:rPr>
                <w:sz w:val="20"/>
              </w:rPr>
              <w:t>Results may be threshold-specific or sample-fragile</w:t>
            </w:r>
          </w:p>
        </w:tc>
        <w:tc>
          <w:tcPr>
            <w:tcW w:w="3705" w:type="dxa"/>
            <w:vAlign w:val="center"/>
          </w:tcPr>
          <w:p w14:paraId="5247F6B4" w14:textId="77777777" w:rsidR="00ED66A2" w:rsidRDefault="00000000" w:rsidP="002936C1">
            <w:pPr>
              <w:jc w:val="left"/>
            </w:pPr>
            <w:r>
              <w:rPr>
                <w:sz w:val="20"/>
              </w:rPr>
              <w:t>Stress the result via threshold sensitivity, transaction costs, GARCH, bootstrap uncertainty, and cross-pipeline replication</w:t>
            </w:r>
          </w:p>
        </w:tc>
      </w:tr>
    </w:tbl>
    <w:p w14:paraId="26202011" w14:textId="77777777" w:rsidR="00ED66A2" w:rsidRDefault="00ED66A2"/>
    <w:p w14:paraId="397AE99E" w14:textId="77777777" w:rsidR="00ED66A2" w:rsidRDefault="00000000">
      <w:pPr>
        <w:pStyle w:val="Heading1"/>
      </w:pPr>
      <w:r>
        <w:rPr>
          <w:rFonts w:ascii="Times New Roman" w:hAnsi="Times New Roman"/>
        </w:rPr>
        <w:t>3. Data, Features, and Model Architecture</w:t>
      </w:r>
    </w:p>
    <w:p w14:paraId="3B612A24" w14:textId="77777777" w:rsidR="00ED66A2" w:rsidRDefault="00000000">
      <w:pPr>
        <w:pStyle w:val="Heading2"/>
      </w:pPr>
      <w:r>
        <w:rPr>
          <w:rFonts w:ascii="Times New Roman" w:hAnsi="Times New Roman"/>
        </w:rPr>
        <w:t>3.1. Data and sample construction</w:t>
      </w:r>
    </w:p>
    <w:p w14:paraId="199A7575" w14:textId="77777777" w:rsidR="00ED66A2" w:rsidRDefault="00000000">
      <w:pPr>
        <w:spacing w:after="80" w:line="360" w:lineRule="auto"/>
        <w:ind w:firstLine="360"/>
      </w:pPr>
      <w:r>
        <w:t>The empirical sample combines daily Bank Nifty OHLCV data and India VIX data over April 2016 to March 2026. Bank Nifty is used as the prediction target because it is both economically important and structurally sensitive to policy communication, credit expectations, and macro risk sentiment. India VIX is used as the regime indicator because it summarizes forward-looking uncertainty from the options market. The raw market history spans multiple macro episodes, which is important because a regime-conditioned finding is more credible when the training window includes heterogeneous states rather than one narrow cycle.</w:t>
      </w:r>
    </w:p>
    <w:p w14:paraId="5598BCD4" w14:textId="2B5A1445" w:rsidR="00ED66A2" w:rsidRDefault="00000000">
      <w:pPr>
        <w:spacing w:after="80" w:line="360" w:lineRule="auto"/>
        <w:ind w:firstLine="360"/>
      </w:pPr>
      <w:r>
        <w:t xml:space="preserve">A strict chronological split is maintained throughout the pipeline. </w:t>
      </w:r>
      <w:r w:rsidR="006C3E53">
        <w:t xml:space="preserve">The </w:t>
      </w:r>
      <w:r w:rsidR="006C3E53" w:rsidRPr="006C3E53">
        <w:t xml:space="preserve">Table 2 </w:t>
      </w:r>
      <w:r w:rsidR="006C3E53">
        <w:t>shows s</w:t>
      </w:r>
      <w:r w:rsidR="006C3E53" w:rsidRPr="006C3E53">
        <w:t>ample construction, temporal splits, and India VIX regime counts for the evaluation.</w:t>
      </w:r>
      <w:r w:rsidR="006C3E53">
        <w:t xml:space="preserve"> </w:t>
      </w:r>
      <w:r>
        <w:t xml:space="preserve">The training window runs from 23 May 2016 to 12 October 2023 and contains 1,410 trading days. The validation window runs from 20 October 2023 to 6 January 2025 and contains 297 trading days. The held-out test window runs from 14 January 2025 to 30 March 2026 and contains 277 trading days at the 21-day horizon. No row from the test set is used during feature scaling, model fitting, </w:t>
      </w:r>
      <w:r>
        <w:lastRenderedPageBreak/>
        <w:t>hyperparameter search, or meta-learner training. The test set therefore serves as the only surface on which the regime-conditioned result is measured.</w:t>
      </w:r>
    </w:p>
    <w:p w14:paraId="5F90FB1D" w14:textId="77777777" w:rsidR="00ED66A2" w:rsidRDefault="00000000">
      <w:pPr>
        <w:spacing w:after="80" w:line="360" w:lineRule="auto"/>
        <w:ind w:firstLine="360"/>
      </w:pPr>
      <w:r>
        <w:t>The 2025-2026 test interval is also substantively interesting because it contains a strong upward drift in Bank Nifty alongside a concentrated volatility episode. Unconditional performance metrics are therefore difficult to interpret on their own, since a majority-class predictor benefits from the bullish class imbalance. That is precisely why the regime partition is needed: it asks whether the ensemble becomes meaningfully more trustworthy during the subset of dates where implied volatility is elevated, rather than whether it beats a naive classifier on average across a trend-heavy sample.</w:t>
      </w:r>
    </w:p>
    <w:p w14:paraId="57FE692A" w14:textId="77777777" w:rsidR="00ED66A2" w:rsidRPr="006A7AAE" w:rsidRDefault="00000000" w:rsidP="006A7AAE">
      <w:pPr>
        <w:spacing w:before="80" w:after="80"/>
        <w:jc w:val="center"/>
        <w:rPr>
          <w:iCs/>
        </w:rPr>
      </w:pPr>
      <w:r w:rsidRPr="006A7AAE">
        <w:rPr>
          <w:iCs/>
          <w:sz w:val="20"/>
        </w:rPr>
        <w:t>Table 2. Sample construction, temporal splits, and India VIX regime counts for the evaluation.</w:t>
      </w:r>
    </w:p>
    <w:tbl>
      <w:tblPr>
        <w:tblStyle w:val="TableGrid"/>
        <w:tblW w:w="0" w:type="auto"/>
        <w:jc w:val="center"/>
        <w:tblLook w:val="04A0" w:firstRow="1" w:lastRow="0" w:firstColumn="1" w:lastColumn="0" w:noHBand="0" w:noVBand="1"/>
      </w:tblPr>
      <w:tblGrid>
        <w:gridCol w:w="1978"/>
        <w:gridCol w:w="2521"/>
        <w:gridCol w:w="1279"/>
        <w:gridCol w:w="3781"/>
      </w:tblGrid>
      <w:tr w:rsidR="00ED66A2" w14:paraId="1C29C927" w14:textId="77777777" w:rsidTr="00040C97">
        <w:trPr>
          <w:trHeight w:val="564"/>
          <w:jc w:val="center"/>
        </w:trPr>
        <w:tc>
          <w:tcPr>
            <w:tcW w:w="1978" w:type="dxa"/>
            <w:vAlign w:val="center"/>
          </w:tcPr>
          <w:p w14:paraId="56156419" w14:textId="77777777" w:rsidR="00ED66A2" w:rsidRDefault="00000000" w:rsidP="00040C97">
            <w:pPr>
              <w:jc w:val="center"/>
            </w:pPr>
            <w:r>
              <w:rPr>
                <w:b/>
                <w:sz w:val="20"/>
              </w:rPr>
              <w:t>Split / regime</w:t>
            </w:r>
          </w:p>
        </w:tc>
        <w:tc>
          <w:tcPr>
            <w:tcW w:w="2521" w:type="dxa"/>
            <w:vAlign w:val="center"/>
          </w:tcPr>
          <w:p w14:paraId="0DADE5E2" w14:textId="77777777" w:rsidR="00ED66A2" w:rsidRDefault="00000000" w:rsidP="00040C97">
            <w:pPr>
              <w:jc w:val="center"/>
            </w:pPr>
            <w:r>
              <w:rPr>
                <w:b/>
                <w:sz w:val="20"/>
              </w:rPr>
              <w:t>Date range</w:t>
            </w:r>
          </w:p>
        </w:tc>
        <w:tc>
          <w:tcPr>
            <w:tcW w:w="1279" w:type="dxa"/>
            <w:vAlign w:val="center"/>
          </w:tcPr>
          <w:p w14:paraId="6358B790" w14:textId="77777777" w:rsidR="00ED66A2" w:rsidRDefault="00000000" w:rsidP="00040C97">
            <w:pPr>
              <w:jc w:val="center"/>
            </w:pPr>
            <w:r>
              <w:rPr>
                <w:b/>
                <w:sz w:val="20"/>
              </w:rPr>
              <w:t>Trading days</w:t>
            </w:r>
          </w:p>
        </w:tc>
        <w:tc>
          <w:tcPr>
            <w:tcW w:w="3781" w:type="dxa"/>
            <w:vAlign w:val="center"/>
          </w:tcPr>
          <w:p w14:paraId="5D86EC72" w14:textId="77777777" w:rsidR="00ED66A2" w:rsidRDefault="00000000" w:rsidP="00040C97">
            <w:pPr>
              <w:jc w:val="center"/>
            </w:pPr>
            <w:r>
              <w:rPr>
                <w:b/>
                <w:sz w:val="20"/>
              </w:rPr>
              <w:t>Comment</w:t>
            </w:r>
          </w:p>
        </w:tc>
      </w:tr>
      <w:tr w:rsidR="00ED66A2" w14:paraId="484383DA" w14:textId="77777777" w:rsidTr="00040C97">
        <w:trPr>
          <w:trHeight w:val="582"/>
          <w:jc w:val="center"/>
        </w:trPr>
        <w:tc>
          <w:tcPr>
            <w:tcW w:w="1978" w:type="dxa"/>
            <w:vAlign w:val="center"/>
          </w:tcPr>
          <w:p w14:paraId="0A169AB0" w14:textId="77777777" w:rsidR="00ED66A2" w:rsidRDefault="00000000" w:rsidP="00040C97">
            <w:pPr>
              <w:jc w:val="center"/>
            </w:pPr>
            <w:r>
              <w:rPr>
                <w:sz w:val="20"/>
              </w:rPr>
              <w:t>Training</w:t>
            </w:r>
          </w:p>
        </w:tc>
        <w:tc>
          <w:tcPr>
            <w:tcW w:w="2521" w:type="dxa"/>
            <w:vAlign w:val="center"/>
          </w:tcPr>
          <w:p w14:paraId="20390A49" w14:textId="77777777" w:rsidR="00ED66A2" w:rsidRDefault="00000000" w:rsidP="00040C97">
            <w:pPr>
              <w:jc w:val="center"/>
            </w:pPr>
            <w:r>
              <w:rPr>
                <w:sz w:val="20"/>
              </w:rPr>
              <w:t>2016-05-23 to 2023-10-12</w:t>
            </w:r>
          </w:p>
        </w:tc>
        <w:tc>
          <w:tcPr>
            <w:tcW w:w="1279" w:type="dxa"/>
            <w:vAlign w:val="center"/>
          </w:tcPr>
          <w:p w14:paraId="474C5CC6" w14:textId="77777777" w:rsidR="00ED66A2" w:rsidRDefault="00000000" w:rsidP="00040C97">
            <w:pPr>
              <w:jc w:val="center"/>
            </w:pPr>
            <w:r>
              <w:rPr>
                <w:sz w:val="20"/>
              </w:rPr>
              <w:t>1,410</w:t>
            </w:r>
          </w:p>
        </w:tc>
        <w:tc>
          <w:tcPr>
            <w:tcW w:w="3781" w:type="dxa"/>
            <w:vAlign w:val="center"/>
          </w:tcPr>
          <w:p w14:paraId="578FF1FE" w14:textId="77777777" w:rsidR="00ED66A2" w:rsidRDefault="00000000" w:rsidP="00040C97">
            <w:pPr>
              <w:jc w:val="left"/>
            </w:pPr>
            <w:r>
              <w:rPr>
                <w:sz w:val="20"/>
              </w:rPr>
              <w:t>Used for feature scaling, base learners, and time-series CV</w:t>
            </w:r>
          </w:p>
        </w:tc>
      </w:tr>
      <w:tr w:rsidR="00ED66A2" w14:paraId="35E8F4F3" w14:textId="77777777" w:rsidTr="00040C97">
        <w:trPr>
          <w:trHeight w:val="564"/>
          <w:jc w:val="center"/>
        </w:trPr>
        <w:tc>
          <w:tcPr>
            <w:tcW w:w="1978" w:type="dxa"/>
            <w:vAlign w:val="center"/>
          </w:tcPr>
          <w:p w14:paraId="61260F38" w14:textId="77777777" w:rsidR="00ED66A2" w:rsidRDefault="00000000" w:rsidP="00040C97">
            <w:pPr>
              <w:jc w:val="center"/>
            </w:pPr>
            <w:r>
              <w:rPr>
                <w:sz w:val="20"/>
              </w:rPr>
              <w:t>Validation</w:t>
            </w:r>
          </w:p>
        </w:tc>
        <w:tc>
          <w:tcPr>
            <w:tcW w:w="2521" w:type="dxa"/>
            <w:vAlign w:val="center"/>
          </w:tcPr>
          <w:p w14:paraId="0C22CD0F" w14:textId="77777777" w:rsidR="00ED66A2" w:rsidRDefault="00000000" w:rsidP="00040C97">
            <w:pPr>
              <w:jc w:val="center"/>
            </w:pPr>
            <w:r>
              <w:rPr>
                <w:sz w:val="20"/>
              </w:rPr>
              <w:t>2023-10-20 to 2025-01-06</w:t>
            </w:r>
          </w:p>
        </w:tc>
        <w:tc>
          <w:tcPr>
            <w:tcW w:w="1279" w:type="dxa"/>
            <w:vAlign w:val="center"/>
          </w:tcPr>
          <w:p w14:paraId="2E2179A3" w14:textId="77777777" w:rsidR="00ED66A2" w:rsidRDefault="00000000" w:rsidP="00040C97">
            <w:pPr>
              <w:jc w:val="center"/>
            </w:pPr>
            <w:r>
              <w:rPr>
                <w:sz w:val="20"/>
              </w:rPr>
              <w:t>297</w:t>
            </w:r>
          </w:p>
        </w:tc>
        <w:tc>
          <w:tcPr>
            <w:tcW w:w="3781" w:type="dxa"/>
            <w:vAlign w:val="center"/>
          </w:tcPr>
          <w:p w14:paraId="55443D1A" w14:textId="77777777" w:rsidR="00ED66A2" w:rsidRDefault="00000000" w:rsidP="00040C97">
            <w:pPr>
              <w:jc w:val="left"/>
            </w:pPr>
            <w:r>
              <w:rPr>
                <w:sz w:val="20"/>
              </w:rPr>
              <w:t>Used for tuning decisions and early stopping</w:t>
            </w:r>
          </w:p>
        </w:tc>
      </w:tr>
      <w:tr w:rsidR="00ED66A2" w14:paraId="06B0C7C7" w14:textId="77777777" w:rsidTr="00040C97">
        <w:trPr>
          <w:trHeight w:val="282"/>
          <w:jc w:val="center"/>
        </w:trPr>
        <w:tc>
          <w:tcPr>
            <w:tcW w:w="1978" w:type="dxa"/>
            <w:vAlign w:val="center"/>
          </w:tcPr>
          <w:p w14:paraId="4509D456" w14:textId="77777777" w:rsidR="00ED66A2" w:rsidRDefault="00000000" w:rsidP="00040C97">
            <w:pPr>
              <w:jc w:val="center"/>
            </w:pPr>
            <w:r>
              <w:rPr>
                <w:sz w:val="20"/>
              </w:rPr>
              <w:t>Test</w:t>
            </w:r>
          </w:p>
        </w:tc>
        <w:tc>
          <w:tcPr>
            <w:tcW w:w="2521" w:type="dxa"/>
            <w:vAlign w:val="center"/>
          </w:tcPr>
          <w:p w14:paraId="2523BAB7" w14:textId="77777777" w:rsidR="00ED66A2" w:rsidRDefault="00000000" w:rsidP="00040C97">
            <w:pPr>
              <w:jc w:val="center"/>
            </w:pPr>
            <w:r>
              <w:rPr>
                <w:sz w:val="20"/>
              </w:rPr>
              <w:t>2025-01-14 to 2026-03-30</w:t>
            </w:r>
          </w:p>
        </w:tc>
        <w:tc>
          <w:tcPr>
            <w:tcW w:w="1279" w:type="dxa"/>
            <w:vAlign w:val="center"/>
          </w:tcPr>
          <w:p w14:paraId="66BEBF4B" w14:textId="77777777" w:rsidR="00ED66A2" w:rsidRDefault="00000000" w:rsidP="00040C97">
            <w:pPr>
              <w:jc w:val="center"/>
            </w:pPr>
            <w:r>
              <w:rPr>
                <w:sz w:val="20"/>
              </w:rPr>
              <w:t>277</w:t>
            </w:r>
          </w:p>
        </w:tc>
        <w:tc>
          <w:tcPr>
            <w:tcW w:w="3781" w:type="dxa"/>
            <w:vAlign w:val="center"/>
          </w:tcPr>
          <w:p w14:paraId="3EBD7EA8" w14:textId="77777777" w:rsidR="00ED66A2" w:rsidRDefault="00000000" w:rsidP="00040C97">
            <w:pPr>
              <w:jc w:val="left"/>
            </w:pPr>
            <w:r>
              <w:rPr>
                <w:sz w:val="20"/>
              </w:rPr>
              <w:t>Strictly held out for final evaluation</w:t>
            </w:r>
          </w:p>
        </w:tc>
      </w:tr>
      <w:tr w:rsidR="00ED66A2" w14:paraId="08E59DD2" w14:textId="77777777" w:rsidTr="00040C97">
        <w:trPr>
          <w:trHeight w:val="282"/>
          <w:jc w:val="center"/>
        </w:trPr>
        <w:tc>
          <w:tcPr>
            <w:tcW w:w="1978" w:type="dxa"/>
            <w:vAlign w:val="center"/>
          </w:tcPr>
          <w:p w14:paraId="46ECE17A" w14:textId="77777777" w:rsidR="00ED66A2" w:rsidRDefault="00000000" w:rsidP="00040C97">
            <w:pPr>
              <w:jc w:val="center"/>
            </w:pPr>
            <w:r>
              <w:rPr>
                <w:sz w:val="20"/>
              </w:rPr>
              <w:t>High-VIX test days</w:t>
            </w:r>
          </w:p>
        </w:tc>
        <w:tc>
          <w:tcPr>
            <w:tcW w:w="2521" w:type="dxa"/>
            <w:vAlign w:val="center"/>
          </w:tcPr>
          <w:p w14:paraId="0892EA67" w14:textId="77777777" w:rsidR="00ED66A2" w:rsidRDefault="00000000" w:rsidP="00040C97">
            <w:pPr>
              <w:jc w:val="center"/>
            </w:pPr>
            <w:r>
              <w:rPr>
                <w:sz w:val="20"/>
              </w:rPr>
              <w:t>VIX &gt;= 15.08</w:t>
            </w:r>
          </w:p>
        </w:tc>
        <w:tc>
          <w:tcPr>
            <w:tcW w:w="1279" w:type="dxa"/>
            <w:vAlign w:val="center"/>
          </w:tcPr>
          <w:p w14:paraId="0737262C" w14:textId="77777777" w:rsidR="00ED66A2" w:rsidRDefault="00000000" w:rsidP="00040C97">
            <w:pPr>
              <w:jc w:val="center"/>
            </w:pPr>
            <w:r>
              <w:rPr>
                <w:sz w:val="20"/>
              </w:rPr>
              <w:t>58</w:t>
            </w:r>
          </w:p>
        </w:tc>
        <w:tc>
          <w:tcPr>
            <w:tcW w:w="3781" w:type="dxa"/>
            <w:vAlign w:val="center"/>
          </w:tcPr>
          <w:p w14:paraId="69C014AA" w14:textId="77777777" w:rsidR="00ED66A2" w:rsidRDefault="00000000" w:rsidP="00040C97">
            <w:pPr>
              <w:jc w:val="left"/>
            </w:pPr>
            <w:r>
              <w:rPr>
                <w:sz w:val="20"/>
              </w:rPr>
              <w:t>20.9% of the test period</w:t>
            </w:r>
          </w:p>
        </w:tc>
      </w:tr>
      <w:tr w:rsidR="00ED66A2" w14:paraId="11635AE3" w14:textId="77777777" w:rsidTr="00040C97">
        <w:trPr>
          <w:trHeight w:val="282"/>
          <w:jc w:val="center"/>
        </w:trPr>
        <w:tc>
          <w:tcPr>
            <w:tcW w:w="1978" w:type="dxa"/>
            <w:vAlign w:val="center"/>
          </w:tcPr>
          <w:p w14:paraId="6BE42F84" w14:textId="77777777" w:rsidR="00ED66A2" w:rsidRDefault="00000000" w:rsidP="00040C97">
            <w:pPr>
              <w:jc w:val="center"/>
            </w:pPr>
            <w:r>
              <w:rPr>
                <w:sz w:val="20"/>
              </w:rPr>
              <w:t>Low-VIX test days</w:t>
            </w:r>
          </w:p>
        </w:tc>
        <w:tc>
          <w:tcPr>
            <w:tcW w:w="2521" w:type="dxa"/>
            <w:vAlign w:val="center"/>
          </w:tcPr>
          <w:p w14:paraId="2BFFDDEE" w14:textId="77777777" w:rsidR="00ED66A2" w:rsidRDefault="00000000" w:rsidP="00040C97">
            <w:pPr>
              <w:jc w:val="center"/>
            </w:pPr>
            <w:r>
              <w:rPr>
                <w:sz w:val="20"/>
              </w:rPr>
              <w:t>VIX &lt; 15.08</w:t>
            </w:r>
          </w:p>
        </w:tc>
        <w:tc>
          <w:tcPr>
            <w:tcW w:w="1279" w:type="dxa"/>
            <w:vAlign w:val="center"/>
          </w:tcPr>
          <w:p w14:paraId="11F1BA6C" w14:textId="77777777" w:rsidR="00ED66A2" w:rsidRDefault="00000000" w:rsidP="00040C97">
            <w:pPr>
              <w:jc w:val="center"/>
            </w:pPr>
            <w:r>
              <w:rPr>
                <w:sz w:val="20"/>
              </w:rPr>
              <w:t>219</w:t>
            </w:r>
          </w:p>
        </w:tc>
        <w:tc>
          <w:tcPr>
            <w:tcW w:w="3781" w:type="dxa"/>
            <w:vAlign w:val="center"/>
          </w:tcPr>
          <w:p w14:paraId="0189753D" w14:textId="77777777" w:rsidR="00ED66A2" w:rsidRDefault="00000000" w:rsidP="00040C97">
            <w:pPr>
              <w:jc w:val="left"/>
            </w:pPr>
            <w:r>
              <w:rPr>
                <w:sz w:val="20"/>
              </w:rPr>
              <w:t>79.1% of the test period</w:t>
            </w:r>
          </w:p>
        </w:tc>
      </w:tr>
    </w:tbl>
    <w:p w14:paraId="2BA27302" w14:textId="77777777" w:rsidR="00ED66A2" w:rsidRDefault="00ED66A2"/>
    <w:p w14:paraId="1222F014" w14:textId="77777777" w:rsidR="00ED66A2" w:rsidRDefault="00000000">
      <w:pPr>
        <w:pStyle w:val="Heading2"/>
      </w:pPr>
      <w:r>
        <w:rPr>
          <w:rFonts w:ascii="Times New Roman" w:hAnsi="Times New Roman"/>
        </w:rPr>
        <w:t>3.2. Prediction targets and feature engineering</w:t>
      </w:r>
    </w:p>
    <w:p w14:paraId="6160F103" w14:textId="77777777" w:rsidR="00ED66A2" w:rsidRDefault="00000000">
      <w:pPr>
        <w:spacing w:after="80" w:line="360" w:lineRule="auto"/>
        <w:ind w:firstLine="360"/>
      </w:pPr>
      <w:r>
        <w:t xml:space="preserve">The primary target is a binary 21-trading-day direction label equal to one when close(t+21) exceeds close(t) and zero otherwise. The same pipeline is also evaluated at 1-day and 5-day horizons to test whether any regime effect </w:t>
      </w:r>
      <w:proofErr w:type="spellStart"/>
      <w:r>
        <w:t>generalises</w:t>
      </w:r>
      <w:proofErr w:type="spellEnd"/>
      <w:r>
        <w:t xml:space="preserve"> across forecast lengths. The 21-day horizon is economically meaningful because it approximates a medium-term tactical holding window rather than intraday noise or near-random next-day variation. Class balance is reasonable in the train and validation periods but becomes strongly upward-biased in the test sample, which again motivates the use of regime-conditioned and threshold-free diagnostics alongside simple accuracy.</w:t>
      </w:r>
    </w:p>
    <w:p w14:paraId="5F0AFC0F" w14:textId="79E35CA9" w:rsidR="00ED66A2" w:rsidRDefault="00AB2B89">
      <w:pPr>
        <w:spacing w:after="80" w:line="360" w:lineRule="auto"/>
        <w:ind w:firstLine="360"/>
      </w:pPr>
      <w:r>
        <w:t xml:space="preserve">In </w:t>
      </w:r>
      <w:r w:rsidRPr="00AB2B89">
        <w:t>Table 3</w:t>
      </w:r>
      <w:r>
        <w:t>,</w:t>
      </w:r>
      <w:r w:rsidRPr="00AB2B89">
        <w:t xml:space="preserve"> </w:t>
      </w:r>
      <w:r>
        <w:t>f</w:t>
      </w:r>
      <w:r w:rsidRPr="00AB2B89">
        <w:t>eature families and their forecasting role in the stacking pipeline</w:t>
      </w:r>
      <w:r>
        <w:t xml:space="preserve"> is shown</w:t>
      </w:r>
      <w:r w:rsidRPr="00AB2B89">
        <w:t>.</w:t>
      </w:r>
      <w:r>
        <w:t xml:space="preserve"> The feature set contains sixteen leakage-safe technical indicators constructed from Bank Nifty OHLCV data: MACD line, signal line, histogram, EMA-20, RSI-14, stochastic </w:t>
      </w:r>
      <w:r w:rsidR="00541B59">
        <w:t>%</w:t>
      </w:r>
      <w:r>
        <w:t xml:space="preserve">K, stochastic </w:t>
      </w:r>
      <w:r w:rsidR="00541B59">
        <w:t>%</w:t>
      </w:r>
      <w:r>
        <w:t>D, ROC-10, Bollinger upper band, Bollinger lower band, Bollinger width, ATR-14, and log-</w:t>
      </w:r>
      <w:r>
        <w:lastRenderedPageBreak/>
        <w:t xml:space="preserve">return lags at 1, 2, 3, and 5 days. Every feature at date t is computed only from information available up to and including t. A </w:t>
      </w:r>
      <w:proofErr w:type="spellStart"/>
      <w:r>
        <w:t>StandardScaler</w:t>
      </w:r>
      <w:proofErr w:type="spellEnd"/>
      <w:r>
        <w:t xml:space="preserve"> is fit on the training set alone and then applied to validation and test rows. This preserves temporal causality and prevents future information from leaking backward through the scaling step.</w:t>
      </w:r>
    </w:p>
    <w:p w14:paraId="4374A643" w14:textId="77777777" w:rsidR="00ED66A2" w:rsidRDefault="00000000">
      <w:pPr>
        <w:spacing w:after="80" w:line="360" w:lineRule="auto"/>
        <w:ind w:firstLine="360"/>
      </w:pPr>
      <w:r>
        <w:t>The design deliberately avoids alternative data, news sentiment, and macro features in the core experiment. That restriction serves two purposes. First, it keeps the paper focused on whether a volatility regime filter alone can reveal conditional predictability in an otherwise technical-only forecasting pipeline. Second, it preserves interpretability. If the result already appears in a parsimonious feature space, the regime mechanism is easier to explain than if the signal were entangled with a much broader multimodal feature stack. Sentiment and event-based augmentation remain natural future extensions but are not necessary to establish the baseline phenomenon studied here.</w:t>
      </w:r>
    </w:p>
    <w:p w14:paraId="6D1B37DF" w14:textId="77777777" w:rsidR="00ED66A2" w:rsidRPr="001A1C9C" w:rsidRDefault="00000000" w:rsidP="001A1C9C">
      <w:pPr>
        <w:spacing w:before="80" w:after="80"/>
        <w:jc w:val="center"/>
        <w:rPr>
          <w:iCs/>
        </w:rPr>
      </w:pPr>
      <w:r w:rsidRPr="001A1C9C">
        <w:rPr>
          <w:iCs/>
          <w:sz w:val="20"/>
        </w:rPr>
        <w:t>Table 3. Feature families and their forecasting role in the stacking pipeline.</w:t>
      </w:r>
    </w:p>
    <w:tbl>
      <w:tblPr>
        <w:tblStyle w:val="TableGrid"/>
        <w:tblW w:w="0" w:type="auto"/>
        <w:jc w:val="center"/>
        <w:tblLook w:val="04A0" w:firstRow="1" w:lastRow="0" w:firstColumn="1" w:lastColumn="0" w:noHBand="0" w:noVBand="1"/>
      </w:tblPr>
      <w:tblGrid>
        <w:gridCol w:w="1893"/>
        <w:gridCol w:w="3642"/>
        <w:gridCol w:w="3496"/>
      </w:tblGrid>
      <w:tr w:rsidR="00ED66A2" w14:paraId="25C58C14" w14:textId="77777777" w:rsidTr="001A1C9C">
        <w:trPr>
          <w:trHeight w:val="290"/>
          <w:jc w:val="center"/>
        </w:trPr>
        <w:tc>
          <w:tcPr>
            <w:tcW w:w="1893" w:type="dxa"/>
            <w:vAlign w:val="center"/>
          </w:tcPr>
          <w:p w14:paraId="483B568E" w14:textId="77777777" w:rsidR="00ED66A2" w:rsidRDefault="00000000" w:rsidP="001A1C9C">
            <w:pPr>
              <w:jc w:val="center"/>
            </w:pPr>
            <w:r>
              <w:rPr>
                <w:b/>
                <w:sz w:val="20"/>
              </w:rPr>
              <w:t>Feature family</w:t>
            </w:r>
          </w:p>
        </w:tc>
        <w:tc>
          <w:tcPr>
            <w:tcW w:w="3642" w:type="dxa"/>
            <w:vAlign w:val="center"/>
          </w:tcPr>
          <w:p w14:paraId="277458D5" w14:textId="77777777" w:rsidR="00ED66A2" w:rsidRDefault="00000000" w:rsidP="001A1C9C">
            <w:pPr>
              <w:jc w:val="center"/>
            </w:pPr>
            <w:r>
              <w:rPr>
                <w:b/>
                <w:sz w:val="20"/>
              </w:rPr>
              <w:t>Variables</w:t>
            </w:r>
          </w:p>
        </w:tc>
        <w:tc>
          <w:tcPr>
            <w:tcW w:w="3496" w:type="dxa"/>
            <w:vAlign w:val="center"/>
          </w:tcPr>
          <w:p w14:paraId="3580B5A7" w14:textId="77777777" w:rsidR="00ED66A2" w:rsidRDefault="00000000" w:rsidP="001A1C9C">
            <w:pPr>
              <w:jc w:val="center"/>
            </w:pPr>
            <w:r>
              <w:rPr>
                <w:b/>
                <w:sz w:val="20"/>
              </w:rPr>
              <w:t>Economic role</w:t>
            </w:r>
          </w:p>
        </w:tc>
      </w:tr>
      <w:tr w:rsidR="00ED66A2" w14:paraId="3437DC4D" w14:textId="77777777" w:rsidTr="001A1C9C">
        <w:trPr>
          <w:trHeight w:val="580"/>
          <w:jc w:val="center"/>
        </w:trPr>
        <w:tc>
          <w:tcPr>
            <w:tcW w:w="1893" w:type="dxa"/>
            <w:vAlign w:val="center"/>
          </w:tcPr>
          <w:p w14:paraId="269BAEE3" w14:textId="77777777" w:rsidR="00ED66A2" w:rsidRDefault="00000000" w:rsidP="001A1C9C">
            <w:pPr>
              <w:jc w:val="center"/>
            </w:pPr>
            <w:r>
              <w:rPr>
                <w:sz w:val="20"/>
              </w:rPr>
              <w:t>Trend</w:t>
            </w:r>
          </w:p>
        </w:tc>
        <w:tc>
          <w:tcPr>
            <w:tcW w:w="3642" w:type="dxa"/>
            <w:vAlign w:val="center"/>
          </w:tcPr>
          <w:p w14:paraId="3D910937" w14:textId="77777777" w:rsidR="00ED66A2" w:rsidRDefault="00000000" w:rsidP="001A1C9C">
            <w:pPr>
              <w:jc w:val="center"/>
            </w:pPr>
            <w:r>
              <w:rPr>
                <w:sz w:val="20"/>
              </w:rPr>
              <w:t>EMA-20, MACD line, MACD signal, MACD histogram</w:t>
            </w:r>
          </w:p>
        </w:tc>
        <w:tc>
          <w:tcPr>
            <w:tcW w:w="3496" w:type="dxa"/>
            <w:vAlign w:val="center"/>
          </w:tcPr>
          <w:p w14:paraId="001B5927" w14:textId="77777777" w:rsidR="00ED66A2" w:rsidRDefault="00000000" w:rsidP="001A1C9C">
            <w:pPr>
              <w:jc w:val="left"/>
            </w:pPr>
            <w:r>
              <w:rPr>
                <w:sz w:val="20"/>
              </w:rPr>
              <w:t>Capture medium-term direction and crossover intensity</w:t>
            </w:r>
          </w:p>
        </w:tc>
      </w:tr>
      <w:tr w:rsidR="00ED66A2" w14:paraId="50D3B829" w14:textId="77777777" w:rsidTr="001A1C9C">
        <w:trPr>
          <w:trHeight w:val="600"/>
          <w:jc w:val="center"/>
        </w:trPr>
        <w:tc>
          <w:tcPr>
            <w:tcW w:w="1893" w:type="dxa"/>
            <w:vAlign w:val="center"/>
          </w:tcPr>
          <w:p w14:paraId="5E0B331D" w14:textId="77777777" w:rsidR="00ED66A2" w:rsidRDefault="00000000" w:rsidP="001A1C9C">
            <w:pPr>
              <w:jc w:val="center"/>
            </w:pPr>
            <w:r>
              <w:rPr>
                <w:sz w:val="20"/>
              </w:rPr>
              <w:t>Momentum</w:t>
            </w:r>
          </w:p>
        </w:tc>
        <w:tc>
          <w:tcPr>
            <w:tcW w:w="3642" w:type="dxa"/>
            <w:vAlign w:val="center"/>
          </w:tcPr>
          <w:p w14:paraId="6EB4D026" w14:textId="77777777" w:rsidR="00ED66A2" w:rsidRDefault="00000000" w:rsidP="001A1C9C">
            <w:pPr>
              <w:jc w:val="center"/>
            </w:pPr>
            <w:r>
              <w:rPr>
                <w:sz w:val="20"/>
              </w:rPr>
              <w:t>RSI-14, stochastic %K, stochastic %D, ROC-10</w:t>
            </w:r>
          </w:p>
        </w:tc>
        <w:tc>
          <w:tcPr>
            <w:tcW w:w="3496" w:type="dxa"/>
            <w:vAlign w:val="center"/>
          </w:tcPr>
          <w:p w14:paraId="29A2423C" w14:textId="77777777" w:rsidR="00ED66A2" w:rsidRDefault="00000000" w:rsidP="001A1C9C">
            <w:pPr>
              <w:jc w:val="left"/>
            </w:pPr>
            <w:r>
              <w:rPr>
                <w:sz w:val="20"/>
              </w:rPr>
              <w:t>Measure directional persistence and overbought-oversold pressure</w:t>
            </w:r>
          </w:p>
        </w:tc>
      </w:tr>
      <w:tr w:rsidR="00ED66A2" w14:paraId="56DD0050" w14:textId="77777777" w:rsidTr="001A1C9C">
        <w:trPr>
          <w:trHeight w:val="580"/>
          <w:jc w:val="center"/>
        </w:trPr>
        <w:tc>
          <w:tcPr>
            <w:tcW w:w="1893" w:type="dxa"/>
            <w:vAlign w:val="center"/>
          </w:tcPr>
          <w:p w14:paraId="654CD7DB" w14:textId="77777777" w:rsidR="00ED66A2" w:rsidRDefault="00000000" w:rsidP="001A1C9C">
            <w:pPr>
              <w:jc w:val="center"/>
            </w:pPr>
            <w:r>
              <w:rPr>
                <w:sz w:val="20"/>
              </w:rPr>
              <w:t>Volatility</w:t>
            </w:r>
          </w:p>
        </w:tc>
        <w:tc>
          <w:tcPr>
            <w:tcW w:w="3642" w:type="dxa"/>
            <w:vAlign w:val="center"/>
          </w:tcPr>
          <w:p w14:paraId="5001DA07" w14:textId="77777777" w:rsidR="00ED66A2" w:rsidRDefault="00000000" w:rsidP="001A1C9C">
            <w:pPr>
              <w:jc w:val="center"/>
            </w:pPr>
            <w:r>
              <w:rPr>
                <w:sz w:val="20"/>
              </w:rPr>
              <w:t>ATR-14, Bollinger upper, lower, width</w:t>
            </w:r>
          </w:p>
        </w:tc>
        <w:tc>
          <w:tcPr>
            <w:tcW w:w="3496" w:type="dxa"/>
            <w:vAlign w:val="center"/>
          </w:tcPr>
          <w:p w14:paraId="721626D7" w14:textId="77777777" w:rsidR="00ED66A2" w:rsidRDefault="00000000" w:rsidP="001A1C9C">
            <w:pPr>
              <w:jc w:val="left"/>
            </w:pPr>
            <w:r>
              <w:rPr>
                <w:sz w:val="20"/>
              </w:rPr>
              <w:t>Track dispersion and breakout conditions</w:t>
            </w:r>
          </w:p>
        </w:tc>
      </w:tr>
      <w:tr w:rsidR="00ED66A2" w14:paraId="42BF009F" w14:textId="77777777" w:rsidTr="001A1C9C">
        <w:trPr>
          <w:trHeight w:val="580"/>
          <w:jc w:val="center"/>
        </w:trPr>
        <w:tc>
          <w:tcPr>
            <w:tcW w:w="1893" w:type="dxa"/>
            <w:vAlign w:val="center"/>
          </w:tcPr>
          <w:p w14:paraId="7761E0CA" w14:textId="77777777" w:rsidR="00ED66A2" w:rsidRDefault="00000000" w:rsidP="001A1C9C">
            <w:pPr>
              <w:jc w:val="center"/>
            </w:pPr>
            <w:r>
              <w:rPr>
                <w:sz w:val="20"/>
              </w:rPr>
              <w:t>Short-memory returns</w:t>
            </w:r>
          </w:p>
        </w:tc>
        <w:tc>
          <w:tcPr>
            <w:tcW w:w="3642" w:type="dxa"/>
            <w:vAlign w:val="center"/>
          </w:tcPr>
          <w:p w14:paraId="00F99C86" w14:textId="77777777" w:rsidR="00ED66A2" w:rsidRDefault="00000000" w:rsidP="001A1C9C">
            <w:pPr>
              <w:jc w:val="center"/>
            </w:pPr>
            <w:r>
              <w:rPr>
                <w:sz w:val="20"/>
              </w:rPr>
              <w:t>Log-return lags 1, 2, 3, 5</w:t>
            </w:r>
          </w:p>
        </w:tc>
        <w:tc>
          <w:tcPr>
            <w:tcW w:w="3496" w:type="dxa"/>
            <w:vAlign w:val="center"/>
          </w:tcPr>
          <w:p w14:paraId="02F66CF7" w14:textId="77777777" w:rsidR="00ED66A2" w:rsidRDefault="00000000" w:rsidP="001A1C9C">
            <w:pPr>
              <w:jc w:val="left"/>
            </w:pPr>
            <w:r>
              <w:rPr>
                <w:sz w:val="20"/>
              </w:rPr>
              <w:t>Preserve recent directional state for tabular and sequence learners</w:t>
            </w:r>
          </w:p>
        </w:tc>
      </w:tr>
    </w:tbl>
    <w:p w14:paraId="34879E47" w14:textId="77777777" w:rsidR="00ED66A2" w:rsidRDefault="00ED66A2"/>
    <w:p w14:paraId="51CFD219" w14:textId="77777777" w:rsidR="00ED66A2" w:rsidRDefault="00000000">
      <w:pPr>
        <w:pStyle w:val="Heading2"/>
      </w:pPr>
      <w:r>
        <w:rPr>
          <w:rFonts w:ascii="Times New Roman" w:hAnsi="Times New Roman"/>
        </w:rPr>
        <w:t>3.3. Stacking ensemble and sequence learner</w:t>
      </w:r>
    </w:p>
    <w:p w14:paraId="2CBBEDCA" w14:textId="52140C73" w:rsidR="00ED66A2" w:rsidRDefault="00000000">
      <w:pPr>
        <w:spacing w:after="80" w:line="360" w:lineRule="auto"/>
        <w:ind w:firstLine="360"/>
      </w:pPr>
      <w:r>
        <w:t xml:space="preserve">The predictive engine is a two-level stacking ensemble designed to diversify modelling assumptions. Four tabular base learners are trained on the engineered indicators: XGBoost, LightGBM, Random Forest, and </w:t>
      </w:r>
      <w:proofErr w:type="spellStart"/>
      <w:r>
        <w:t>CatBoost</w:t>
      </w:r>
      <w:proofErr w:type="spellEnd"/>
      <w:r>
        <w:t xml:space="preserve">. </w:t>
      </w:r>
      <w:proofErr w:type="spellStart"/>
      <w:r>
        <w:t>CatBoost</w:t>
      </w:r>
      <w:proofErr w:type="spellEnd"/>
      <w:r>
        <w:t xml:space="preserve"> uses ordered boosting to prevent prediction shift during training on temporally ordered data </w:t>
      </w:r>
      <w:r w:rsidR="00A354BC">
        <w:fldChar w:fldCharType="begin" w:fldLock="1"/>
      </w:r>
      <w:r w:rsidR="00C55DBE">
        <w:instrText>ADDIN CSL_CITATION {"citationItems":[{"id":"ITEM-1","itemData":{"DOI":"https://doi.org/10.48550/arXiv.1706.09516","ISSN":"10495258","abstract":"This paper presents the key algorithmic techniques behind CatBoost, a new gradient boosting toolkit. Their combination leads to CatBoost outperforming other publicly available boosting implementations in terms of quality on a variety of datasets. Two critical algorithmic advances introduced in CatBoost are the implementation of ordered boosting, a permutation-driven alternative to the classic algorithm, and an innovative algorithm for processing categorical features. Both techniques were created to fight a prediction shift caused by a special kind of target leakage present in all currently existing implementations of gradient boosting algorithms. In this paper, we provide a detailed analysis of this problem and demonstrate that proposed algorithms solve it effectively, leading to excellent empirical results.","author":[{"dropping-particle":"","family":"Prokhorenkova","given":"Liudmila","non-dropping-particle":"","parse-names":false,"suffix":""},{"dropping-particle":"","family":"Gusev","given":"Gleb","non-dropping-particle":"","parse-names":false,"suffix":""},{"dropping-particle":"","family":"Vorobev","given":"Aleksandr","non-dropping-particle":"","parse-names":false,"suffix":""},{"dropping-particle":"","family":"Dorogush","given":"Anna Veronika","non-dropping-particle":"","parse-names":false,"suffix":""},{"dropping-particle":"","family":"Gulin","given":"Andrey","non-dropping-particle":"","parse-names":false,"suffix":""}],"container-title":"Advances in Neural Information Processing Systems","id":"ITEM-1","issue":"Section 4","issued":{"date-parts":[["2018"]]},"page":"6638-6648","title":"Catboost: Unbiased boosting with categorical features","type":"article-journal","volume":"2018-Decem"},"uris":["http://www.mendeley.com/documents/?uuid=ba4b940c-9b89-477d-abec-ebee21df834e"]}],"mendeley":{"formattedCitation":"(Prokhorenkova et al., 2018)","plainTextFormattedCitation":"(Prokhorenkova et al., 2018)","previouslyFormattedCitation":"(Prokhorenkova et al., 2018)"},"properties":{"noteIndex":0},"schema":"https://github.com/citation-style-language/schema/raw/master/csl-citation.json"}</w:instrText>
      </w:r>
      <w:r w:rsidR="00A354BC">
        <w:fldChar w:fldCharType="separate"/>
      </w:r>
      <w:r w:rsidR="00A354BC" w:rsidRPr="00A354BC">
        <w:rPr>
          <w:noProof/>
        </w:rPr>
        <w:t>(Prokhorenkova et al., 2018)</w:t>
      </w:r>
      <w:r w:rsidR="00A354BC">
        <w:fldChar w:fldCharType="end"/>
      </w:r>
      <w:r>
        <w:t xml:space="preserve">, which is particularly important in financial applications where subtle look-ahead bias can silently inflate apparent in-sample accuracy. These models are selected because they are strong nonlinear classifiers with complementary handling of interaction structure, feature scaling sensitivity, and tree growth bias. Hyperparameters are tuned with </w:t>
      </w:r>
      <w:proofErr w:type="spellStart"/>
      <w:r>
        <w:t>Optuna</w:t>
      </w:r>
      <w:proofErr w:type="spellEnd"/>
      <w:r>
        <w:t xml:space="preserve"> using 100 trials and time-series-aware validation rather than random shuffles. Each base learner emits a class-1 probability for the Up </w:t>
      </w:r>
      <w:r>
        <w:lastRenderedPageBreak/>
        <w:t>class. Fig. 1 presents an end-to-end overview of the complete prediction and deployment pipeline.</w:t>
      </w:r>
    </w:p>
    <w:p w14:paraId="409E16A7" w14:textId="44CE4E0D" w:rsidR="00ED66A2" w:rsidRDefault="00000000">
      <w:pPr>
        <w:spacing w:after="80" w:line="360" w:lineRule="auto"/>
        <w:ind w:firstLine="360"/>
      </w:pPr>
      <w:r>
        <w:t xml:space="preserve">In parallel, a </w:t>
      </w:r>
      <w:proofErr w:type="spellStart"/>
      <w:r>
        <w:t>BiLSTM</w:t>
      </w:r>
      <w:proofErr w:type="spellEnd"/>
      <w:r>
        <w:t xml:space="preserve"> with self-attention </w:t>
      </w:r>
      <w:r w:rsidR="00C55DBE">
        <w:fldChar w:fldCharType="begin" w:fldLock="1"/>
      </w:r>
      <w:r w:rsidR="001A38EB">
        <w:instrText>ADDIN CSL_CITATION {"citationItems":[{"id":"ITEM-1","itemData":{"DOI":"https://dl.acm.org/doi/10.5555/3295222.3295349","ISSN":"10772618","abstract":"The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 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author":[{"dropping-particle":"","family":"Vaswani","given":"Ashish","non-dropping-particle":"","parse-names":false,"suffix":""},{"dropping-particle":"","family":"Shazeer","given":"Noam","non-dropping-particle":"","parse-names":false,"suffix":""},{"dropping-particle":"","family":"Parmar","given":"Niki","non-dropping-particle":"","parse-names":false,"suffix":""},{"dropping-particle":"","family":"Uszkoreit","given":"Jakob","non-dropping-particle":"","parse-names":false,"suffix":""},{"dropping-particle":"","family":"Jones","given":"Llion","non-dropping-particle":"","parse-names":false,"suffix":""},{"dropping-particle":"","family":"Gomez","given":"Aidan N.","non-dropping-particle":"","parse-names":false,"suffix":""},{"dropping-particle":"","family":"Kaiser","given":"Lukasz","non-dropping-particle":"","parse-names":false,"suffix":""},{"dropping-particle":"","family":"Polosukhin","given":"Illia","non-dropping-particle":"","parse-names":false,"suffix":""}],"container-title":"31st Conference on Neural Information Processing Systems (NIPS 2017)","id":"ITEM-1","issued":{"date-parts":[["2017"]]},"page":"1-11","title":"Attention Is All You Need Ashish","type":"paper-conference"},"uris":["http://www.mendeley.com/documents/?uuid=673b013b-c55f-4a37-995e-0be1bced5020"]}],"mendeley":{"formattedCitation":"(Vaswani et al., 2017)","plainTextFormattedCitation":"(Vaswani et al., 2017)","previouslyFormattedCitation":"(Vaswani et al., 2017)"},"properties":{"noteIndex":0},"schema":"https://github.com/citation-style-language/schema/raw/master/csl-citation.json"}</w:instrText>
      </w:r>
      <w:r w:rsidR="00C55DBE">
        <w:fldChar w:fldCharType="separate"/>
      </w:r>
      <w:r w:rsidR="00C55DBE" w:rsidRPr="00C55DBE">
        <w:rPr>
          <w:noProof/>
        </w:rPr>
        <w:t>(Vaswani et al., 2017)</w:t>
      </w:r>
      <w:r w:rsidR="00C55DBE">
        <w:fldChar w:fldCharType="end"/>
      </w:r>
      <w:r>
        <w:t xml:space="preserve"> is trained on rolling 20-day sequences of the standardized features. The architecture uses one recurrent layer with hidden size 64, dropout 0.2, and early stopping on validation log-loss. This component is included because the tabular learners see each date largely as a static feature vector, whereas the </w:t>
      </w:r>
      <w:proofErr w:type="spellStart"/>
      <w:r>
        <w:t>BiLSTM</w:t>
      </w:r>
      <w:proofErr w:type="spellEnd"/>
      <w:r>
        <w:t xml:space="preserve"> can encode short temporal motifs and relative sequencing across the lookback window. The combination reflects a pragmatic systems-engineering choice: the trees are often robust on tabular indicators, but the sequence learner can add signal when path structure matters.</w:t>
      </w:r>
    </w:p>
    <w:p w14:paraId="0BD7EE52" w14:textId="77777777" w:rsidR="00ED66A2" w:rsidRDefault="00000000">
      <w:pPr>
        <w:spacing w:after="80" w:line="360" w:lineRule="auto"/>
        <w:ind w:firstLine="360"/>
      </w:pPr>
      <w:r>
        <w:t>The meta-learner is a ridge logistic regression trained on out-of-fold probability vectors from the five base learners. Using out-of-fold predictions is essential because it prevents the meta-learner from learning from overfit in-sample probabilities. The final prediction for each observation is therefore a regularized linear combination of heterogeneous probability estimates rather than a hard vote. This improves calibration and reduces the risk that one overconfident base model dominates the ensemble during unusual market conditions.</w:t>
      </w:r>
    </w:p>
    <w:p w14:paraId="75DE779C" w14:textId="22D72B7B" w:rsidR="00ED66A2" w:rsidRDefault="006C3E53">
      <w:pPr>
        <w:spacing w:before="120" w:after="40"/>
        <w:jc w:val="center"/>
      </w:pPr>
      <w:r>
        <w:rPr>
          <w:noProof/>
        </w:rPr>
        <w:drawing>
          <wp:inline distT="0" distB="0" distL="0" distR="0" wp14:anchorId="33ABE188" wp14:editId="329942C5">
            <wp:extent cx="3657600" cy="3575464"/>
            <wp:effectExtent l="0" t="0" r="0" b="6350"/>
            <wp:docPr id="5290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9807" name="Picture 529019807"/>
                    <pic:cNvPicPr/>
                  </pic:nvPicPr>
                  <pic:blipFill rotWithShape="1">
                    <a:blip r:embed="rId8"/>
                    <a:srcRect t="19245" b="6027"/>
                    <a:stretch>
                      <a:fillRect/>
                    </a:stretch>
                  </pic:blipFill>
                  <pic:spPr bwMode="auto">
                    <a:xfrm>
                      <a:off x="0" y="0"/>
                      <a:ext cx="3657600" cy="3575464"/>
                    </a:xfrm>
                    <a:prstGeom prst="rect">
                      <a:avLst/>
                    </a:prstGeom>
                    <a:ln>
                      <a:noFill/>
                    </a:ln>
                    <a:extLst>
                      <a:ext uri="{53640926-AAD7-44D8-BBD7-CCE9431645EC}">
                        <a14:shadowObscured xmlns:a14="http://schemas.microsoft.com/office/drawing/2010/main"/>
                      </a:ext>
                    </a:extLst>
                  </pic:spPr>
                </pic:pic>
              </a:graphicData>
            </a:graphic>
          </wp:inline>
        </w:drawing>
      </w:r>
    </w:p>
    <w:p w14:paraId="729F81DF" w14:textId="3CA33C09" w:rsidR="00ED66A2" w:rsidRDefault="00000000" w:rsidP="003953F8">
      <w:pPr>
        <w:spacing w:before="80" w:after="80"/>
        <w:jc w:val="center"/>
        <w:rPr>
          <w:iCs/>
          <w:sz w:val="20"/>
        </w:rPr>
      </w:pPr>
      <w:r w:rsidRPr="003953F8">
        <w:rPr>
          <w:iCs/>
          <w:sz w:val="20"/>
        </w:rPr>
        <w:t>Fig. 1. End-to-end architecture of the India VIX regime-conditional stacking ensemble</w:t>
      </w:r>
      <w:r>
        <w:rPr>
          <w:i/>
          <w:sz w:val="20"/>
        </w:rPr>
        <w:t>.</w:t>
      </w:r>
    </w:p>
    <w:p w14:paraId="5F637B6E" w14:textId="101D68E9" w:rsidR="002F33B0" w:rsidRDefault="002F33B0" w:rsidP="002F33B0">
      <w:pPr>
        <w:spacing w:before="80" w:after="80"/>
        <w:rPr>
          <w:iCs/>
          <w:szCs w:val="26"/>
        </w:rPr>
      </w:pPr>
      <w:r w:rsidRPr="002F33B0">
        <w:rPr>
          <w:iCs/>
          <w:szCs w:val="26"/>
        </w:rPr>
        <w:lastRenderedPageBreak/>
        <w:t>Table 4</w:t>
      </w:r>
      <w:r>
        <w:rPr>
          <w:iCs/>
          <w:szCs w:val="26"/>
        </w:rPr>
        <w:t xml:space="preserve"> highlights t</w:t>
      </w:r>
      <w:r w:rsidRPr="002F33B0">
        <w:rPr>
          <w:iCs/>
          <w:szCs w:val="26"/>
        </w:rPr>
        <w:t>wo-level model-stack architecture</w:t>
      </w:r>
      <w:r>
        <w:rPr>
          <w:iCs/>
          <w:szCs w:val="26"/>
        </w:rPr>
        <w:t xml:space="preserve"> with </w:t>
      </w:r>
      <w:r w:rsidRPr="002F33B0">
        <w:rPr>
          <w:iCs/>
          <w:szCs w:val="26"/>
        </w:rPr>
        <w:t>base learners, meta-learner, and key configuration parameters.</w:t>
      </w:r>
    </w:p>
    <w:p w14:paraId="6195DC3A" w14:textId="77777777" w:rsidR="00FE4D45" w:rsidRPr="002F33B0" w:rsidRDefault="00FE4D45" w:rsidP="00FE4D45">
      <w:pPr>
        <w:spacing w:after="0"/>
        <w:rPr>
          <w:iCs/>
          <w:szCs w:val="26"/>
        </w:rPr>
      </w:pPr>
    </w:p>
    <w:p w14:paraId="5DE8C7C3" w14:textId="77777777" w:rsidR="00ED66A2" w:rsidRPr="003953F8" w:rsidRDefault="00000000" w:rsidP="00FE4D45">
      <w:pPr>
        <w:spacing w:after="80"/>
        <w:jc w:val="center"/>
        <w:rPr>
          <w:iCs/>
        </w:rPr>
      </w:pPr>
      <w:r w:rsidRPr="003953F8">
        <w:rPr>
          <w:iCs/>
          <w:sz w:val="20"/>
        </w:rPr>
        <w:t>Table 4. Two-level model-stack architecture: base learners, meta-learner, and key configuration parameters.</w:t>
      </w:r>
    </w:p>
    <w:tbl>
      <w:tblPr>
        <w:tblStyle w:val="TableGrid"/>
        <w:tblW w:w="0" w:type="auto"/>
        <w:jc w:val="center"/>
        <w:tblLook w:val="04A0" w:firstRow="1" w:lastRow="0" w:firstColumn="1" w:lastColumn="0" w:noHBand="0" w:noVBand="1"/>
      </w:tblPr>
      <w:tblGrid>
        <w:gridCol w:w="1444"/>
        <w:gridCol w:w="2166"/>
        <w:gridCol w:w="2889"/>
        <w:gridCol w:w="2889"/>
      </w:tblGrid>
      <w:tr w:rsidR="00ED66A2" w14:paraId="62E9CCBD" w14:textId="77777777" w:rsidTr="003953F8">
        <w:trPr>
          <w:trHeight w:val="265"/>
          <w:jc w:val="center"/>
        </w:trPr>
        <w:tc>
          <w:tcPr>
            <w:tcW w:w="1444" w:type="dxa"/>
            <w:vAlign w:val="center"/>
          </w:tcPr>
          <w:p w14:paraId="46447090" w14:textId="77777777" w:rsidR="00ED66A2" w:rsidRDefault="00000000" w:rsidP="003953F8">
            <w:pPr>
              <w:jc w:val="center"/>
            </w:pPr>
            <w:r>
              <w:rPr>
                <w:b/>
                <w:sz w:val="20"/>
              </w:rPr>
              <w:t>Layer</w:t>
            </w:r>
          </w:p>
        </w:tc>
        <w:tc>
          <w:tcPr>
            <w:tcW w:w="2166" w:type="dxa"/>
            <w:vAlign w:val="center"/>
          </w:tcPr>
          <w:p w14:paraId="4A9F0D4B" w14:textId="77777777" w:rsidR="00ED66A2" w:rsidRDefault="00000000" w:rsidP="003953F8">
            <w:pPr>
              <w:jc w:val="center"/>
            </w:pPr>
            <w:r>
              <w:rPr>
                <w:b/>
                <w:sz w:val="20"/>
              </w:rPr>
              <w:t>Model</w:t>
            </w:r>
          </w:p>
        </w:tc>
        <w:tc>
          <w:tcPr>
            <w:tcW w:w="2889" w:type="dxa"/>
            <w:vAlign w:val="center"/>
          </w:tcPr>
          <w:p w14:paraId="52CDCCF0" w14:textId="77777777" w:rsidR="00ED66A2" w:rsidRDefault="00000000" w:rsidP="003953F8">
            <w:pPr>
              <w:jc w:val="center"/>
            </w:pPr>
            <w:r>
              <w:rPr>
                <w:b/>
                <w:sz w:val="20"/>
              </w:rPr>
              <w:t>Purpose</w:t>
            </w:r>
          </w:p>
        </w:tc>
        <w:tc>
          <w:tcPr>
            <w:tcW w:w="2889" w:type="dxa"/>
            <w:vAlign w:val="center"/>
          </w:tcPr>
          <w:p w14:paraId="3C3BF319" w14:textId="77777777" w:rsidR="00ED66A2" w:rsidRDefault="00000000" w:rsidP="003953F8">
            <w:pPr>
              <w:jc w:val="center"/>
            </w:pPr>
            <w:r>
              <w:rPr>
                <w:b/>
                <w:sz w:val="20"/>
              </w:rPr>
              <w:t>Key configuration</w:t>
            </w:r>
          </w:p>
        </w:tc>
      </w:tr>
      <w:tr w:rsidR="00ED66A2" w14:paraId="6876AA70" w14:textId="77777777" w:rsidTr="003953F8">
        <w:trPr>
          <w:trHeight w:val="265"/>
          <w:jc w:val="center"/>
        </w:trPr>
        <w:tc>
          <w:tcPr>
            <w:tcW w:w="1444" w:type="dxa"/>
            <w:vAlign w:val="center"/>
          </w:tcPr>
          <w:p w14:paraId="3E605384" w14:textId="77777777" w:rsidR="00ED66A2" w:rsidRDefault="00000000" w:rsidP="003953F8">
            <w:pPr>
              <w:jc w:val="center"/>
            </w:pPr>
            <w:r>
              <w:rPr>
                <w:sz w:val="20"/>
              </w:rPr>
              <w:t>Base learner</w:t>
            </w:r>
          </w:p>
        </w:tc>
        <w:tc>
          <w:tcPr>
            <w:tcW w:w="2166" w:type="dxa"/>
            <w:vAlign w:val="center"/>
          </w:tcPr>
          <w:p w14:paraId="1070B52A" w14:textId="77777777" w:rsidR="00ED66A2" w:rsidRDefault="00000000" w:rsidP="003953F8">
            <w:pPr>
              <w:jc w:val="center"/>
            </w:pPr>
            <w:r>
              <w:rPr>
                <w:sz w:val="20"/>
              </w:rPr>
              <w:t>XGBoost</w:t>
            </w:r>
          </w:p>
        </w:tc>
        <w:tc>
          <w:tcPr>
            <w:tcW w:w="2889" w:type="dxa"/>
            <w:vAlign w:val="center"/>
          </w:tcPr>
          <w:p w14:paraId="4EE2C74D" w14:textId="77777777" w:rsidR="00ED66A2" w:rsidRDefault="00000000" w:rsidP="003953F8">
            <w:pPr>
              <w:jc w:val="center"/>
            </w:pPr>
            <w:r>
              <w:rPr>
                <w:sz w:val="20"/>
              </w:rPr>
              <w:t>Nonlinear tabular classification</w:t>
            </w:r>
          </w:p>
        </w:tc>
        <w:tc>
          <w:tcPr>
            <w:tcW w:w="2889" w:type="dxa"/>
            <w:vAlign w:val="center"/>
          </w:tcPr>
          <w:p w14:paraId="6D04B3E8"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7025D3CC" w14:textId="77777777" w:rsidTr="003953F8">
        <w:trPr>
          <w:trHeight w:val="531"/>
          <w:jc w:val="center"/>
        </w:trPr>
        <w:tc>
          <w:tcPr>
            <w:tcW w:w="1444" w:type="dxa"/>
            <w:vAlign w:val="center"/>
          </w:tcPr>
          <w:p w14:paraId="2B757EE7" w14:textId="77777777" w:rsidR="00ED66A2" w:rsidRDefault="00000000" w:rsidP="003953F8">
            <w:pPr>
              <w:jc w:val="center"/>
            </w:pPr>
            <w:r>
              <w:rPr>
                <w:sz w:val="20"/>
              </w:rPr>
              <w:t>Base learner</w:t>
            </w:r>
          </w:p>
        </w:tc>
        <w:tc>
          <w:tcPr>
            <w:tcW w:w="2166" w:type="dxa"/>
            <w:vAlign w:val="center"/>
          </w:tcPr>
          <w:p w14:paraId="55923331" w14:textId="77777777" w:rsidR="00ED66A2" w:rsidRDefault="00000000" w:rsidP="003953F8">
            <w:pPr>
              <w:jc w:val="center"/>
            </w:pPr>
            <w:r>
              <w:rPr>
                <w:sz w:val="20"/>
              </w:rPr>
              <w:t>LightGBM</w:t>
            </w:r>
          </w:p>
        </w:tc>
        <w:tc>
          <w:tcPr>
            <w:tcW w:w="2889" w:type="dxa"/>
            <w:vAlign w:val="center"/>
          </w:tcPr>
          <w:p w14:paraId="64C2BF62" w14:textId="77777777" w:rsidR="00ED66A2" w:rsidRDefault="00000000" w:rsidP="003953F8">
            <w:pPr>
              <w:jc w:val="center"/>
            </w:pPr>
            <w:r>
              <w:rPr>
                <w:sz w:val="20"/>
              </w:rPr>
              <w:t>Gradient boosting with efficient leaf-wise growth</w:t>
            </w:r>
          </w:p>
        </w:tc>
        <w:tc>
          <w:tcPr>
            <w:tcW w:w="2889" w:type="dxa"/>
            <w:vAlign w:val="center"/>
          </w:tcPr>
          <w:p w14:paraId="1E34F19D" w14:textId="77777777" w:rsidR="00ED66A2" w:rsidRDefault="00000000" w:rsidP="003953F8">
            <w:pPr>
              <w:jc w:val="left"/>
            </w:pPr>
            <w:proofErr w:type="spellStart"/>
            <w:r>
              <w:rPr>
                <w:sz w:val="20"/>
              </w:rPr>
              <w:t>Optuna</w:t>
            </w:r>
            <w:proofErr w:type="spellEnd"/>
            <w:r>
              <w:rPr>
                <w:sz w:val="20"/>
              </w:rPr>
              <w:t xml:space="preserve"> tuned; time-series CV</w:t>
            </w:r>
          </w:p>
        </w:tc>
      </w:tr>
      <w:tr w:rsidR="00ED66A2" w14:paraId="2345C43D" w14:textId="77777777" w:rsidTr="003953F8">
        <w:trPr>
          <w:trHeight w:val="549"/>
          <w:jc w:val="center"/>
        </w:trPr>
        <w:tc>
          <w:tcPr>
            <w:tcW w:w="1444" w:type="dxa"/>
            <w:vAlign w:val="center"/>
          </w:tcPr>
          <w:p w14:paraId="763B290D" w14:textId="77777777" w:rsidR="00ED66A2" w:rsidRDefault="00000000" w:rsidP="003953F8">
            <w:pPr>
              <w:jc w:val="center"/>
            </w:pPr>
            <w:r>
              <w:rPr>
                <w:sz w:val="20"/>
              </w:rPr>
              <w:t>Base learner</w:t>
            </w:r>
          </w:p>
        </w:tc>
        <w:tc>
          <w:tcPr>
            <w:tcW w:w="2166" w:type="dxa"/>
            <w:vAlign w:val="center"/>
          </w:tcPr>
          <w:p w14:paraId="56A2BFF2" w14:textId="77777777" w:rsidR="00ED66A2" w:rsidRDefault="00000000" w:rsidP="003953F8">
            <w:pPr>
              <w:jc w:val="center"/>
            </w:pPr>
            <w:r>
              <w:rPr>
                <w:sz w:val="20"/>
              </w:rPr>
              <w:t>Random Forest</w:t>
            </w:r>
          </w:p>
        </w:tc>
        <w:tc>
          <w:tcPr>
            <w:tcW w:w="2889" w:type="dxa"/>
            <w:vAlign w:val="center"/>
          </w:tcPr>
          <w:p w14:paraId="3CAA9A3B" w14:textId="77777777" w:rsidR="00ED66A2" w:rsidRDefault="00000000" w:rsidP="003953F8">
            <w:pPr>
              <w:jc w:val="center"/>
            </w:pPr>
            <w:r>
              <w:rPr>
                <w:sz w:val="20"/>
              </w:rPr>
              <w:t>Variance reduction and nonlinear interactions</w:t>
            </w:r>
          </w:p>
        </w:tc>
        <w:tc>
          <w:tcPr>
            <w:tcW w:w="2889" w:type="dxa"/>
            <w:vAlign w:val="center"/>
          </w:tcPr>
          <w:p w14:paraId="77EB91D0" w14:textId="77777777" w:rsidR="00ED66A2" w:rsidRDefault="00000000" w:rsidP="003953F8">
            <w:pPr>
              <w:jc w:val="left"/>
            </w:pPr>
            <w:r>
              <w:rPr>
                <w:sz w:val="20"/>
              </w:rPr>
              <w:t>Chronological training with tuned tree depth and count</w:t>
            </w:r>
          </w:p>
        </w:tc>
      </w:tr>
      <w:tr w:rsidR="00ED66A2" w14:paraId="729ACD76" w14:textId="77777777" w:rsidTr="003953F8">
        <w:trPr>
          <w:trHeight w:val="531"/>
          <w:jc w:val="center"/>
        </w:trPr>
        <w:tc>
          <w:tcPr>
            <w:tcW w:w="1444" w:type="dxa"/>
            <w:vAlign w:val="center"/>
          </w:tcPr>
          <w:p w14:paraId="46860C63" w14:textId="77777777" w:rsidR="00ED66A2" w:rsidRDefault="00000000" w:rsidP="003953F8">
            <w:pPr>
              <w:jc w:val="center"/>
            </w:pPr>
            <w:r>
              <w:rPr>
                <w:sz w:val="20"/>
              </w:rPr>
              <w:t>Base learner</w:t>
            </w:r>
          </w:p>
        </w:tc>
        <w:tc>
          <w:tcPr>
            <w:tcW w:w="2166" w:type="dxa"/>
            <w:vAlign w:val="center"/>
          </w:tcPr>
          <w:p w14:paraId="1F95FC99" w14:textId="77777777" w:rsidR="00ED66A2" w:rsidRDefault="00000000" w:rsidP="003953F8">
            <w:pPr>
              <w:jc w:val="center"/>
            </w:pPr>
            <w:proofErr w:type="spellStart"/>
            <w:r>
              <w:rPr>
                <w:sz w:val="20"/>
              </w:rPr>
              <w:t>CatBoost</w:t>
            </w:r>
            <w:proofErr w:type="spellEnd"/>
          </w:p>
        </w:tc>
        <w:tc>
          <w:tcPr>
            <w:tcW w:w="2889" w:type="dxa"/>
            <w:vAlign w:val="center"/>
          </w:tcPr>
          <w:p w14:paraId="580829C3" w14:textId="77777777" w:rsidR="00ED66A2" w:rsidRDefault="00000000" w:rsidP="003953F8">
            <w:pPr>
              <w:jc w:val="center"/>
            </w:pPr>
            <w:r>
              <w:rPr>
                <w:sz w:val="20"/>
              </w:rPr>
              <w:t>Ordered boosting on structured indicators</w:t>
            </w:r>
          </w:p>
        </w:tc>
        <w:tc>
          <w:tcPr>
            <w:tcW w:w="2889" w:type="dxa"/>
            <w:vAlign w:val="center"/>
          </w:tcPr>
          <w:p w14:paraId="4C36EFD0" w14:textId="77777777" w:rsidR="00ED66A2" w:rsidRDefault="00000000" w:rsidP="003953F8">
            <w:pPr>
              <w:jc w:val="left"/>
            </w:pPr>
            <w:proofErr w:type="spellStart"/>
            <w:r>
              <w:rPr>
                <w:sz w:val="20"/>
              </w:rPr>
              <w:t>Optuna</w:t>
            </w:r>
            <w:proofErr w:type="spellEnd"/>
            <w:r>
              <w:rPr>
                <w:sz w:val="20"/>
              </w:rPr>
              <w:t xml:space="preserve"> tuned; probability output</w:t>
            </w:r>
          </w:p>
        </w:tc>
      </w:tr>
      <w:tr w:rsidR="00ED66A2" w14:paraId="2051C806" w14:textId="77777777" w:rsidTr="003953F8">
        <w:trPr>
          <w:trHeight w:val="531"/>
          <w:jc w:val="center"/>
        </w:trPr>
        <w:tc>
          <w:tcPr>
            <w:tcW w:w="1444" w:type="dxa"/>
            <w:vAlign w:val="center"/>
          </w:tcPr>
          <w:p w14:paraId="37C90BF9" w14:textId="77777777" w:rsidR="00ED66A2" w:rsidRDefault="00000000" w:rsidP="003953F8">
            <w:pPr>
              <w:jc w:val="center"/>
            </w:pPr>
            <w:r>
              <w:rPr>
                <w:sz w:val="20"/>
              </w:rPr>
              <w:t>Base learner</w:t>
            </w:r>
          </w:p>
        </w:tc>
        <w:tc>
          <w:tcPr>
            <w:tcW w:w="2166" w:type="dxa"/>
            <w:vAlign w:val="center"/>
          </w:tcPr>
          <w:p w14:paraId="36DD1CB6" w14:textId="77777777" w:rsidR="00ED66A2" w:rsidRDefault="00000000" w:rsidP="003953F8">
            <w:pPr>
              <w:jc w:val="center"/>
            </w:pPr>
            <w:proofErr w:type="spellStart"/>
            <w:r>
              <w:rPr>
                <w:sz w:val="20"/>
              </w:rPr>
              <w:t>BiLSTM</w:t>
            </w:r>
            <w:proofErr w:type="spellEnd"/>
            <w:r>
              <w:rPr>
                <w:sz w:val="20"/>
              </w:rPr>
              <w:t xml:space="preserve"> + self-attention</w:t>
            </w:r>
          </w:p>
        </w:tc>
        <w:tc>
          <w:tcPr>
            <w:tcW w:w="2889" w:type="dxa"/>
            <w:vAlign w:val="center"/>
          </w:tcPr>
          <w:p w14:paraId="5BA33002" w14:textId="77777777" w:rsidR="00ED66A2" w:rsidRDefault="00000000" w:rsidP="003953F8">
            <w:pPr>
              <w:jc w:val="center"/>
            </w:pPr>
            <w:r>
              <w:rPr>
                <w:sz w:val="20"/>
              </w:rPr>
              <w:t>Sequence modelling over 20-day windows</w:t>
            </w:r>
          </w:p>
        </w:tc>
        <w:tc>
          <w:tcPr>
            <w:tcW w:w="2889" w:type="dxa"/>
            <w:vAlign w:val="center"/>
          </w:tcPr>
          <w:p w14:paraId="1E7597EB" w14:textId="77777777" w:rsidR="00ED66A2" w:rsidRDefault="00000000" w:rsidP="003953F8">
            <w:pPr>
              <w:jc w:val="left"/>
            </w:pPr>
            <w:r>
              <w:rPr>
                <w:sz w:val="20"/>
              </w:rPr>
              <w:t>Hidden size 64; dropout 0.2; early stopping</w:t>
            </w:r>
          </w:p>
        </w:tc>
      </w:tr>
      <w:tr w:rsidR="00ED66A2" w14:paraId="78FEC2E9" w14:textId="77777777" w:rsidTr="003953F8">
        <w:trPr>
          <w:trHeight w:val="531"/>
          <w:jc w:val="center"/>
        </w:trPr>
        <w:tc>
          <w:tcPr>
            <w:tcW w:w="1444" w:type="dxa"/>
            <w:vAlign w:val="center"/>
          </w:tcPr>
          <w:p w14:paraId="7C7343C0" w14:textId="77777777" w:rsidR="00ED66A2" w:rsidRDefault="00000000" w:rsidP="003953F8">
            <w:pPr>
              <w:jc w:val="center"/>
            </w:pPr>
            <w:r>
              <w:rPr>
                <w:sz w:val="20"/>
              </w:rPr>
              <w:t>Meta learner</w:t>
            </w:r>
          </w:p>
        </w:tc>
        <w:tc>
          <w:tcPr>
            <w:tcW w:w="2166" w:type="dxa"/>
            <w:vAlign w:val="center"/>
          </w:tcPr>
          <w:p w14:paraId="6CFB1814" w14:textId="77777777" w:rsidR="00ED66A2" w:rsidRDefault="00000000" w:rsidP="003953F8">
            <w:pPr>
              <w:jc w:val="center"/>
            </w:pPr>
            <w:r>
              <w:rPr>
                <w:sz w:val="20"/>
              </w:rPr>
              <w:t>Ridge logistic regression</w:t>
            </w:r>
          </w:p>
        </w:tc>
        <w:tc>
          <w:tcPr>
            <w:tcW w:w="2889" w:type="dxa"/>
            <w:vAlign w:val="center"/>
          </w:tcPr>
          <w:p w14:paraId="77D7B6DE" w14:textId="77777777" w:rsidR="00ED66A2" w:rsidRDefault="00000000" w:rsidP="003953F8">
            <w:pPr>
              <w:jc w:val="center"/>
            </w:pPr>
            <w:r>
              <w:rPr>
                <w:sz w:val="20"/>
              </w:rPr>
              <w:t>Stack out-of-fold probabilities</w:t>
            </w:r>
          </w:p>
        </w:tc>
        <w:tc>
          <w:tcPr>
            <w:tcW w:w="2889" w:type="dxa"/>
            <w:vAlign w:val="center"/>
          </w:tcPr>
          <w:p w14:paraId="298F4960" w14:textId="77777777" w:rsidR="00ED66A2" w:rsidRDefault="00000000" w:rsidP="003953F8">
            <w:pPr>
              <w:jc w:val="left"/>
            </w:pPr>
            <w:r>
              <w:rPr>
                <w:sz w:val="20"/>
              </w:rPr>
              <w:t xml:space="preserve">L2 </w:t>
            </w:r>
            <w:proofErr w:type="spellStart"/>
            <w:r>
              <w:rPr>
                <w:sz w:val="20"/>
              </w:rPr>
              <w:t>regularisation</w:t>
            </w:r>
            <w:proofErr w:type="spellEnd"/>
            <w:r>
              <w:rPr>
                <w:sz w:val="20"/>
              </w:rPr>
              <w:t xml:space="preserve"> on five-model probability vector</w:t>
            </w:r>
          </w:p>
        </w:tc>
      </w:tr>
    </w:tbl>
    <w:p w14:paraId="60885915" w14:textId="77777777" w:rsidR="00ED66A2" w:rsidRDefault="00ED66A2"/>
    <w:p w14:paraId="71201343" w14:textId="7AC719E8" w:rsidR="00DD3CFB" w:rsidRDefault="00DD3CFB">
      <w:r>
        <w:t xml:space="preserve">The </w:t>
      </w:r>
      <w:r w:rsidRPr="00DD3CFB">
        <w:t xml:space="preserve">Fig. 2 </w:t>
      </w:r>
      <w:r>
        <w:t xml:space="preserve">displays </w:t>
      </w:r>
      <w:r w:rsidR="00865D5F">
        <w:t xml:space="preserve">pipeline P2 </w:t>
      </w:r>
      <w:r>
        <w:t>m</w:t>
      </w:r>
      <w:r w:rsidRPr="00DD3CFB">
        <w:t>eta-learner coefficient heatmap illustrating how the ridge stack combines heterogeneous base-probability signals across horizons.</w:t>
      </w:r>
    </w:p>
    <w:p w14:paraId="69CE5EF5" w14:textId="77777777" w:rsidR="00ED66A2" w:rsidRDefault="00000000">
      <w:pPr>
        <w:spacing w:before="120" w:after="40"/>
        <w:jc w:val="center"/>
      </w:pPr>
      <w:r>
        <w:rPr>
          <w:noProof/>
        </w:rPr>
        <w:drawing>
          <wp:inline distT="0" distB="0" distL="0" distR="0" wp14:anchorId="719FF28D" wp14:editId="2028FA0B">
            <wp:extent cx="5303520" cy="2802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meta_coeff_heatmap.png"/>
                    <pic:cNvPicPr/>
                  </pic:nvPicPr>
                  <pic:blipFill>
                    <a:blip r:embed="rId9"/>
                    <a:stretch>
                      <a:fillRect/>
                    </a:stretch>
                  </pic:blipFill>
                  <pic:spPr>
                    <a:xfrm>
                      <a:off x="0" y="0"/>
                      <a:ext cx="5303520" cy="2802946"/>
                    </a:xfrm>
                    <a:prstGeom prst="rect">
                      <a:avLst/>
                    </a:prstGeom>
                  </pic:spPr>
                </pic:pic>
              </a:graphicData>
            </a:graphic>
          </wp:inline>
        </w:drawing>
      </w:r>
    </w:p>
    <w:p w14:paraId="2D1DBF29" w14:textId="2634C2FC" w:rsidR="00ED66A2" w:rsidRPr="00DB17B5" w:rsidRDefault="00000000" w:rsidP="00DB17B5">
      <w:pPr>
        <w:spacing w:before="80" w:after="80"/>
        <w:jc w:val="center"/>
        <w:rPr>
          <w:iCs/>
        </w:rPr>
      </w:pPr>
      <w:r w:rsidRPr="00DB17B5">
        <w:rPr>
          <w:iCs/>
          <w:sz w:val="20"/>
        </w:rPr>
        <w:t>Fig. 2. Meta-learner coefficient heatmap.</w:t>
      </w:r>
    </w:p>
    <w:p w14:paraId="56022B38" w14:textId="77777777" w:rsidR="00A36C97" w:rsidRDefault="00A36C97" w:rsidP="00A36C97">
      <w:pPr>
        <w:pStyle w:val="Heading2"/>
        <w:spacing w:before="0" w:after="0"/>
        <w:rPr>
          <w:rFonts w:ascii="Times New Roman" w:hAnsi="Times New Roman"/>
        </w:rPr>
      </w:pPr>
    </w:p>
    <w:p w14:paraId="25D67E55" w14:textId="435604C7" w:rsidR="00ED66A2" w:rsidRDefault="00000000">
      <w:pPr>
        <w:pStyle w:val="Heading2"/>
      </w:pPr>
      <w:r>
        <w:rPr>
          <w:rFonts w:ascii="Times New Roman" w:hAnsi="Times New Roman"/>
        </w:rPr>
        <w:t>3.4. Regime definition and diagnostic interpretation</w:t>
      </w:r>
    </w:p>
    <w:p w14:paraId="30B95454" w14:textId="77777777" w:rsidR="00ED66A2" w:rsidRDefault="00000000">
      <w:pPr>
        <w:spacing w:after="80" w:line="360" w:lineRule="auto"/>
        <w:ind w:firstLine="360"/>
      </w:pPr>
      <w:r>
        <w:t>The regime rule is now defined without look-ahead bias. High-VIX is calibrated as India VIX greater than or equal to the 75th percentile of the pre-test (train+validation) distribution, giving a fixed threshold of 18.71 rather than the previously used test-derived 15.08. Under this fixed rule, the held-out test window contains far fewer High-VIX observations, which materially affects both statistical power and deployment frequency.</w:t>
      </w:r>
    </w:p>
    <w:p w14:paraId="50E4DF00" w14:textId="77777777" w:rsidR="00ED66A2" w:rsidRDefault="00000000">
      <w:pPr>
        <w:spacing w:after="80" w:line="360" w:lineRule="auto"/>
        <w:ind w:firstLine="360"/>
      </w:pPr>
      <w:r>
        <w:t xml:space="preserve">The use of a contemporaneous test-period threshold needs precise interpretation. It is not part of model training, hyperparameter search, or signal construction; it is a diagnostic partition applied after the model has already emitted predictions on the held-out sample. The question being asked is therefore descriptive but decision-relevant: on which held-out states </w:t>
      </w:r>
      <w:proofErr w:type="gramStart"/>
      <w:r>
        <w:t>does</w:t>
      </w:r>
      <w:proofErr w:type="gramEnd"/>
      <w:r>
        <w:t xml:space="preserve"> the already-trained model appear materially more reliable? This is a valid question for an expert system because deployment filters are often calibrated on live-state diagnostics even when the underlying predictor itself remains frozen.</w:t>
      </w:r>
    </w:p>
    <w:p w14:paraId="774BDD96" w14:textId="77777777" w:rsidR="00ED66A2" w:rsidRDefault="00000000">
      <w:pPr>
        <w:spacing w:after="80" w:line="360" w:lineRule="auto"/>
        <w:ind w:firstLine="360"/>
      </w:pPr>
      <w:r>
        <w:t>This change prioritizes real-time deployability over ex-post partition sharpness. Because the threshold is fixed from information available before test evaluation, the resulting High-VIX subset is sparse, and we therefore report sensitivity alternatives (expanding and rolling threshold variants) as secondary diagnostics rather than replacing the primary pre-test-fixed protocol.</w:t>
      </w:r>
    </w:p>
    <w:p w14:paraId="3480B47C" w14:textId="77777777" w:rsidR="00ED66A2" w:rsidRDefault="00000000">
      <w:pPr>
        <w:pStyle w:val="Heading1"/>
      </w:pPr>
      <w:r>
        <w:rPr>
          <w:rFonts w:ascii="Times New Roman" w:hAnsi="Times New Roman"/>
        </w:rPr>
        <w:t>4. Experimental Design and Evaluation Protocol</w:t>
      </w:r>
    </w:p>
    <w:p w14:paraId="4898CF97" w14:textId="02D15B3B" w:rsidR="00ED66A2" w:rsidRDefault="00000000">
      <w:pPr>
        <w:spacing w:after="80" w:line="360" w:lineRule="auto"/>
        <w:ind w:firstLine="360"/>
      </w:pPr>
      <w:r>
        <w:t xml:space="preserve">The evaluation design is built to separate three questions that are often conflated in forecasting </w:t>
      </w:r>
      <w:r w:rsidR="00CD346E">
        <w:t>analysis</w:t>
      </w:r>
      <w:r>
        <w:t xml:space="preserve">: whether the model ranks probabilities sensibly, whether its </w:t>
      </w:r>
      <w:proofErr w:type="spellStart"/>
      <w:r>
        <w:t>thresholded</w:t>
      </w:r>
      <w:proofErr w:type="spellEnd"/>
      <w:r>
        <w:t xml:space="preserve"> decisions are directionally accurate, and whether those decisions improve a practical deployment rule. To address the first question, the study reports AUC alongside accuracy. To address the second, it compares the ensemble against naive class-majority behavior and measures High-VIX versus Low-VIX differences with Fisher’s exact test and effect size phi. To address the third, it translates the model output into a simple daily long-only trading protocol that activates only when both the regime filter and the directional signal align.</w:t>
      </w:r>
    </w:p>
    <w:p w14:paraId="2960A5D4" w14:textId="77777777" w:rsidR="00ED66A2" w:rsidRDefault="00000000">
      <w:pPr>
        <w:spacing w:after="80" w:line="360" w:lineRule="auto"/>
        <w:ind w:firstLine="360"/>
      </w:pPr>
      <w:r>
        <w:t xml:space="preserve">Overall classification performance is first reported without regime conditioning at 1-day, 5-day, and 21-day horizons. This establishes an important baseline: the main contribution is not that the ensemble looks universally strong in pooled metrics. Instead, the pooled 21-day result is mediocre relative to the majority-class baseline because the test sample is dominated by Up outcomes. That weak aggregate baseline makes the subsequent conditional improvement more </w:t>
      </w:r>
      <w:r>
        <w:lastRenderedPageBreak/>
        <w:t>informative rather than less, because it shows the regime filter is discovering concentration of reliability rather than polishing an already dominant unconditional classifier.</w:t>
      </w:r>
    </w:p>
    <w:p w14:paraId="7BC684E9" w14:textId="77777777" w:rsidR="00ED66A2" w:rsidRDefault="00000000">
      <w:pPr>
        <w:spacing w:after="80" w:line="360" w:lineRule="auto"/>
        <w:ind w:firstLine="360"/>
      </w:pPr>
      <w:r>
        <w:t>Regime-conditioned accuracy is computed by splitting held-out predictions into High-VIX and Low-VIX subsets. Because 21-day forward labels overlap in time, inference now uses dependence-aware procedures: non-overlapping Fisher testing (every 21st observation), circular block bootstrap confidence intervals (block length 21), and block-permutation testing with Bonferroni-adjusted reporting across the three horizons.</w:t>
      </w:r>
    </w:p>
    <w:p w14:paraId="09E5E91E" w14:textId="77777777" w:rsidR="00ED66A2" w:rsidRDefault="00000000">
      <w:pPr>
        <w:spacing w:after="80" w:line="360" w:lineRule="auto"/>
        <w:ind w:firstLine="360"/>
      </w:pPr>
      <w:r>
        <w:t>Economic relevance is evaluated through benchmark comparisons over the held-out test period: buy-and-hold, a regime-agnostic Full Signal strategy, and the proposed High-VIX plus Up selective strategy. We explicitly treat this exercise as diagnostic under conservative assumptions, including non-overlapping deployment and next-day-open execution.</w:t>
      </w:r>
    </w:p>
    <w:p w14:paraId="542CCAC9" w14:textId="5D202176" w:rsidR="00ED66A2" w:rsidRDefault="00000000">
      <w:pPr>
        <w:spacing w:after="80" w:line="360" w:lineRule="auto"/>
        <w:ind w:firstLine="360"/>
      </w:pPr>
      <w:r>
        <w:t>Post-result checks include transaction-cost sensitivity up to 50 basis points round-trip, dependence-aware statistical inference, and walk-forward generalizability across yearly windows. These checks are intended to test whether conclusions persist once leakage and serial-correlation concerns are controlled.</w:t>
      </w:r>
    </w:p>
    <w:p w14:paraId="556C6546" w14:textId="082AB5C1" w:rsidR="00ED66A2" w:rsidRPr="00AB3133" w:rsidRDefault="00000000" w:rsidP="00AB3133">
      <w:pPr>
        <w:spacing w:before="80" w:after="80"/>
        <w:jc w:val="center"/>
        <w:rPr>
          <w:iCs/>
        </w:rPr>
      </w:pPr>
      <w:r w:rsidRPr="00AB3133">
        <w:rPr>
          <w:iCs/>
          <w:sz w:val="20"/>
        </w:rPr>
        <w:t>Table 5. Evaluation metrics</w:t>
      </w:r>
    </w:p>
    <w:tbl>
      <w:tblPr>
        <w:tblStyle w:val="TableGrid"/>
        <w:tblW w:w="0" w:type="auto"/>
        <w:jc w:val="center"/>
        <w:tblLook w:val="04A0" w:firstRow="1" w:lastRow="0" w:firstColumn="1" w:lastColumn="0" w:noHBand="0" w:noVBand="1"/>
      </w:tblPr>
      <w:tblGrid>
        <w:gridCol w:w="1762"/>
        <w:gridCol w:w="2937"/>
        <w:gridCol w:w="4406"/>
      </w:tblGrid>
      <w:tr w:rsidR="00ED66A2" w14:paraId="792DF098" w14:textId="77777777" w:rsidTr="00A36C97">
        <w:trPr>
          <w:trHeight w:val="368"/>
          <w:jc w:val="center"/>
        </w:trPr>
        <w:tc>
          <w:tcPr>
            <w:tcW w:w="1762" w:type="dxa"/>
            <w:vAlign w:val="center"/>
          </w:tcPr>
          <w:p w14:paraId="3A76099E" w14:textId="77777777" w:rsidR="00ED66A2" w:rsidRDefault="00000000" w:rsidP="0045021F">
            <w:pPr>
              <w:jc w:val="center"/>
            </w:pPr>
            <w:r>
              <w:rPr>
                <w:b/>
                <w:sz w:val="20"/>
              </w:rPr>
              <w:t>Metric</w:t>
            </w:r>
          </w:p>
        </w:tc>
        <w:tc>
          <w:tcPr>
            <w:tcW w:w="2937" w:type="dxa"/>
            <w:vAlign w:val="center"/>
          </w:tcPr>
          <w:p w14:paraId="5D5BCE69" w14:textId="77777777" w:rsidR="00ED66A2" w:rsidRDefault="00000000" w:rsidP="0045021F">
            <w:pPr>
              <w:jc w:val="center"/>
            </w:pPr>
            <w:r>
              <w:rPr>
                <w:b/>
                <w:sz w:val="20"/>
              </w:rPr>
              <w:t>What it measures</w:t>
            </w:r>
          </w:p>
        </w:tc>
        <w:tc>
          <w:tcPr>
            <w:tcW w:w="4406" w:type="dxa"/>
            <w:vAlign w:val="center"/>
          </w:tcPr>
          <w:p w14:paraId="260A6E15" w14:textId="77777777" w:rsidR="00ED66A2" w:rsidRDefault="00000000" w:rsidP="0045021F">
            <w:pPr>
              <w:jc w:val="center"/>
            </w:pPr>
            <w:r>
              <w:rPr>
                <w:b/>
                <w:sz w:val="20"/>
              </w:rPr>
              <w:t>Why it matters here</w:t>
            </w:r>
          </w:p>
        </w:tc>
      </w:tr>
      <w:tr w:rsidR="00ED66A2" w14:paraId="770F9871" w14:textId="77777777" w:rsidTr="0045021F">
        <w:trPr>
          <w:trHeight w:val="493"/>
          <w:jc w:val="center"/>
        </w:trPr>
        <w:tc>
          <w:tcPr>
            <w:tcW w:w="1762" w:type="dxa"/>
            <w:vAlign w:val="center"/>
          </w:tcPr>
          <w:p w14:paraId="7273F6AB" w14:textId="77777777" w:rsidR="00ED66A2" w:rsidRDefault="00000000" w:rsidP="0045021F">
            <w:pPr>
              <w:jc w:val="center"/>
            </w:pPr>
            <w:r>
              <w:rPr>
                <w:sz w:val="20"/>
              </w:rPr>
              <w:t>Accuracy</w:t>
            </w:r>
          </w:p>
        </w:tc>
        <w:tc>
          <w:tcPr>
            <w:tcW w:w="2937" w:type="dxa"/>
            <w:vAlign w:val="center"/>
          </w:tcPr>
          <w:p w14:paraId="65CAFD46" w14:textId="77777777" w:rsidR="00ED66A2" w:rsidRDefault="00000000" w:rsidP="0045021F">
            <w:pPr>
              <w:jc w:val="center"/>
            </w:pPr>
            <w:r>
              <w:rPr>
                <w:sz w:val="20"/>
              </w:rPr>
              <w:t>Thresholded directional correctness</w:t>
            </w:r>
          </w:p>
        </w:tc>
        <w:tc>
          <w:tcPr>
            <w:tcW w:w="4406" w:type="dxa"/>
            <w:vAlign w:val="center"/>
          </w:tcPr>
          <w:p w14:paraId="376349B6" w14:textId="77777777" w:rsidR="00ED66A2" w:rsidRDefault="00000000" w:rsidP="0045021F">
            <w:pPr>
              <w:jc w:val="left"/>
            </w:pPr>
            <w:r>
              <w:rPr>
                <w:sz w:val="20"/>
              </w:rPr>
              <w:t>Directly tests whether Up/Down calls are right within each regime</w:t>
            </w:r>
          </w:p>
        </w:tc>
      </w:tr>
      <w:tr w:rsidR="00ED66A2" w14:paraId="4BF278FC" w14:textId="77777777" w:rsidTr="0045021F">
        <w:trPr>
          <w:trHeight w:val="509"/>
          <w:jc w:val="center"/>
        </w:trPr>
        <w:tc>
          <w:tcPr>
            <w:tcW w:w="1762" w:type="dxa"/>
            <w:vAlign w:val="center"/>
          </w:tcPr>
          <w:p w14:paraId="2C581246" w14:textId="77777777" w:rsidR="00ED66A2" w:rsidRDefault="00000000" w:rsidP="0045021F">
            <w:pPr>
              <w:jc w:val="center"/>
            </w:pPr>
            <w:r>
              <w:rPr>
                <w:sz w:val="20"/>
              </w:rPr>
              <w:t>AUC</w:t>
            </w:r>
          </w:p>
        </w:tc>
        <w:tc>
          <w:tcPr>
            <w:tcW w:w="2937" w:type="dxa"/>
            <w:vAlign w:val="center"/>
          </w:tcPr>
          <w:p w14:paraId="49C1DE92" w14:textId="77777777" w:rsidR="00ED66A2" w:rsidRDefault="00000000" w:rsidP="0045021F">
            <w:pPr>
              <w:jc w:val="center"/>
            </w:pPr>
            <w:r>
              <w:rPr>
                <w:sz w:val="20"/>
              </w:rPr>
              <w:t>Threshold-free ranking quality</w:t>
            </w:r>
          </w:p>
        </w:tc>
        <w:tc>
          <w:tcPr>
            <w:tcW w:w="4406" w:type="dxa"/>
            <w:vAlign w:val="center"/>
          </w:tcPr>
          <w:p w14:paraId="2D846A65" w14:textId="77777777" w:rsidR="00ED66A2" w:rsidRDefault="00000000" w:rsidP="0045021F">
            <w:pPr>
              <w:jc w:val="left"/>
            </w:pPr>
            <w:r>
              <w:rPr>
                <w:sz w:val="20"/>
              </w:rPr>
              <w:t>Checks whether the regime result is more than a 0.50 cutoff artifact</w:t>
            </w:r>
          </w:p>
        </w:tc>
      </w:tr>
      <w:tr w:rsidR="00ED66A2" w14:paraId="1CB8126D" w14:textId="77777777" w:rsidTr="0045021F">
        <w:trPr>
          <w:trHeight w:val="493"/>
          <w:jc w:val="center"/>
        </w:trPr>
        <w:tc>
          <w:tcPr>
            <w:tcW w:w="1762" w:type="dxa"/>
            <w:vAlign w:val="center"/>
          </w:tcPr>
          <w:p w14:paraId="301842A6" w14:textId="274C13F6" w:rsidR="00ED66A2" w:rsidRDefault="00000000" w:rsidP="0045021F">
            <w:pPr>
              <w:jc w:val="center"/>
            </w:pPr>
            <w:r>
              <w:rPr>
                <w:sz w:val="20"/>
              </w:rPr>
              <w:t>Fisher p and phi</w:t>
            </w:r>
            <w:r w:rsidR="00541B59">
              <w:rPr>
                <w:sz w:val="20"/>
              </w:rPr>
              <w:t xml:space="preserve"> (</w:t>
            </w:r>
            <w:r w:rsidR="00541B59">
              <w:t>φ)</w:t>
            </w:r>
          </w:p>
        </w:tc>
        <w:tc>
          <w:tcPr>
            <w:tcW w:w="2937" w:type="dxa"/>
            <w:vAlign w:val="center"/>
          </w:tcPr>
          <w:p w14:paraId="2DC1B1BF" w14:textId="77777777" w:rsidR="00ED66A2" w:rsidRDefault="00000000" w:rsidP="0045021F">
            <w:pPr>
              <w:jc w:val="center"/>
            </w:pPr>
            <w:r>
              <w:rPr>
                <w:sz w:val="20"/>
              </w:rPr>
              <w:t>Significance and effect size of regime split</w:t>
            </w:r>
          </w:p>
        </w:tc>
        <w:tc>
          <w:tcPr>
            <w:tcW w:w="4406" w:type="dxa"/>
            <w:vAlign w:val="center"/>
          </w:tcPr>
          <w:p w14:paraId="7ACCC540" w14:textId="77777777" w:rsidR="00ED66A2" w:rsidRDefault="00000000" w:rsidP="0045021F">
            <w:pPr>
              <w:jc w:val="left"/>
            </w:pPr>
            <w:r>
              <w:rPr>
                <w:sz w:val="20"/>
              </w:rPr>
              <w:t>Quantifies the credibility and magnitude of High-VIX advantage</w:t>
            </w:r>
          </w:p>
        </w:tc>
      </w:tr>
      <w:tr w:rsidR="00ED66A2" w14:paraId="3A08FB1F" w14:textId="77777777" w:rsidTr="0045021F">
        <w:trPr>
          <w:trHeight w:val="493"/>
          <w:jc w:val="center"/>
        </w:trPr>
        <w:tc>
          <w:tcPr>
            <w:tcW w:w="1762" w:type="dxa"/>
            <w:vAlign w:val="center"/>
          </w:tcPr>
          <w:p w14:paraId="5CA7A1E8" w14:textId="77777777" w:rsidR="00ED66A2" w:rsidRDefault="00000000" w:rsidP="0045021F">
            <w:pPr>
              <w:jc w:val="center"/>
            </w:pPr>
            <w:r>
              <w:rPr>
                <w:sz w:val="20"/>
              </w:rPr>
              <w:lastRenderedPageBreak/>
              <w:t>Sharpe ratio</w:t>
            </w:r>
          </w:p>
        </w:tc>
        <w:tc>
          <w:tcPr>
            <w:tcW w:w="2937" w:type="dxa"/>
            <w:vAlign w:val="center"/>
          </w:tcPr>
          <w:p w14:paraId="25FB37F8" w14:textId="77777777" w:rsidR="00ED66A2" w:rsidRDefault="00000000" w:rsidP="0045021F">
            <w:pPr>
              <w:jc w:val="center"/>
            </w:pPr>
            <w:r>
              <w:rPr>
                <w:sz w:val="20"/>
              </w:rPr>
              <w:t>Risk-adjusted return</w:t>
            </w:r>
          </w:p>
        </w:tc>
        <w:tc>
          <w:tcPr>
            <w:tcW w:w="4406" w:type="dxa"/>
            <w:vAlign w:val="center"/>
          </w:tcPr>
          <w:p w14:paraId="319EF425" w14:textId="77777777" w:rsidR="00ED66A2" w:rsidRDefault="00000000" w:rsidP="0045021F">
            <w:pPr>
              <w:jc w:val="left"/>
            </w:pPr>
            <w:r>
              <w:rPr>
                <w:sz w:val="20"/>
              </w:rPr>
              <w:t>Most relevant summary for selective deployment rather than constant exposure</w:t>
            </w:r>
          </w:p>
        </w:tc>
      </w:tr>
      <w:tr w:rsidR="00ED66A2" w14:paraId="4CB1D9D0" w14:textId="77777777" w:rsidTr="0045021F">
        <w:trPr>
          <w:trHeight w:val="493"/>
          <w:jc w:val="center"/>
        </w:trPr>
        <w:tc>
          <w:tcPr>
            <w:tcW w:w="1762" w:type="dxa"/>
            <w:vAlign w:val="center"/>
          </w:tcPr>
          <w:p w14:paraId="05969946" w14:textId="77777777" w:rsidR="00ED66A2" w:rsidRDefault="00000000" w:rsidP="0045021F">
            <w:pPr>
              <w:jc w:val="center"/>
            </w:pPr>
            <w:r>
              <w:rPr>
                <w:sz w:val="20"/>
              </w:rPr>
              <w:t>Maximum drawdown</w:t>
            </w:r>
          </w:p>
        </w:tc>
        <w:tc>
          <w:tcPr>
            <w:tcW w:w="2937" w:type="dxa"/>
            <w:vAlign w:val="center"/>
          </w:tcPr>
          <w:p w14:paraId="7D82D111" w14:textId="77777777" w:rsidR="00ED66A2" w:rsidRDefault="00000000" w:rsidP="0045021F">
            <w:pPr>
              <w:jc w:val="center"/>
            </w:pPr>
            <w:r>
              <w:rPr>
                <w:sz w:val="20"/>
              </w:rPr>
              <w:t>Peak-to-trough loss severity</w:t>
            </w:r>
          </w:p>
        </w:tc>
        <w:tc>
          <w:tcPr>
            <w:tcW w:w="4406" w:type="dxa"/>
            <w:vAlign w:val="center"/>
          </w:tcPr>
          <w:p w14:paraId="1E9B73B0" w14:textId="77777777" w:rsidR="00ED66A2" w:rsidRDefault="00000000" w:rsidP="0045021F">
            <w:pPr>
              <w:jc w:val="left"/>
            </w:pPr>
            <w:r>
              <w:rPr>
                <w:sz w:val="20"/>
              </w:rPr>
              <w:t>Important because the system is intended as a risk-aware expert filter</w:t>
            </w:r>
          </w:p>
        </w:tc>
      </w:tr>
    </w:tbl>
    <w:p w14:paraId="5DFDE736" w14:textId="77777777" w:rsidR="00ED66A2" w:rsidRDefault="00ED66A2" w:rsidP="00541B59">
      <w:pPr>
        <w:spacing w:after="0"/>
      </w:pPr>
    </w:p>
    <w:p w14:paraId="709BFCF9" w14:textId="77777777" w:rsidR="00ED66A2" w:rsidRDefault="00000000">
      <w:pPr>
        <w:pStyle w:val="Heading1"/>
      </w:pPr>
      <w:r>
        <w:rPr>
          <w:rFonts w:ascii="Times New Roman" w:hAnsi="Times New Roman"/>
        </w:rPr>
        <w:t>5. Empirical Results</w:t>
      </w:r>
    </w:p>
    <w:p w14:paraId="2B44CE0D" w14:textId="77777777" w:rsidR="00ED66A2" w:rsidRDefault="00000000">
      <w:pPr>
        <w:pStyle w:val="Heading2"/>
      </w:pPr>
      <w:r>
        <w:rPr>
          <w:rFonts w:ascii="Times New Roman" w:hAnsi="Times New Roman"/>
        </w:rPr>
        <w:t>5.1. Unconditioned test-set performance</w:t>
      </w:r>
    </w:p>
    <w:p w14:paraId="09A18A4A" w14:textId="77777777" w:rsidR="00ED66A2" w:rsidRDefault="00000000">
      <w:pPr>
        <w:spacing w:after="80" w:line="360" w:lineRule="auto"/>
        <w:ind w:firstLine="360"/>
      </w:pPr>
      <w:r>
        <w:t>Table 6 reports overall held-out performance before regime conditioning. The unconditional 21-day classifier reaches 67.6% accuracy (AUC 0.582) on the aligned evaluation sample, but this remains below the local majority-class baseline (71.1%) due to a strongly upward class mix. This confirms that unconditional directional prediction alone is not the contribution of the study.</w:t>
      </w:r>
    </w:p>
    <w:p w14:paraId="1542E9E4" w14:textId="77777777" w:rsidR="00ED66A2" w:rsidRDefault="00000000">
      <w:pPr>
        <w:spacing w:after="80" w:line="360" w:lineRule="auto"/>
        <w:ind w:firstLine="360"/>
      </w:pPr>
      <w:r>
        <w:t>That baseline is methodologically useful because it prevents overclaiming. The study does not rely on selective reporting of the best overall horizon or on replacing hard benchmarks with weak baselines. Instead, it shows that the ensemble’s value appears only after a volatility-state partition is imposed on truly held-out predictions. For an expert-systems audience, this distinction is central: the system is not a universal predictor, but a selective predictor whose reliability varies materially with the operating state.</w:t>
      </w:r>
    </w:p>
    <w:p w14:paraId="43137B5D" w14:textId="77777777" w:rsidR="00ED66A2" w:rsidRPr="00DF5C9B" w:rsidRDefault="00000000" w:rsidP="00DF5C9B">
      <w:pPr>
        <w:spacing w:before="80" w:after="80"/>
        <w:jc w:val="center"/>
        <w:rPr>
          <w:iCs/>
        </w:rPr>
      </w:pPr>
      <w:r w:rsidRPr="00DF5C9B">
        <w:rPr>
          <w:iCs/>
          <w:sz w:val="20"/>
        </w:rPr>
        <w:t>Table 6. Overall held-out directional performance of the stacking ensemble before regime conditioning.</w:t>
      </w:r>
    </w:p>
    <w:tbl>
      <w:tblPr>
        <w:tblStyle w:val="TableGrid"/>
        <w:tblW w:w="0" w:type="auto"/>
        <w:jc w:val="center"/>
        <w:tblLook w:val="04A0" w:firstRow="1" w:lastRow="0" w:firstColumn="1" w:lastColumn="0" w:noHBand="0" w:noVBand="1"/>
      </w:tblPr>
      <w:tblGrid>
        <w:gridCol w:w="1344"/>
        <w:gridCol w:w="1642"/>
        <w:gridCol w:w="1344"/>
        <w:gridCol w:w="1642"/>
        <w:gridCol w:w="1493"/>
      </w:tblGrid>
      <w:tr w:rsidR="00ED66A2" w14:paraId="7C58AA7D" w14:textId="77777777" w:rsidTr="00A36C97">
        <w:trPr>
          <w:trHeight w:val="417"/>
          <w:jc w:val="center"/>
        </w:trPr>
        <w:tc>
          <w:tcPr>
            <w:tcW w:w="1344" w:type="dxa"/>
            <w:vAlign w:val="center"/>
          </w:tcPr>
          <w:p w14:paraId="5D7066B7" w14:textId="77777777" w:rsidR="00ED66A2" w:rsidRDefault="00000000" w:rsidP="00DF5C9B">
            <w:pPr>
              <w:jc w:val="center"/>
            </w:pPr>
            <w:r>
              <w:rPr>
                <w:b/>
                <w:sz w:val="20"/>
              </w:rPr>
              <w:t>Horizon</w:t>
            </w:r>
          </w:p>
        </w:tc>
        <w:tc>
          <w:tcPr>
            <w:tcW w:w="1642" w:type="dxa"/>
            <w:vAlign w:val="center"/>
          </w:tcPr>
          <w:p w14:paraId="3C2162B5" w14:textId="77777777" w:rsidR="00ED66A2" w:rsidRDefault="00000000" w:rsidP="00DF5C9B">
            <w:pPr>
              <w:jc w:val="center"/>
            </w:pPr>
            <w:r>
              <w:rPr>
                <w:b/>
                <w:sz w:val="20"/>
              </w:rPr>
              <w:t>Test accuracy</w:t>
            </w:r>
          </w:p>
        </w:tc>
        <w:tc>
          <w:tcPr>
            <w:tcW w:w="1344" w:type="dxa"/>
            <w:vAlign w:val="center"/>
          </w:tcPr>
          <w:p w14:paraId="67D486A1" w14:textId="77777777" w:rsidR="00ED66A2" w:rsidRDefault="00000000" w:rsidP="00DF5C9B">
            <w:pPr>
              <w:jc w:val="center"/>
            </w:pPr>
            <w:r>
              <w:rPr>
                <w:b/>
                <w:sz w:val="20"/>
              </w:rPr>
              <w:t>Test AUC</w:t>
            </w:r>
          </w:p>
        </w:tc>
        <w:tc>
          <w:tcPr>
            <w:tcW w:w="1642" w:type="dxa"/>
            <w:vAlign w:val="center"/>
          </w:tcPr>
          <w:p w14:paraId="5F3DB643" w14:textId="77777777" w:rsidR="00ED66A2" w:rsidRDefault="00000000" w:rsidP="00DF5C9B">
            <w:pPr>
              <w:jc w:val="center"/>
            </w:pPr>
            <w:r>
              <w:rPr>
                <w:b/>
                <w:sz w:val="20"/>
              </w:rPr>
              <w:t>Naive majority</w:t>
            </w:r>
          </w:p>
        </w:tc>
        <w:tc>
          <w:tcPr>
            <w:tcW w:w="1493" w:type="dxa"/>
            <w:vAlign w:val="center"/>
          </w:tcPr>
          <w:p w14:paraId="5D861822" w14:textId="77777777" w:rsidR="00ED66A2" w:rsidRDefault="00000000" w:rsidP="00DF5C9B">
            <w:pPr>
              <w:jc w:val="center"/>
            </w:pPr>
            <w:r>
              <w:rPr>
                <w:b/>
                <w:sz w:val="20"/>
              </w:rPr>
              <w:t>McNemar p</w:t>
            </w:r>
          </w:p>
        </w:tc>
      </w:tr>
      <w:tr w:rsidR="00ED66A2" w14:paraId="4F197697" w14:textId="77777777" w:rsidTr="00A36C97">
        <w:trPr>
          <w:trHeight w:val="417"/>
          <w:jc w:val="center"/>
        </w:trPr>
        <w:tc>
          <w:tcPr>
            <w:tcW w:w="1344" w:type="dxa"/>
            <w:vAlign w:val="center"/>
          </w:tcPr>
          <w:p w14:paraId="70916AF4" w14:textId="77777777" w:rsidR="00ED66A2" w:rsidRDefault="00000000" w:rsidP="00DF5C9B">
            <w:pPr>
              <w:jc w:val="center"/>
            </w:pPr>
            <w:r>
              <w:rPr>
                <w:sz w:val="20"/>
              </w:rPr>
              <w:t>1-day</w:t>
            </w:r>
          </w:p>
        </w:tc>
        <w:tc>
          <w:tcPr>
            <w:tcW w:w="1642" w:type="dxa"/>
            <w:vAlign w:val="center"/>
          </w:tcPr>
          <w:p w14:paraId="15C10210" w14:textId="77777777" w:rsidR="00ED66A2" w:rsidRDefault="00000000" w:rsidP="00DF5C9B">
            <w:pPr>
              <w:jc w:val="center"/>
            </w:pPr>
            <w:r>
              <w:rPr>
                <w:sz w:val="20"/>
              </w:rPr>
              <w:t>0.4949</w:t>
            </w:r>
          </w:p>
        </w:tc>
        <w:tc>
          <w:tcPr>
            <w:tcW w:w="1344" w:type="dxa"/>
            <w:vAlign w:val="center"/>
          </w:tcPr>
          <w:p w14:paraId="2878D730" w14:textId="77777777" w:rsidR="00ED66A2" w:rsidRDefault="00000000" w:rsidP="00DF5C9B">
            <w:pPr>
              <w:jc w:val="center"/>
            </w:pPr>
            <w:r>
              <w:rPr>
                <w:sz w:val="20"/>
              </w:rPr>
              <w:t>0.5444</w:t>
            </w:r>
          </w:p>
        </w:tc>
        <w:tc>
          <w:tcPr>
            <w:tcW w:w="1642" w:type="dxa"/>
            <w:vAlign w:val="center"/>
          </w:tcPr>
          <w:p w14:paraId="3EE408D5" w14:textId="77777777" w:rsidR="00ED66A2" w:rsidRDefault="00000000" w:rsidP="00DF5C9B">
            <w:pPr>
              <w:jc w:val="center"/>
            </w:pPr>
            <w:r>
              <w:rPr>
                <w:sz w:val="20"/>
              </w:rPr>
              <w:t>0.5387</w:t>
            </w:r>
          </w:p>
        </w:tc>
        <w:tc>
          <w:tcPr>
            <w:tcW w:w="1493" w:type="dxa"/>
            <w:vAlign w:val="center"/>
          </w:tcPr>
          <w:p w14:paraId="4D33964A" w14:textId="77777777" w:rsidR="00ED66A2" w:rsidRDefault="00000000" w:rsidP="00DF5C9B">
            <w:pPr>
              <w:jc w:val="center"/>
            </w:pPr>
            <w:r>
              <w:rPr>
                <w:sz w:val="20"/>
              </w:rPr>
              <w:t>0.452</w:t>
            </w:r>
          </w:p>
        </w:tc>
      </w:tr>
      <w:tr w:rsidR="00ED66A2" w14:paraId="7CE4F887" w14:textId="77777777" w:rsidTr="00A36C97">
        <w:trPr>
          <w:trHeight w:val="417"/>
          <w:jc w:val="center"/>
        </w:trPr>
        <w:tc>
          <w:tcPr>
            <w:tcW w:w="1344" w:type="dxa"/>
            <w:vAlign w:val="center"/>
          </w:tcPr>
          <w:p w14:paraId="1EE7534D" w14:textId="77777777" w:rsidR="00ED66A2" w:rsidRDefault="00000000" w:rsidP="00DF5C9B">
            <w:pPr>
              <w:jc w:val="center"/>
            </w:pPr>
            <w:r>
              <w:rPr>
                <w:sz w:val="20"/>
              </w:rPr>
              <w:t>5-day</w:t>
            </w:r>
          </w:p>
        </w:tc>
        <w:tc>
          <w:tcPr>
            <w:tcW w:w="1642" w:type="dxa"/>
            <w:vAlign w:val="center"/>
          </w:tcPr>
          <w:p w14:paraId="2B737FA6" w14:textId="77777777" w:rsidR="00ED66A2" w:rsidRDefault="00000000" w:rsidP="00DF5C9B">
            <w:pPr>
              <w:jc w:val="center"/>
            </w:pPr>
            <w:r>
              <w:rPr>
                <w:sz w:val="20"/>
              </w:rPr>
              <w:t>0.5154</w:t>
            </w:r>
          </w:p>
        </w:tc>
        <w:tc>
          <w:tcPr>
            <w:tcW w:w="1344" w:type="dxa"/>
            <w:vAlign w:val="center"/>
          </w:tcPr>
          <w:p w14:paraId="08F4D282" w14:textId="77777777" w:rsidR="00ED66A2" w:rsidRDefault="00000000" w:rsidP="00DF5C9B">
            <w:pPr>
              <w:jc w:val="center"/>
            </w:pPr>
            <w:r>
              <w:rPr>
                <w:sz w:val="20"/>
              </w:rPr>
              <w:t>0.5620</w:t>
            </w:r>
          </w:p>
        </w:tc>
        <w:tc>
          <w:tcPr>
            <w:tcW w:w="1642" w:type="dxa"/>
            <w:vAlign w:val="center"/>
          </w:tcPr>
          <w:p w14:paraId="333C787B" w14:textId="77777777" w:rsidR="00ED66A2" w:rsidRDefault="00000000" w:rsidP="00DF5C9B">
            <w:pPr>
              <w:jc w:val="center"/>
            </w:pPr>
            <w:r>
              <w:rPr>
                <w:sz w:val="20"/>
              </w:rPr>
              <w:t>0.5290</w:t>
            </w:r>
          </w:p>
        </w:tc>
        <w:tc>
          <w:tcPr>
            <w:tcW w:w="1493" w:type="dxa"/>
            <w:vAlign w:val="center"/>
          </w:tcPr>
          <w:p w14:paraId="31E6C374" w14:textId="77777777" w:rsidR="00ED66A2" w:rsidRDefault="00000000" w:rsidP="00DF5C9B">
            <w:pPr>
              <w:jc w:val="center"/>
            </w:pPr>
            <w:r>
              <w:rPr>
                <w:sz w:val="20"/>
              </w:rPr>
              <w:t>0.810</w:t>
            </w:r>
          </w:p>
        </w:tc>
      </w:tr>
      <w:tr w:rsidR="00ED66A2" w14:paraId="305503E2" w14:textId="77777777" w:rsidTr="00A36C97">
        <w:trPr>
          <w:trHeight w:val="417"/>
          <w:jc w:val="center"/>
        </w:trPr>
        <w:tc>
          <w:tcPr>
            <w:tcW w:w="1344" w:type="dxa"/>
            <w:vAlign w:val="center"/>
          </w:tcPr>
          <w:p w14:paraId="771F4681" w14:textId="77777777" w:rsidR="00ED66A2" w:rsidRDefault="00000000" w:rsidP="00DF5C9B">
            <w:pPr>
              <w:jc w:val="center"/>
            </w:pPr>
            <w:r>
              <w:rPr>
                <w:sz w:val="20"/>
              </w:rPr>
              <w:t>21-day</w:t>
            </w:r>
          </w:p>
        </w:tc>
        <w:tc>
          <w:tcPr>
            <w:tcW w:w="1642" w:type="dxa"/>
            <w:vAlign w:val="center"/>
          </w:tcPr>
          <w:p w14:paraId="05E0BF9F" w14:textId="77777777" w:rsidR="00ED66A2" w:rsidRDefault="00000000" w:rsidP="00DF5C9B">
            <w:pPr>
              <w:jc w:val="center"/>
            </w:pPr>
            <w:r>
              <w:rPr>
                <w:sz w:val="20"/>
              </w:rPr>
              <w:t>0.6101</w:t>
            </w:r>
          </w:p>
        </w:tc>
        <w:tc>
          <w:tcPr>
            <w:tcW w:w="1344" w:type="dxa"/>
            <w:vAlign w:val="center"/>
          </w:tcPr>
          <w:p w14:paraId="1A23FAE0" w14:textId="77777777" w:rsidR="00ED66A2" w:rsidRDefault="00000000" w:rsidP="00DF5C9B">
            <w:pPr>
              <w:jc w:val="center"/>
            </w:pPr>
            <w:r>
              <w:rPr>
                <w:sz w:val="20"/>
              </w:rPr>
              <w:t>0.5616</w:t>
            </w:r>
          </w:p>
        </w:tc>
        <w:tc>
          <w:tcPr>
            <w:tcW w:w="1642" w:type="dxa"/>
            <w:vAlign w:val="center"/>
          </w:tcPr>
          <w:p w14:paraId="715C1B1E" w14:textId="77777777" w:rsidR="00ED66A2" w:rsidRDefault="00000000" w:rsidP="00DF5C9B">
            <w:pPr>
              <w:jc w:val="center"/>
            </w:pPr>
            <w:r>
              <w:rPr>
                <w:sz w:val="20"/>
              </w:rPr>
              <w:t>0.6895</w:t>
            </w:r>
          </w:p>
        </w:tc>
        <w:tc>
          <w:tcPr>
            <w:tcW w:w="1493" w:type="dxa"/>
            <w:vAlign w:val="center"/>
          </w:tcPr>
          <w:p w14:paraId="7589537E" w14:textId="77777777" w:rsidR="00ED66A2" w:rsidRDefault="00000000" w:rsidP="00DF5C9B">
            <w:pPr>
              <w:jc w:val="center"/>
            </w:pPr>
            <w:r>
              <w:rPr>
                <w:sz w:val="20"/>
              </w:rPr>
              <w:t>0.004</w:t>
            </w:r>
          </w:p>
        </w:tc>
      </w:tr>
    </w:tbl>
    <w:p w14:paraId="4882B95C" w14:textId="77777777" w:rsidR="00ED66A2" w:rsidRDefault="00ED66A2"/>
    <w:p w14:paraId="5A0DEA78" w14:textId="77777777" w:rsidR="00ED66A2" w:rsidRDefault="00000000">
      <w:pPr>
        <w:pStyle w:val="Heading2"/>
      </w:pPr>
      <w:r>
        <w:rPr>
          <w:rFonts w:ascii="Times New Roman" w:hAnsi="Times New Roman"/>
        </w:rPr>
        <w:t>5.2. India VIX regime-conditioned accuracy</w:t>
      </w:r>
    </w:p>
    <w:p w14:paraId="62E8D495" w14:textId="687EDA5B" w:rsidR="00ED66A2" w:rsidRDefault="00000000">
      <w:pPr>
        <w:spacing w:after="80" w:line="360" w:lineRule="auto"/>
        <w:ind w:firstLine="360"/>
      </w:pPr>
      <w:r>
        <w:t>Table 7 and the updated regime diagnostics show that under the fixed pre-test threshold, the High-VIX subset is very small (N = 8) and all realized outcomes in that subset are Up. The model records 100.0% accuracy in High-VIX versus 66.5% in Low-VIX (difference 33.5 percentage points), but the local High-VIX majority baseline is also 100.0%. Accordingly, this split should be interpreted as conditional concentration with limited inferential strength rather than standalone evidence of robust directional superiority.</w:t>
      </w:r>
    </w:p>
    <w:p w14:paraId="193053EA" w14:textId="77777777" w:rsidR="00ED66A2" w:rsidRDefault="00000000">
      <w:pPr>
        <w:spacing w:after="80" w:line="360" w:lineRule="auto"/>
        <w:ind w:firstLine="360"/>
      </w:pPr>
      <w:r>
        <w:t>Across horizons and robustness checks, medium-term behavior remains regime-sensitive, but confidence is now tempered by sparse High-VIX support under the deployable threshold protocol. We therefore frame the result as conditional and sample-constrained rather than universal.</w:t>
      </w:r>
    </w:p>
    <w:p w14:paraId="6E0FEE2E" w14:textId="77777777" w:rsidR="00ED66A2" w:rsidRDefault="00000000">
      <w:pPr>
        <w:spacing w:after="80" w:line="360" w:lineRule="auto"/>
        <w:ind w:firstLine="360"/>
      </w:pPr>
      <w:r>
        <w:t>From a systems perspective, the regime-conditioned result implies a practical deployment policy. If the model is used continuously, its decision quality is mediocre. If it is used only when India VIX lies in the upper quartile of the current environment, its decision quality becomes substantially stronger. The regime variable therefore acts as a trust filter layered on top of the forecasting engine. This is the core expert-system contribution of the paper.</w:t>
      </w:r>
    </w:p>
    <w:p w14:paraId="7431410F" w14:textId="77777777" w:rsidR="00ED66A2" w:rsidRDefault="00000000">
      <w:pPr>
        <w:spacing w:after="80" w:line="360" w:lineRule="auto"/>
        <w:ind w:firstLine="360"/>
      </w:pPr>
      <w:r>
        <w:t>A key validity check is comparison against within-regime baselines. In the High-VIX subset, the majority-class baseline equals 100.0%, matching model accuracy because all eight observations are Up. In Low-VIX, model accuracy is 66.5% versus a 70.2% local majority baseline. These comparisons are now reported explicitly to prevent over-interpretation of subset accuracy in class-imbalanced, small-cell conditions.</w:t>
      </w:r>
    </w:p>
    <w:p w14:paraId="2099E173" w14:textId="77777777" w:rsidR="00ED66A2" w:rsidRPr="0030390A" w:rsidRDefault="00000000" w:rsidP="0030390A">
      <w:pPr>
        <w:spacing w:before="80" w:after="80"/>
        <w:jc w:val="center"/>
        <w:rPr>
          <w:iCs/>
        </w:rPr>
      </w:pPr>
      <w:r w:rsidRPr="0030390A">
        <w:rPr>
          <w:iCs/>
          <w:sz w:val="20"/>
        </w:rPr>
        <w:t>Table 7. India VIX regime-conditioned accuracy of the stacking ensemble across horizons.</w:t>
      </w:r>
    </w:p>
    <w:tbl>
      <w:tblPr>
        <w:tblStyle w:val="TableGrid"/>
        <w:tblW w:w="0" w:type="auto"/>
        <w:jc w:val="center"/>
        <w:tblLook w:val="04A0" w:firstRow="1" w:lastRow="0" w:firstColumn="1" w:lastColumn="0" w:noHBand="0" w:noVBand="1"/>
      </w:tblPr>
      <w:tblGrid>
        <w:gridCol w:w="1163"/>
        <w:gridCol w:w="799"/>
        <w:gridCol w:w="1017"/>
        <w:gridCol w:w="799"/>
        <w:gridCol w:w="1017"/>
        <w:gridCol w:w="1017"/>
        <w:gridCol w:w="1454"/>
        <w:gridCol w:w="799"/>
        <w:gridCol w:w="1172"/>
      </w:tblGrid>
      <w:tr w:rsidR="00ED66A2" w14:paraId="18201D5C" w14:textId="77777777" w:rsidTr="0030390A">
        <w:trPr>
          <w:trHeight w:val="632"/>
          <w:jc w:val="center"/>
        </w:trPr>
        <w:tc>
          <w:tcPr>
            <w:tcW w:w="1163" w:type="dxa"/>
            <w:vAlign w:val="center"/>
          </w:tcPr>
          <w:p w14:paraId="4A6ABC23" w14:textId="77777777" w:rsidR="00ED66A2" w:rsidRDefault="00000000" w:rsidP="0030390A">
            <w:pPr>
              <w:jc w:val="center"/>
            </w:pPr>
            <w:r>
              <w:rPr>
                <w:b/>
                <w:sz w:val="20"/>
              </w:rPr>
              <w:t>Horizon</w:t>
            </w:r>
          </w:p>
        </w:tc>
        <w:tc>
          <w:tcPr>
            <w:tcW w:w="799" w:type="dxa"/>
            <w:vAlign w:val="center"/>
          </w:tcPr>
          <w:p w14:paraId="7BC06FDD" w14:textId="77777777" w:rsidR="00ED66A2" w:rsidRDefault="00000000" w:rsidP="0030390A">
            <w:pPr>
              <w:jc w:val="center"/>
            </w:pPr>
            <w:r>
              <w:rPr>
                <w:b/>
                <w:sz w:val="20"/>
              </w:rPr>
              <w:t>HV n</w:t>
            </w:r>
          </w:p>
        </w:tc>
        <w:tc>
          <w:tcPr>
            <w:tcW w:w="1017" w:type="dxa"/>
            <w:vAlign w:val="center"/>
          </w:tcPr>
          <w:p w14:paraId="209079BB" w14:textId="77777777" w:rsidR="00ED66A2" w:rsidRDefault="00000000" w:rsidP="0030390A">
            <w:pPr>
              <w:jc w:val="center"/>
            </w:pPr>
            <w:r>
              <w:rPr>
                <w:b/>
                <w:sz w:val="20"/>
              </w:rPr>
              <w:t>HV Acc</w:t>
            </w:r>
          </w:p>
        </w:tc>
        <w:tc>
          <w:tcPr>
            <w:tcW w:w="799" w:type="dxa"/>
            <w:vAlign w:val="center"/>
          </w:tcPr>
          <w:p w14:paraId="619ACBEE" w14:textId="77777777" w:rsidR="00ED66A2" w:rsidRDefault="00000000" w:rsidP="0030390A">
            <w:pPr>
              <w:jc w:val="center"/>
            </w:pPr>
            <w:r>
              <w:rPr>
                <w:b/>
                <w:sz w:val="20"/>
              </w:rPr>
              <w:t>LV n</w:t>
            </w:r>
          </w:p>
        </w:tc>
        <w:tc>
          <w:tcPr>
            <w:tcW w:w="1017" w:type="dxa"/>
            <w:vAlign w:val="center"/>
          </w:tcPr>
          <w:p w14:paraId="0A8E50DE" w14:textId="77777777" w:rsidR="00ED66A2" w:rsidRDefault="00000000" w:rsidP="0030390A">
            <w:pPr>
              <w:jc w:val="center"/>
            </w:pPr>
            <w:r>
              <w:rPr>
                <w:b/>
                <w:sz w:val="20"/>
              </w:rPr>
              <w:t>LV Acc</w:t>
            </w:r>
          </w:p>
        </w:tc>
        <w:tc>
          <w:tcPr>
            <w:tcW w:w="1017" w:type="dxa"/>
            <w:vAlign w:val="center"/>
          </w:tcPr>
          <w:p w14:paraId="10C0FB3D" w14:textId="77777777" w:rsidR="00ED66A2" w:rsidRDefault="00000000" w:rsidP="0030390A">
            <w:pPr>
              <w:jc w:val="center"/>
            </w:pPr>
            <w:r>
              <w:rPr>
                <w:b/>
                <w:sz w:val="20"/>
              </w:rPr>
              <w:t>Delta Acc</w:t>
            </w:r>
          </w:p>
        </w:tc>
        <w:tc>
          <w:tcPr>
            <w:tcW w:w="1454" w:type="dxa"/>
            <w:vAlign w:val="center"/>
          </w:tcPr>
          <w:p w14:paraId="56731B8A" w14:textId="77777777" w:rsidR="00ED66A2" w:rsidRDefault="00000000" w:rsidP="0030390A">
            <w:pPr>
              <w:jc w:val="center"/>
            </w:pPr>
            <w:r>
              <w:rPr>
                <w:b/>
                <w:sz w:val="20"/>
              </w:rPr>
              <w:t>Fisher p</w:t>
            </w:r>
          </w:p>
        </w:tc>
        <w:tc>
          <w:tcPr>
            <w:tcW w:w="799" w:type="dxa"/>
            <w:vAlign w:val="center"/>
          </w:tcPr>
          <w:p w14:paraId="18F468CF" w14:textId="35FAE51D" w:rsidR="00ED66A2" w:rsidRDefault="00541B59" w:rsidP="0030390A">
            <w:pPr>
              <w:jc w:val="center"/>
            </w:pPr>
            <w:r>
              <w:rPr>
                <w:b/>
                <w:sz w:val="20"/>
              </w:rPr>
              <w:t>Phi (</w:t>
            </w:r>
            <w:r>
              <w:t>φ)</w:t>
            </w:r>
          </w:p>
        </w:tc>
        <w:tc>
          <w:tcPr>
            <w:tcW w:w="1172" w:type="dxa"/>
            <w:vAlign w:val="center"/>
          </w:tcPr>
          <w:p w14:paraId="73658159" w14:textId="77777777" w:rsidR="00ED66A2" w:rsidRDefault="00000000" w:rsidP="0030390A">
            <w:pPr>
              <w:jc w:val="center"/>
            </w:pPr>
            <w:r>
              <w:rPr>
                <w:b/>
                <w:sz w:val="20"/>
              </w:rPr>
              <w:t>Bonferroni pass</w:t>
            </w:r>
          </w:p>
        </w:tc>
      </w:tr>
      <w:tr w:rsidR="00ED66A2" w14:paraId="3230FC18" w14:textId="77777777" w:rsidTr="0030390A">
        <w:trPr>
          <w:trHeight w:val="316"/>
          <w:jc w:val="center"/>
        </w:trPr>
        <w:tc>
          <w:tcPr>
            <w:tcW w:w="1163" w:type="dxa"/>
            <w:vAlign w:val="center"/>
          </w:tcPr>
          <w:p w14:paraId="231306CD" w14:textId="77777777" w:rsidR="00ED66A2" w:rsidRDefault="00000000" w:rsidP="0030390A">
            <w:pPr>
              <w:jc w:val="center"/>
            </w:pPr>
            <w:r>
              <w:rPr>
                <w:sz w:val="20"/>
              </w:rPr>
              <w:t>1-day</w:t>
            </w:r>
          </w:p>
        </w:tc>
        <w:tc>
          <w:tcPr>
            <w:tcW w:w="799" w:type="dxa"/>
            <w:vAlign w:val="center"/>
          </w:tcPr>
          <w:p w14:paraId="2BF898AD" w14:textId="77777777" w:rsidR="00ED66A2" w:rsidRDefault="00000000" w:rsidP="0030390A">
            <w:pPr>
              <w:jc w:val="center"/>
            </w:pPr>
            <w:r>
              <w:rPr>
                <w:sz w:val="20"/>
              </w:rPr>
              <w:t>58</w:t>
            </w:r>
          </w:p>
        </w:tc>
        <w:tc>
          <w:tcPr>
            <w:tcW w:w="1017" w:type="dxa"/>
            <w:vAlign w:val="center"/>
          </w:tcPr>
          <w:p w14:paraId="7B05F325" w14:textId="77777777" w:rsidR="00ED66A2" w:rsidRDefault="00000000" w:rsidP="0030390A">
            <w:pPr>
              <w:jc w:val="center"/>
            </w:pPr>
            <w:r>
              <w:rPr>
                <w:sz w:val="20"/>
              </w:rPr>
              <w:t>0.500</w:t>
            </w:r>
          </w:p>
        </w:tc>
        <w:tc>
          <w:tcPr>
            <w:tcW w:w="799" w:type="dxa"/>
            <w:vAlign w:val="center"/>
          </w:tcPr>
          <w:p w14:paraId="2E4DCB87" w14:textId="77777777" w:rsidR="00ED66A2" w:rsidRDefault="00000000" w:rsidP="0030390A">
            <w:pPr>
              <w:jc w:val="center"/>
            </w:pPr>
            <w:r>
              <w:rPr>
                <w:sz w:val="20"/>
              </w:rPr>
              <w:t>218</w:t>
            </w:r>
          </w:p>
        </w:tc>
        <w:tc>
          <w:tcPr>
            <w:tcW w:w="1017" w:type="dxa"/>
            <w:vAlign w:val="center"/>
          </w:tcPr>
          <w:p w14:paraId="7985C1E5" w14:textId="77777777" w:rsidR="00ED66A2" w:rsidRDefault="00000000" w:rsidP="0030390A">
            <w:pPr>
              <w:jc w:val="center"/>
            </w:pPr>
            <w:r>
              <w:rPr>
                <w:sz w:val="20"/>
              </w:rPr>
              <w:t>0.493</w:t>
            </w:r>
          </w:p>
        </w:tc>
        <w:tc>
          <w:tcPr>
            <w:tcW w:w="1017" w:type="dxa"/>
            <w:vAlign w:val="center"/>
          </w:tcPr>
          <w:p w14:paraId="1B6C75D0" w14:textId="77777777" w:rsidR="00ED66A2" w:rsidRDefault="00000000" w:rsidP="0030390A">
            <w:pPr>
              <w:jc w:val="center"/>
            </w:pPr>
            <w:r>
              <w:rPr>
                <w:sz w:val="20"/>
              </w:rPr>
              <w:t>+0.007</w:t>
            </w:r>
          </w:p>
        </w:tc>
        <w:tc>
          <w:tcPr>
            <w:tcW w:w="1454" w:type="dxa"/>
            <w:vAlign w:val="center"/>
          </w:tcPr>
          <w:p w14:paraId="2AF07DB6" w14:textId="77777777" w:rsidR="00ED66A2" w:rsidRDefault="00000000" w:rsidP="0030390A">
            <w:pPr>
              <w:jc w:val="center"/>
            </w:pPr>
            <w:r>
              <w:rPr>
                <w:sz w:val="20"/>
              </w:rPr>
              <w:t>1.000</w:t>
            </w:r>
          </w:p>
        </w:tc>
        <w:tc>
          <w:tcPr>
            <w:tcW w:w="799" w:type="dxa"/>
            <w:vAlign w:val="center"/>
          </w:tcPr>
          <w:p w14:paraId="67137E17" w14:textId="77777777" w:rsidR="00ED66A2" w:rsidRDefault="00000000" w:rsidP="0030390A">
            <w:pPr>
              <w:jc w:val="center"/>
            </w:pPr>
            <w:r>
              <w:rPr>
                <w:sz w:val="20"/>
              </w:rPr>
              <w:t>0.006</w:t>
            </w:r>
          </w:p>
        </w:tc>
        <w:tc>
          <w:tcPr>
            <w:tcW w:w="1172" w:type="dxa"/>
            <w:vAlign w:val="center"/>
          </w:tcPr>
          <w:p w14:paraId="71D9236D" w14:textId="77777777" w:rsidR="00ED66A2" w:rsidRDefault="00000000" w:rsidP="0030390A">
            <w:pPr>
              <w:jc w:val="center"/>
            </w:pPr>
            <w:r>
              <w:rPr>
                <w:sz w:val="20"/>
              </w:rPr>
              <w:t>No</w:t>
            </w:r>
          </w:p>
        </w:tc>
      </w:tr>
      <w:tr w:rsidR="00ED66A2" w14:paraId="44609CAF" w14:textId="77777777" w:rsidTr="0030390A">
        <w:trPr>
          <w:trHeight w:val="316"/>
          <w:jc w:val="center"/>
        </w:trPr>
        <w:tc>
          <w:tcPr>
            <w:tcW w:w="1163" w:type="dxa"/>
            <w:vAlign w:val="center"/>
          </w:tcPr>
          <w:p w14:paraId="1C43E2FD" w14:textId="77777777" w:rsidR="00ED66A2" w:rsidRDefault="00000000" w:rsidP="0030390A">
            <w:pPr>
              <w:jc w:val="center"/>
            </w:pPr>
            <w:r>
              <w:rPr>
                <w:sz w:val="20"/>
              </w:rPr>
              <w:t>5-day</w:t>
            </w:r>
          </w:p>
        </w:tc>
        <w:tc>
          <w:tcPr>
            <w:tcW w:w="799" w:type="dxa"/>
            <w:vAlign w:val="center"/>
          </w:tcPr>
          <w:p w14:paraId="7367B536" w14:textId="77777777" w:rsidR="00ED66A2" w:rsidRDefault="00000000" w:rsidP="0030390A">
            <w:pPr>
              <w:jc w:val="center"/>
            </w:pPr>
            <w:r>
              <w:rPr>
                <w:sz w:val="20"/>
              </w:rPr>
              <w:t>57</w:t>
            </w:r>
          </w:p>
        </w:tc>
        <w:tc>
          <w:tcPr>
            <w:tcW w:w="1017" w:type="dxa"/>
            <w:vAlign w:val="center"/>
          </w:tcPr>
          <w:p w14:paraId="6C9FC662" w14:textId="77777777" w:rsidR="00ED66A2" w:rsidRDefault="00000000" w:rsidP="0030390A">
            <w:pPr>
              <w:jc w:val="center"/>
            </w:pPr>
            <w:r>
              <w:rPr>
                <w:sz w:val="20"/>
              </w:rPr>
              <w:t>0.528</w:t>
            </w:r>
          </w:p>
        </w:tc>
        <w:tc>
          <w:tcPr>
            <w:tcW w:w="799" w:type="dxa"/>
            <w:vAlign w:val="center"/>
          </w:tcPr>
          <w:p w14:paraId="488AA1DA" w14:textId="77777777" w:rsidR="00ED66A2" w:rsidRDefault="00000000" w:rsidP="0030390A">
            <w:pPr>
              <w:jc w:val="center"/>
            </w:pPr>
            <w:r>
              <w:rPr>
                <w:sz w:val="20"/>
              </w:rPr>
              <w:t>215</w:t>
            </w:r>
          </w:p>
        </w:tc>
        <w:tc>
          <w:tcPr>
            <w:tcW w:w="1017" w:type="dxa"/>
            <w:vAlign w:val="center"/>
          </w:tcPr>
          <w:p w14:paraId="096FF29A" w14:textId="77777777" w:rsidR="00ED66A2" w:rsidRDefault="00000000" w:rsidP="0030390A">
            <w:pPr>
              <w:jc w:val="center"/>
            </w:pPr>
            <w:r>
              <w:rPr>
                <w:sz w:val="20"/>
              </w:rPr>
              <w:t>0.511</w:t>
            </w:r>
          </w:p>
        </w:tc>
        <w:tc>
          <w:tcPr>
            <w:tcW w:w="1017" w:type="dxa"/>
            <w:vAlign w:val="center"/>
          </w:tcPr>
          <w:p w14:paraId="26BABF96" w14:textId="77777777" w:rsidR="00ED66A2" w:rsidRDefault="00000000" w:rsidP="0030390A">
            <w:pPr>
              <w:jc w:val="center"/>
            </w:pPr>
            <w:r>
              <w:rPr>
                <w:sz w:val="20"/>
              </w:rPr>
              <w:t>+0.017</w:t>
            </w:r>
          </w:p>
        </w:tc>
        <w:tc>
          <w:tcPr>
            <w:tcW w:w="1454" w:type="dxa"/>
            <w:vAlign w:val="center"/>
          </w:tcPr>
          <w:p w14:paraId="65549576" w14:textId="77777777" w:rsidR="00ED66A2" w:rsidRDefault="00000000" w:rsidP="0030390A">
            <w:pPr>
              <w:jc w:val="center"/>
            </w:pPr>
            <w:r>
              <w:rPr>
                <w:sz w:val="20"/>
              </w:rPr>
              <w:t>0.892</w:t>
            </w:r>
          </w:p>
        </w:tc>
        <w:tc>
          <w:tcPr>
            <w:tcW w:w="799" w:type="dxa"/>
            <w:vAlign w:val="center"/>
          </w:tcPr>
          <w:p w14:paraId="78F6C401" w14:textId="77777777" w:rsidR="00ED66A2" w:rsidRDefault="00000000" w:rsidP="0030390A">
            <w:pPr>
              <w:jc w:val="center"/>
            </w:pPr>
            <w:r>
              <w:rPr>
                <w:sz w:val="20"/>
              </w:rPr>
              <w:t>0.014</w:t>
            </w:r>
          </w:p>
        </w:tc>
        <w:tc>
          <w:tcPr>
            <w:tcW w:w="1172" w:type="dxa"/>
            <w:vAlign w:val="center"/>
          </w:tcPr>
          <w:p w14:paraId="2DCA4909" w14:textId="77777777" w:rsidR="00ED66A2" w:rsidRDefault="00000000" w:rsidP="0030390A">
            <w:pPr>
              <w:jc w:val="center"/>
            </w:pPr>
            <w:r>
              <w:rPr>
                <w:sz w:val="20"/>
              </w:rPr>
              <w:t>No</w:t>
            </w:r>
          </w:p>
        </w:tc>
      </w:tr>
      <w:tr w:rsidR="00ED66A2" w14:paraId="71DADC2A" w14:textId="77777777" w:rsidTr="0030390A">
        <w:trPr>
          <w:trHeight w:val="316"/>
          <w:jc w:val="center"/>
        </w:trPr>
        <w:tc>
          <w:tcPr>
            <w:tcW w:w="1163" w:type="dxa"/>
            <w:vAlign w:val="center"/>
          </w:tcPr>
          <w:p w14:paraId="4967CB2D" w14:textId="77777777" w:rsidR="00ED66A2" w:rsidRDefault="00000000" w:rsidP="0030390A">
            <w:pPr>
              <w:jc w:val="center"/>
            </w:pPr>
            <w:r>
              <w:rPr>
                <w:sz w:val="20"/>
              </w:rPr>
              <w:t>21-day</w:t>
            </w:r>
          </w:p>
        </w:tc>
        <w:tc>
          <w:tcPr>
            <w:tcW w:w="799" w:type="dxa"/>
            <w:vAlign w:val="center"/>
          </w:tcPr>
          <w:p w14:paraId="2DEA62E0" w14:textId="77777777" w:rsidR="00ED66A2" w:rsidRDefault="00000000" w:rsidP="0030390A">
            <w:pPr>
              <w:jc w:val="center"/>
            </w:pPr>
            <w:r>
              <w:rPr>
                <w:sz w:val="20"/>
              </w:rPr>
              <w:t>58</w:t>
            </w:r>
          </w:p>
        </w:tc>
        <w:tc>
          <w:tcPr>
            <w:tcW w:w="1017" w:type="dxa"/>
            <w:vAlign w:val="center"/>
          </w:tcPr>
          <w:p w14:paraId="13E009F0" w14:textId="77777777" w:rsidR="00ED66A2" w:rsidRDefault="00000000" w:rsidP="0030390A">
            <w:pPr>
              <w:jc w:val="center"/>
            </w:pPr>
            <w:r>
              <w:rPr>
                <w:sz w:val="20"/>
              </w:rPr>
              <w:t>0.845</w:t>
            </w:r>
          </w:p>
        </w:tc>
        <w:tc>
          <w:tcPr>
            <w:tcW w:w="799" w:type="dxa"/>
            <w:vAlign w:val="center"/>
          </w:tcPr>
          <w:p w14:paraId="14E9F882" w14:textId="77777777" w:rsidR="00ED66A2" w:rsidRDefault="00000000" w:rsidP="0030390A">
            <w:pPr>
              <w:jc w:val="center"/>
            </w:pPr>
            <w:r>
              <w:rPr>
                <w:sz w:val="20"/>
              </w:rPr>
              <w:t>219</w:t>
            </w:r>
          </w:p>
        </w:tc>
        <w:tc>
          <w:tcPr>
            <w:tcW w:w="1017" w:type="dxa"/>
            <w:vAlign w:val="center"/>
          </w:tcPr>
          <w:p w14:paraId="6EEF4F2B" w14:textId="77777777" w:rsidR="00ED66A2" w:rsidRDefault="00000000" w:rsidP="0030390A">
            <w:pPr>
              <w:jc w:val="center"/>
            </w:pPr>
            <w:r>
              <w:rPr>
                <w:sz w:val="20"/>
              </w:rPr>
              <w:t>0.548</w:t>
            </w:r>
          </w:p>
        </w:tc>
        <w:tc>
          <w:tcPr>
            <w:tcW w:w="1017" w:type="dxa"/>
            <w:vAlign w:val="center"/>
          </w:tcPr>
          <w:p w14:paraId="6DBD0A72" w14:textId="77777777" w:rsidR="00ED66A2" w:rsidRDefault="00000000" w:rsidP="0030390A">
            <w:pPr>
              <w:jc w:val="center"/>
            </w:pPr>
            <w:r>
              <w:rPr>
                <w:sz w:val="20"/>
              </w:rPr>
              <w:t>+0.297</w:t>
            </w:r>
          </w:p>
        </w:tc>
        <w:tc>
          <w:tcPr>
            <w:tcW w:w="1454" w:type="dxa"/>
            <w:vAlign w:val="center"/>
          </w:tcPr>
          <w:p w14:paraId="0846B1ED" w14:textId="77777777" w:rsidR="00ED66A2" w:rsidRDefault="00000000" w:rsidP="0030390A">
            <w:pPr>
              <w:jc w:val="center"/>
            </w:pPr>
            <w:r>
              <w:rPr>
                <w:sz w:val="20"/>
              </w:rPr>
              <w:t>≈ 3×10⁻⁵</w:t>
            </w:r>
          </w:p>
        </w:tc>
        <w:tc>
          <w:tcPr>
            <w:tcW w:w="799" w:type="dxa"/>
            <w:vAlign w:val="center"/>
          </w:tcPr>
          <w:p w14:paraId="1B2483FA" w14:textId="77777777" w:rsidR="00ED66A2" w:rsidRDefault="00000000" w:rsidP="0030390A">
            <w:pPr>
              <w:jc w:val="center"/>
            </w:pPr>
            <w:r>
              <w:rPr>
                <w:sz w:val="20"/>
              </w:rPr>
              <w:t>0.248</w:t>
            </w:r>
          </w:p>
        </w:tc>
        <w:tc>
          <w:tcPr>
            <w:tcW w:w="1172" w:type="dxa"/>
            <w:vAlign w:val="center"/>
          </w:tcPr>
          <w:p w14:paraId="62E7CE1B" w14:textId="77777777" w:rsidR="00ED66A2" w:rsidRDefault="00000000" w:rsidP="0030390A">
            <w:pPr>
              <w:jc w:val="center"/>
            </w:pPr>
            <w:r>
              <w:rPr>
                <w:sz w:val="20"/>
              </w:rPr>
              <w:t>Yes</w:t>
            </w:r>
          </w:p>
        </w:tc>
      </w:tr>
    </w:tbl>
    <w:p w14:paraId="743D28D9" w14:textId="77777777" w:rsidR="00ED66A2" w:rsidRDefault="00ED66A2"/>
    <w:p w14:paraId="196B7B3F" w14:textId="521E3E10" w:rsidR="0068598C" w:rsidRDefault="0068598C">
      <w:r>
        <w:lastRenderedPageBreak/>
        <w:t xml:space="preserve">In </w:t>
      </w:r>
      <w:r w:rsidRPr="0068598C">
        <w:t xml:space="preserve">Fig. 3. </w:t>
      </w:r>
      <w:r>
        <w:t>r</w:t>
      </w:r>
      <w:r w:rsidRPr="0068598C">
        <w:t>egime-conditioned directional accuracy across 1-day, 5-day, and 21-day horizons for the stacking ensemble</w:t>
      </w:r>
      <w:r>
        <w:t xml:space="preserve"> is shown</w:t>
      </w:r>
      <w:r w:rsidRPr="0068598C">
        <w:t>. The effect appears only at the 21-day horizon.</w:t>
      </w:r>
    </w:p>
    <w:p w14:paraId="6954F4C1" w14:textId="77777777" w:rsidR="00ED66A2" w:rsidRDefault="00000000">
      <w:pPr>
        <w:spacing w:before="120" w:after="40"/>
        <w:jc w:val="center"/>
      </w:pPr>
      <w:r>
        <w:rPr>
          <w:noProof/>
        </w:rPr>
        <w:drawing>
          <wp:inline distT="0" distB="0" distL="0" distR="0" wp14:anchorId="5F0D4459" wp14:editId="1B03E7B2">
            <wp:extent cx="5303520" cy="1877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ccuracy_ridge.png"/>
                    <pic:cNvPicPr/>
                  </pic:nvPicPr>
                  <pic:blipFill>
                    <a:blip r:embed="rId10"/>
                    <a:stretch>
                      <a:fillRect/>
                    </a:stretch>
                  </pic:blipFill>
                  <pic:spPr>
                    <a:xfrm>
                      <a:off x="0" y="0"/>
                      <a:ext cx="5303520" cy="1877375"/>
                    </a:xfrm>
                    <a:prstGeom prst="rect">
                      <a:avLst/>
                    </a:prstGeom>
                  </pic:spPr>
                </pic:pic>
              </a:graphicData>
            </a:graphic>
          </wp:inline>
        </w:drawing>
      </w:r>
    </w:p>
    <w:p w14:paraId="7B3E8DEA" w14:textId="7D4584B1" w:rsidR="00ED66A2" w:rsidRPr="00B94B34" w:rsidRDefault="00000000" w:rsidP="00B94B34">
      <w:pPr>
        <w:spacing w:before="80" w:after="80"/>
        <w:jc w:val="center"/>
        <w:rPr>
          <w:iCs/>
        </w:rPr>
      </w:pPr>
      <w:r w:rsidRPr="00B94B34">
        <w:rPr>
          <w:iCs/>
          <w:sz w:val="20"/>
        </w:rPr>
        <w:t>Fig. 3. Regime-conditioned directional accuracy across 1-day, 5-day, and 21-day horizons for the stacking ensemble.</w:t>
      </w:r>
    </w:p>
    <w:p w14:paraId="29D7493D" w14:textId="77777777" w:rsidR="00ED66A2" w:rsidRDefault="00ED66A2" w:rsidP="00A36C97">
      <w:pPr>
        <w:spacing w:after="0"/>
      </w:pPr>
    </w:p>
    <w:p w14:paraId="54AE6A51" w14:textId="7A185F14" w:rsidR="000A55A1" w:rsidRDefault="000A55A1">
      <w:r>
        <w:t xml:space="preserve">While, in </w:t>
      </w:r>
      <w:r w:rsidRPr="000A55A1">
        <w:t xml:space="preserve">Fig. 4 </w:t>
      </w:r>
      <w:r>
        <w:t>r</w:t>
      </w:r>
      <w:r w:rsidRPr="000A55A1">
        <w:t>egime-conditioned AUC heatmap</w:t>
      </w:r>
      <w:r>
        <w:t xml:space="preserve"> is shown</w:t>
      </w:r>
      <w:r w:rsidRPr="000A55A1">
        <w:t>. The 21-day High-VIX cell shows the only material threshold-free ranking advantage.</w:t>
      </w:r>
    </w:p>
    <w:p w14:paraId="43216D1F" w14:textId="77777777" w:rsidR="00ED66A2" w:rsidRDefault="00000000">
      <w:pPr>
        <w:spacing w:before="120" w:after="40"/>
        <w:jc w:val="center"/>
      </w:pPr>
      <w:r>
        <w:rPr>
          <w:noProof/>
        </w:rPr>
        <w:drawing>
          <wp:inline distT="0" distB="0" distL="0" distR="0" wp14:anchorId="7FDC5793" wp14:editId="4318A048">
            <wp:extent cx="5303520" cy="1330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x_regime_auc_heatmap_ridge.png"/>
                    <pic:cNvPicPr/>
                  </pic:nvPicPr>
                  <pic:blipFill>
                    <a:blip r:embed="rId11"/>
                    <a:stretch>
                      <a:fillRect/>
                    </a:stretch>
                  </pic:blipFill>
                  <pic:spPr>
                    <a:xfrm>
                      <a:off x="0" y="0"/>
                      <a:ext cx="5303520" cy="1330390"/>
                    </a:xfrm>
                    <a:prstGeom prst="rect">
                      <a:avLst/>
                    </a:prstGeom>
                  </pic:spPr>
                </pic:pic>
              </a:graphicData>
            </a:graphic>
          </wp:inline>
        </w:drawing>
      </w:r>
    </w:p>
    <w:p w14:paraId="74640E6F" w14:textId="69B1DC8A" w:rsidR="00ED66A2" w:rsidRPr="00AC35E6" w:rsidRDefault="00000000" w:rsidP="00AC35E6">
      <w:pPr>
        <w:spacing w:before="80" w:after="80"/>
        <w:jc w:val="center"/>
        <w:rPr>
          <w:iCs/>
        </w:rPr>
      </w:pPr>
      <w:r w:rsidRPr="00AC35E6">
        <w:rPr>
          <w:iCs/>
          <w:sz w:val="20"/>
        </w:rPr>
        <w:t>Fig. 4. Regime-conditioned AUC heatmap.</w:t>
      </w:r>
    </w:p>
    <w:p w14:paraId="556148F5" w14:textId="77777777" w:rsidR="00A36C97" w:rsidRDefault="00A36C97">
      <w:pPr>
        <w:pStyle w:val="Heading2"/>
        <w:rPr>
          <w:rFonts w:ascii="Times New Roman" w:hAnsi="Times New Roman"/>
        </w:rPr>
      </w:pPr>
    </w:p>
    <w:p w14:paraId="0A214F79" w14:textId="159377A2" w:rsidR="00ED66A2" w:rsidRDefault="00000000">
      <w:pPr>
        <w:pStyle w:val="Heading2"/>
      </w:pPr>
      <w:r>
        <w:rPr>
          <w:rFonts w:ascii="Times New Roman" w:hAnsi="Times New Roman"/>
        </w:rPr>
        <w:t>5.3. Trading interpretation of the regime filter</w:t>
      </w:r>
    </w:p>
    <w:p w14:paraId="3AF279D3" w14:textId="4C70F0C8" w:rsidR="00ED66A2" w:rsidRDefault="00000000">
      <w:pPr>
        <w:spacing w:after="80" w:line="360" w:lineRule="auto"/>
        <w:ind w:firstLine="360"/>
      </w:pPr>
      <w:r>
        <w:t>The statistical result is translated into a conservative deployment test. Under the corrected implementation (signal at day t close, entry at open[t+1], exit at close[t+21], no overlapping positions), the selective High-VIX plus Up strategy is active for only one 21-day trade in the evaluated window. At zero cost, strategy Sharpe is 0.455 versus 1.204 for buy-and-hold, while maximum drawdown is lower (-3.69% versus -6.62%). Thus, drawdown control improves, but Sharpe does not exceed buy-and-hold in this corrected run.</w:t>
      </w:r>
    </w:p>
    <w:p w14:paraId="03385538" w14:textId="77777777" w:rsidR="00ED66A2" w:rsidRDefault="00000000">
      <w:pPr>
        <w:spacing w:after="80" w:line="360" w:lineRule="auto"/>
        <w:ind w:firstLine="360"/>
      </w:pPr>
      <w:r>
        <w:t>These benchmark comparisons change the interpretation materially. The regime gate still acts as a strong activity filter, but with the corrected threshold and sparse High-VIX observations, risk-adjusted outperformance versus buy-and-hold is not supported in this sample.</w:t>
      </w:r>
    </w:p>
    <w:p w14:paraId="2329F659" w14:textId="77777777" w:rsidR="00ED66A2" w:rsidRDefault="00000000">
      <w:pPr>
        <w:spacing w:after="80" w:line="360" w:lineRule="auto"/>
        <w:ind w:firstLine="360"/>
      </w:pPr>
      <w:r>
        <w:t>Per-active-day efficiency remains useful descriptively, but given the single-trade deployment count, economic conclusions are now presented as preliminary and highly sample-dependent.</w:t>
      </w:r>
    </w:p>
    <w:p w14:paraId="1BDC863C" w14:textId="77777777" w:rsidR="00ED66A2" w:rsidRDefault="00000000" w:rsidP="00815225">
      <w:pPr>
        <w:spacing w:before="80" w:after="80"/>
        <w:jc w:val="center"/>
      </w:pPr>
      <w:r w:rsidRPr="0045021F">
        <w:rPr>
          <w:iCs/>
          <w:sz w:val="20"/>
        </w:rPr>
        <w:t>Table 8. Trading performance of the selective deployment rule versus benchmark strategies on the held-out test period</w:t>
      </w:r>
      <w:r>
        <w:rPr>
          <w:i/>
          <w:sz w:val="20"/>
        </w:rPr>
        <w:t>.</w:t>
      </w:r>
    </w:p>
    <w:tbl>
      <w:tblPr>
        <w:tblStyle w:val="TableGrid"/>
        <w:tblW w:w="0" w:type="auto"/>
        <w:jc w:val="center"/>
        <w:tblLook w:val="04A0" w:firstRow="1" w:lastRow="0" w:firstColumn="1" w:lastColumn="0" w:noHBand="0" w:noVBand="1"/>
      </w:tblPr>
      <w:tblGrid>
        <w:gridCol w:w="2182"/>
        <w:gridCol w:w="1309"/>
        <w:gridCol w:w="1454"/>
        <w:gridCol w:w="1454"/>
        <w:gridCol w:w="1018"/>
        <w:gridCol w:w="1309"/>
      </w:tblGrid>
      <w:tr w:rsidR="00ED66A2" w14:paraId="678DEF52" w14:textId="77777777" w:rsidTr="00815225">
        <w:trPr>
          <w:trHeight w:val="781"/>
          <w:jc w:val="center"/>
        </w:trPr>
        <w:tc>
          <w:tcPr>
            <w:tcW w:w="2182" w:type="dxa"/>
            <w:vAlign w:val="center"/>
          </w:tcPr>
          <w:p w14:paraId="7616645D" w14:textId="77777777" w:rsidR="00ED66A2" w:rsidRDefault="00000000" w:rsidP="00815225">
            <w:pPr>
              <w:jc w:val="center"/>
            </w:pPr>
            <w:r>
              <w:rPr>
                <w:b/>
                <w:sz w:val="20"/>
              </w:rPr>
              <w:t>Strategy</w:t>
            </w:r>
          </w:p>
        </w:tc>
        <w:tc>
          <w:tcPr>
            <w:tcW w:w="1309" w:type="dxa"/>
            <w:vAlign w:val="center"/>
          </w:tcPr>
          <w:p w14:paraId="5415494E" w14:textId="77777777" w:rsidR="00ED66A2" w:rsidRDefault="00000000" w:rsidP="00815225">
            <w:pPr>
              <w:jc w:val="center"/>
            </w:pPr>
            <w:r>
              <w:rPr>
                <w:b/>
                <w:sz w:val="20"/>
              </w:rPr>
              <w:t>Active days</w:t>
            </w:r>
          </w:p>
        </w:tc>
        <w:tc>
          <w:tcPr>
            <w:tcW w:w="1454" w:type="dxa"/>
            <w:vAlign w:val="center"/>
          </w:tcPr>
          <w:p w14:paraId="4FAA298D" w14:textId="77777777" w:rsidR="00ED66A2" w:rsidRDefault="00000000" w:rsidP="00815225">
            <w:pPr>
              <w:jc w:val="center"/>
            </w:pPr>
            <w:r>
              <w:rPr>
                <w:b/>
                <w:sz w:val="20"/>
              </w:rPr>
              <w:t>Total return</w:t>
            </w:r>
          </w:p>
        </w:tc>
        <w:tc>
          <w:tcPr>
            <w:tcW w:w="1454" w:type="dxa"/>
            <w:vAlign w:val="center"/>
          </w:tcPr>
          <w:p w14:paraId="4E08D57F" w14:textId="77777777" w:rsidR="00ED66A2" w:rsidRDefault="00000000" w:rsidP="00815225">
            <w:pPr>
              <w:jc w:val="center"/>
            </w:pPr>
            <w:r>
              <w:rPr>
                <w:b/>
                <w:sz w:val="20"/>
              </w:rPr>
              <w:t>Annual return</w:t>
            </w:r>
          </w:p>
        </w:tc>
        <w:tc>
          <w:tcPr>
            <w:tcW w:w="1018" w:type="dxa"/>
            <w:vAlign w:val="center"/>
          </w:tcPr>
          <w:p w14:paraId="43F349B8" w14:textId="77777777" w:rsidR="00ED66A2" w:rsidRDefault="00000000" w:rsidP="00815225">
            <w:pPr>
              <w:jc w:val="center"/>
            </w:pPr>
            <w:r>
              <w:rPr>
                <w:b/>
                <w:sz w:val="20"/>
              </w:rPr>
              <w:t>Sharpe</w:t>
            </w:r>
          </w:p>
        </w:tc>
        <w:tc>
          <w:tcPr>
            <w:tcW w:w="1309" w:type="dxa"/>
            <w:vAlign w:val="center"/>
          </w:tcPr>
          <w:p w14:paraId="675FF6DA" w14:textId="77777777" w:rsidR="00ED66A2" w:rsidRDefault="00000000" w:rsidP="00815225">
            <w:pPr>
              <w:jc w:val="center"/>
            </w:pPr>
            <w:r>
              <w:rPr>
                <w:b/>
                <w:sz w:val="20"/>
              </w:rPr>
              <w:t>Max drawdown</w:t>
            </w:r>
          </w:p>
        </w:tc>
      </w:tr>
      <w:tr w:rsidR="00ED66A2" w14:paraId="2D2E5B89" w14:textId="77777777" w:rsidTr="00815225">
        <w:trPr>
          <w:trHeight w:val="390"/>
          <w:jc w:val="center"/>
        </w:trPr>
        <w:tc>
          <w:tcPr>
            <w:tcW w:w="2182" w:type="dxa"/>
            <w:vAlign w:val="center"/>
          </w:tcPr>
          <w:p w14:paraId="4B230CBB" w14:textId="77777777" w:rsidR="00ED66A2" w:rsidRDefault="00000000" w:rsidP="00815225">
            <w:pPr>
              <w:jc w:val="center"/>
            </w:pPr>
            <w:r>
              <w:rPr>
                <w:sz w:val="20"/>
              </w:rPr>
              <w:t>Buy-and-Hold</w:t>
            </w:r>
          </w:p>
        </w:tc>
        <w:tc>
          <w:tcPr>
            <w:tcW w:w="1309" w:type="dxa"/>
            <w:vAlign w:val="center"/>
          </w:tcPr>
          <w:p w14:paraId="1AAC4A03" w14:textId="77777777" w:rsidR="00ED66A2" w:rsidRDefault="00000000" w:rsidP="00815225">
            <w:pPr>
              <w:jc w:val="center"/>
            </w:pPr>
            <w:r>
              <w:rPr>
                <w:sz w:val="20"/>
              </w:rPr>
              <w:t>277/277</w:t>
            </w:r>
          </w:p>
        </w:tc>
        <w:tc>
          <w:tcPr>
            <w:tcW w:w="1454" w:type="dxa"/>
            <w:vAlign w:val="center"/>
          </w:tcPr>
          <w:p w14:paraId="5EA01407" w14:textId="77777777" w:rsidR="00ED66A2" w:rsidRDefault="00000000" w:rsidP="00815225">
            <w:pPr>
              <w:jc w:val="center"/>
            </w:pPr>
            <w:r>
              <w:rPr>
                <w:sz w:val="20"/>
              </w:rPr>
              <w:t>+25.57%</w:t>
            </w:r>
          </w:p>
        </w:tc>
        <w:tc>
          <w:tcPr>
            <w:tcW w:w="1454" w:type="dxa"/>
            <w:vAlign w:val="center"/>
          </w:tcPr>
          <w:p w14:paraId="3E2D4090" w14:textId="77777777" w:rsidR="00ED66A2" w:rsidRDefault="00000000" w:rsidP="00815225">
            <w:pPr>
              <w:jc w:val="center"/>
            </w:pPr>
            <w:r>
              <w:rPr>
                <w:sz w:val="20"/>
              </w:rPr>
              <w:t>23.92%</w:t>
            </w:r>
          </w:p>
        </w:tc>
        <w:tc>
          <w:tcPr>
            <w:tcW w:w="1018" w:type="dxa"/>
            <w:vAlign w:val="center"/>
          </w:tcPr>
          <w:p w14:paraId="69129CFE" w14:textId="77777777" w:rsidR="00ED66A2" w:rsidRDefault="00000000" w:rsidP="00815225">
            <w:pPr>
              <w:jc w:val="center"/>
            </w:pPr>
            <w:r>
              <w:rPr>
                <w:sz w:val="20"/>
              </w:rPr>
              <w:t>1.963</w:t>
            </w:r>
          </w:p>
        </w:tc>
        <w:tc>
          <w:tcPr>
            <w:tcW w:w="1309" w:type="dxa"/>
            <w:vAlign w:val="center"/>
          </w:tcPr>
          <w:p w14:paraId="0A1D9D76" w14:textId="77777777" w:rsidR="00ED66A2" w:rsidRDefault="00000000" w:rsidP="00815225">
            <w:pPr>
              <w:jc w:val="center"/>
            </w:pPr>
            <w:r>
              <w:rPr>
                <w:sz w:val="20"/>
              </w:rPr>
              <w:t>-6.62%</w:t>
            </w:r>
          </w:p>
        </w:tc>
      </w:tr>
      <w:tr w:rsidR="00ED66A2" w14:paraId="4B3FED0D" w14:textId="77777777" w:rsidTr="00815225">
        <w:trPr>
          <w:trHeight w:val="390"/>
          <w:jc w:val="center"/>
        </w:trPr>
        <w:tc>
          <w:tcPr>
            <w:tcW w:w="2182" w:type="dxa"/>
            <w:vAlign w:val="center"/>
          </w:tcPr>
          <w:p w14:paraId="667A5BED" w14:textId="77777777" w:rsidR="00ED66A2" w:rsidRDefault="00000000" w:rsidP="00815225">
            <w:pPr>
              <w:jc w:val="center"/>
            </w:pPr>
            <w:r>
              <w:rPr>
                <w:sz w:val="20"/>
              </w:rPr>
              <w:t>Full Signal</w:t>
            </w:r>
          </w:p>
        </w:tc>
        <w:tc>
          <w:tcPr>
            <w:tcW w:w="1309" w:type="dxa"/>
            <w:vAlign w:val="center"/>
          </w:tcPr>
          <w:p w14:paraId="7F258609" w14:textId="77777777" w:rsidR="00ED66A2" w:rsidRDefault="00000000" w:rsidP="00815225">
            <w:pPr>
              <w:jc w:val="center"/>
            </w:pPr>
            <w:r>
              <w:rPr>
                <w:sz w:val="20"/>
              </w:rPr>
              <w:t>223/277</w:t>
            </w:r>
          </w:p>
        </w:tc>
        <w:tc>
          <w:tcPr>
            <w:tcW w:w="1454" w:type="dxa"/>
            <w:vAlign w:val="center"/>
          </w:tcPr>
          <w:p w14:paraId="5D93F989" w14:textId="77777777" w:rsidR="00ED66A2" w:rsidRDefault="00000000" w:rsidP="00815225">
            <w:pPr>
              <w:jc w:val="center"/>
            </w:pPr>
            <w:r>
              <w:rPr>
                <w:sz w:val="20"/>
              </w:rPr>
              <w:t>+22.34%</w:t>
            </w:r>
          </w:p>
        </w:tc>
        <w:tc>
          <w:tcPr>
            <w:tcW w:w="1454" w:type="dxa"/>
            <w:vAlign w:val="center"/>
          </w:tcPr>
          <w:p w14:paraId="10D8D6C3" w14:textId="77777777" w:rsidR="00ED66A2" w:rsidRDefault="00000000" w:rsidP="00815225">
            <w:pPr>
              <w:jc w:val="center"/>
            </w:pPr>
            <w:r>
              <w:rPr>
                <w:sz w:val="20"/>
              </w:rPr>
              <w:t>20.88%</w:t>
            </w:r>
          </w:p>
        </w:tc>
        <w:tc>
          <w:tcPr>
            <w:tcW w:w="1018" w:type="dxa"/>
            <w:vAlign w:val="center"/>
          </w:tcPr>
          <w:p w14:paraId="69B3B015" w14:textId="77777777" w:rsidR="00ED66A2" w:rsidRDefault="00000000" w:rsidP="00815225">
            <w:pPr>
              <w:jc w:val="center"/>
            </w:pPr>
            <w:r>
              <w:rPr>
                <w:sz w:val="20"/>
              </w:rPr>
              <w:t>1.876</w:t>
            </w:r>
          </w:p>
        </w:tc>
        <w:tc>
          <w:tcPr>
            <w:tcW w:w="1309" w:type="dxa"/>
            <w:vAlign w:val="center"/>
          </w:tcPr>
          <w:p w14:paraId="2D770D24" w14:textId="77777777" w:rsidR="00ED66A2" w:rsidRDefault="00000000" w:rsidP="00815225">
            <w:pPr>
              <w:jc w:val="center"/>
            </w:pPr>
            <w:r>
              <w:rPr>
                <w:sz w:val="20"/>
              </w:rPr>
              <w:t>-4.29%</w:t>
            </w:r>
          </w:p>
        </w:tc>
      </w:tr>
      <w:tr w:rsidR="00ED66A2" w14:paraId="585016D5" w14:textId="77777777" w:rsidTr="00815225">
        <w:trPr>
          <w:trHeight w:val="390"/>
          <w:jc w:val="center"/>
        </w:trPr>
        <w:tc>
          <w:tcPr>
            <w:tcW w:w="2182" w:type="dxa"/>
            <w:vAlign w:val="center"/>
          </w:tcPr>
          <w:p w14:paraId="6E75F6CB" w14:textId="77777777" w:rsidR="00ED66A2" w:rsidRDefault="00000000" w:rsidP="00815225">
            <w:pPr>
              <w:jc w:val="center"/>
            </w:pPr>
            <w:r>
              <w:rPr>
                <w:sz w:val="20"/>
              </w:rPr>
              <w:t>High-VIX + Up</w:t>
            </w:r>
          </w:p>
        </w:tc>
        <w:tc>
          <w:tcPr>
            <w:tcW w:w="1309" w:type="dxa"/>
            <w:vAlign w:val="center"/>
          </w:tcPr>
          <w:p w14:paraId="3E89B93D" w14:textId="77777777" w:rsidR="00ED66A2" w:rsidRDefault="00000000" w:rsidP="00815225">
            <w:pPr>
              <w:jc w:val="center"/>
            </w:pPr>
            <w:r>
              <w:rPr>
                <w:sz w:val="20"/>
              </w:rPr>
              <w:t>48/277</w:t>
            </w:r>
          </w:p>
        </w:tc>
        <w:tc>
          <w:tcPr>
            <w:tcW w:w="1454" w:type="dxa"/>
            <w:vAlign w:val="center"/>
          </w:tcPr>
          <w:p w14:paraId="44943DCA" w14:textId="77777777" w:rsidR="00ED66A2" w:rsidRDefault="00000000" w:rsidP="00815225">
            <w:pPr>
              <w:jc w:val="center"/>
            </w:pPr>
            <w:r>
              <w:rPr>
                <w:sz w:val="20"/>
              </w:rPr>
              <w:t>+17.35%</w:t>
            </w:r>
          </w:p>
        </w:tc>
        <w:tc>
          <w:tcPr>
            <w:tcW w:w="1454" w:type="dxa"/>
            <w:vAlign w:val="center"/>
          </w:tcPr>
          <w:p w14:paraId="0613460E" w14:textId="77777777" w:rsidR="00ED66A2" w:rsidRDefault="00000000" w:rsidP="00815225">
            <w:pPr>
              <w:jc w:val="center"/>
            </w:pPr>
            <w:r>
              <w:rPr>
                <w:sz w:val="20"/>
              </w:rPr>
              <w:t>15.96%</w:t>
            </w:r>
          </w:p>
        </w:tc>
        <w:tc>
          <w:tcPr>
            <w:tcW w:w="1018" w:type="dxa"/>
            <w:vAlign w:val="center"/>
          </w:tcPr>
          <w:p w14:paraId="2C732821" w14:textId="77777777" w:rsidR="00ED66A2" w:rsidRDefault="00000000" w:rsidP="00815225">
            <w:pPr>
              <w:jc w:val="center"/>
            </w:pPr>
            <w:r>
              <w:rPr>
                <w:sz w:val="20"/>
              </w:rPr>
              <w:t>2.216</w:t>
            </w:r>
          </w:p>
        </w:tc>
        <w:tc>
          <w:tcPr>
            <w:tcW w:w="1309" w:type="dxa"/>
            <w:vAlign w:val="center"/>
          </w:tcPr>
          <w:p w14:paraId="58D757CC" w14:textId="77777777" w:rsidR="00ED66A2" w:rsidRDefault="00000000" w:rsidP="00815225">
            <w:pPr>
              <w:jc w:val="center"/>
            </w:pPr>
            <w:r>
              <w:rPr>
                <w:sz w:val="20"/>
              </w:rPr>
              <w:t>-3.69%</w:t>
            </w:r>
          </w:p>
        </w:tc>
      </w:tr>
      <w:tr w:rsidR="00ED66A2" w14:paraId="1691EC79" w14:textId="77777777" w:rsidTr="00815225">
        <w:trPr>
          <w:trHeight w:val="390"/>
          <w:jc w:val="center"/>
        </w:trPr>
        <w:tc>
          <w:tcPr>
            <w:tcW w:w="2182" w:type="dxa"/>
            <w:vAlign w:val="center"/>
          </w:tcPr>
          <w:p w14:paraId="1388CE89" w14:textId="77777777" w:rsidR="00ED66A2" w:rsidRDefault="00000000" w:rsidP="00815225">
            <w:pPr>
              <w:jc w:val="center"/>
            </w:pPr>
            <w:r>
              <w:rPr>
                <w:sz w:val="20"/>
              </w:rPr>
              <w:t>High-VIX Only</w:t>
            </w:r>
          </w:p>
        </w:tc>
        <w:tc>
          <w:tcPr>
            <w:tcW w:w="1309" w:type="dxa"/>
            <w:vAlign w:val="center"/>
          </w:tcPr>
          <w:p w14:paraId="0268197E" w14:textId="77777777" w:rsidR="00ED66A2" w:rsidRDefault="00000000" w:rsidP="00815225">
            <w:pPr>
              <w:jc w:val="center"/>
            </w:pPr>
            <w:r>
              <w:rPr>
                <w:sz w:val="20"/>
              </w:rPr>
              <w:t>58/277</w:t>
            </w:r>
          </w:p>
        </w:tc>
        <w:tc>
          <w:tcPr>
            <w:tcW w:w="1454" w:type="dxa"/>
            <w:vAlign w:val="center"/>
          </w:tcPr>
          <w:p w14:paraId="6EA6A155" w14:textId="77777777" w:rsidR="00ED66A2" w:rsidRDefault="00000000" w:rsidP="00815225">
            <w:pPr>
              <w:jc w:val="center"/>
            </w:pPr>
            <w:r>
              <w:rPr>
                <w:sz w:val="20"/>
              </w:rPr>
              <w:t>+15.63%</w:t>
            </w:r>
          </w:p>
        </w:tc>
        <w:tc>
          <w:tcPr>
            <w:tcW w:w="1454" w:type="dxa"/>
            <w:vAlign w:val="center"/>
          </w:tcPr>
          <w:p w14:paraId="09881A51" w14:textId="77777777" w:rsidR="00ED66A2" w:rsidRDefault="00000000" w:rsidP="00815225">
            <w:pPr>
              <w:jc w:val="center"/>
            </w:pPr>
            <w:r>
              <w:rPr>
                <w:sz w:val="20"/>
              </w:rPr>
              <w:t>14.45%</w:t>
            </w:r>
          </w:p>
        </w:tc>
        <w:tc>
          <w:tcPr>
            <w:tcW w:w="1018" w:type="dxa"/>
            <w:vAlign w:val="center"/>
          </w:tcPr>
          <w:p w14:paraId="45665723" w14:textId="77777777" w:rsidR="00ED66A2" w:rsidRDefault="00000000" w:rsidP="00815225">
            <w:pPr>
              <w:jc w:val="center"/>
            </w:pPr>
            <w:r>
              <w:rPr>
                <w:sz w:val="20"/>
              </w:rPr>
              <w:t>1.914</w:t>
            </w:r>
          </w:p>
        </w:tc>
        <w:tc>
          <w:tcPr>
            <w:tcW w:w="1309" w:type="dxa"/>
            <w:vAlign w:val="center"/>
          </w:tcPr>
          <w:p w14:paraId="0229BF06" w14:textId="77777777" w:rsidR="00ED66A2" w:rsidRDefault="00000000" w:rsidP="00815225">
            <w:pPr>
              <w:jc w:val="center"/>
            </w:pPr>
            <w:r>
              <w:rPr>
                <w:sz w:val="20"/>
              </w:rPr>
              <w:t>-3.69%</w:t>
            </w:r>
          </w:p>
        </w:tc>
      </w:tr>
    </w:tbl>
    <w:p w14:paraId="7729A6A3" w14:textId="77777777" w:rsidR="00ED66A2" w:rsidRDefault="00ED66A2"/>
    <w:p w14:paraId="59519160" w14:textId="06FB5509" w:rsidR="00273260" w:rsidRDefault="00273260">
      <w:r>
        <w:t>Fig. 5 displays equity curves for benchmark and regime-filtered strategies under the corrected P2 trading simulation. The selective strategy compounds over fewer active days and exhibits lower realized drawdown, while buy-and-hold retains higher Sharpe in this corrected sample.</w:t>
      </w:r>
    </w:p>
    <w:p w14:paraId="13EAB367" w14:textId="77777777" w:rsidR="00ED66A2" w:rsidRDefault="00000000">
      <w:pPr>
        <w:spacing w:before="120" w:after="40"/>
        <w:jc w:val="center"/>
      </w:pPr>
      <w:r>
        <w:rPr>
          <w:noProof/>
        </w:rPr>
        <w:lastRenderedPageBreak/>
        <w:drawing>
          <wp:inline distT="0" distB="0" distL="0" distR="0" wp14:anchorId="22C9C9FE" wp14:editId="3256D4F7">
            <wp:extent cx="5303520" cy="3966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equity_curves.png"/>
                    <pic:cNvPicPr/>
                  </pic:nvPicPr>
                  <pic:blipFill>
                    <a:blip r:embed="rId12"/>
                    <a:stretch>
                      <a:fillRect/>
                    </a:stretch>
                  </pic:blipFill>
                  <pic:spPr>
                    <a:xfrm>
                      <a:off x="0" y="0"/>
                      <a:ext cx="5303520" cy="3966498"/>
                    </a:xfrm>
                    <a:prstGeom prst="rect">
                      <a:avLst/>
                    </a:prstGeom>
                  </pic:spPr>
                </pic:pic>
              </a:graphicData>
            </a:graphic>
          </wp:inline>
        </w:drawing>
      </w:r>
    </w:p>
    <w:p w14:paraId="2DF13762" w14:textId="28998B0B" w:rsidR="00ED66A2" w:rsidRPr="0023756F" w:rsidRDefault="00000000" w:rsidP="00273260">
      <w:pPr>
        <w:spacing w:before="80" w:after="80"/>
        <w:jc w:val="center"/>
        <w:rPr>
          <w:iCs/>
        </w:rPr>
      </w:pPr>
      <w:r w:rsidRPr="0023756F">
        <w:rPr>
          <w:iCs/>
          <w:sz w:val="20"/>
        </w:rPr>
        <w:t>Fig. 5. Equity curves for benchmark and regime-filtered strategies.</w:t>
      </w:r>
    </w:p>
    <w:p w14:paraId="19E67096" w14:textId="77777777" w:rsidR="00ED66A2" w:rsidRDefault="00ED66A2"/>
    <w:p w14:paraId="3879F6FF" w14:textId="77777777" w:rsidR="00ED66A2" w:rsidRDefault="00000000">
      <w:pPr>
        <w:spacing w:before="120" w:after="40"/>
        <w:jc w:val="center"/>
      </w:pPr>
      <w:r>
        <w:rPr>
          <w:noProof/>
        </w:rPr>
        <w:drawing>
          <wp:inline distT="0" distB="0" distL="0" distR="0" wp14:anchorId="4834CA57" wp14:editId="2C4357CE">
            <wp:extent cx="5303520" cy="17381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drawdown_curves.png"/>
                    <pic:cNvPicPr/>
                  </pic:nvPicPr>
                  <pic:blipFill>
                    <a:blip r:embed="rId13"/>
                    <a:stretch>
                      <a:fillRect/>
                    </a:stretch>
                  </pic:blipFill>
                  <pic:spPr>
                    <a:xfrm>
                      <a:off x="0" y="0"/>
                      <a:ext cx="5303520" cy="1738128"/>
                    </a:xfrm>
                    <a:prstGeom prst="rect">
                      <a:avLst/>
                    </a:prstGeom>
                  </pic:spPr>
                </pic:pic>
              </a:graphicData>
            </a:graphic>
          </wp:inline>
        </w:drawing>
      </w:r>
    </w:p>
    <w:p w14:paraId="3A055992" w14:textId="6FA855DF" w:rsidR="00ED66A2" w:rsidRPr="006E44D7" w:rsidRDefault="00000000" w:rsidP="006E44D7">
      <w:pPr>
        <w:spacing w:before="80" w:after="80"/>
        <w:jc w:val="center"/>
        <w:rPr>
          <w:iCs/>
        </w:rPr>
      </w:pPr>
      <w:r w:rsidRPr="006E44D7">
        <w:rPr>
          <w:iCs/>
          <w:sz w:val="20"/>
        </w:rPr>
        <w:t>Fig. 6. Drawdown profiles.</w:t>
      </w:r>
    </w:p>
    <w:p w14:paraId="3938E8E7" w14:textId="77777777" w:rsidR="00C62544" w:rsidRDefault="00C62544">
      <w:pPr>
        <w:pStyle w:val="Heading2"/>
        <w:rPr>
          <w:rFonts w:ascii="Times New Roman" w:hAnsi="Times New Roman"/>
        </w:rPr>
      </w:pPr>
    </w:p>
    <w:p w14:paraId="06F0F52C" w14:textId="27F33B5B" w:rsidR="00ED66A2" w:rsidRDefault="00000000">
      <w:pPr>
        <w:pStyle w:val="Heading2"/>
      </w:pPr>
      <w:r>
        <w:rPr>
          <w:rFonts w:ascii="Times New Roman" w:hAnsi="Times New Roman"/>
        </w:rPr>
        <w:t xml:space="preserve">5.4. Probability confidence and model </w:t>
      </w:r>
      <w:proofErr w:type="spellStart"/>
      <w:r>
        <w:rPr>
          <w:rFonts w:ascii="Times New Roman" w:hAnsi="Times New Roman"/>
        </w:rPr>
        <w:t>behaviour</w:t>
      </w:r>
      <w:proofErr w:type="spellEnd"/>
      <w:r>
        <w:rPr>
          <w:rFonts w:ascii="Times New Roman" w:hAnsi="Times New Roman"/>
        </w:rPr>
        <w:t xml:space="preserve"> in the stress state</w:t>
      </w:r>
    </w:p>
    <w:p w14:paraId="64FA4B8F" w14:textId="77777777" w:rsidR="00ED66A2" w:rsidRDefault="00000000">
      <w:pPr>
        <w:spacing w:after="80" w:line="360" w:lineRule="auto"/>
        <w:ind w:firstLine="360"/>
      </w:pPr>
      <w:r>
        <w:t xml:space="preserve">Within the High-VIX subset, the mean predicted Up probability on Up-predicted days is 0.574 +/- 0.029, compared with 0.551 +/- 0.039 on Low-VIX Up-predicted days. The difference is not large enough to claim perfect calibration, but it is directionally consistent with the broader result: the ensemble becomes more decisive when volatility is elevated. This is plausible because </w:t>
      </w:r>
      <w:r>
        <w:lastRenderedPageBreak/>
        <w:t>features such as ATR-14, Bollinger width, MACD dispersion, and recent return lags tend to express stronger contrasts when the market is undergoing a sustained high-uncertainty episode rather than drifting quietly.</w:t>
      </w:r>
    </w:p>
    <w:p w14:paraId="71319E17" w14:textId="05E77C28" w:rsidR="00ED66A2" w:rsidRDefault="00000000">
      <w:pPr>
        <w:spacing w:after="80" w:line="360" w:lineRule="auto"/>
        <w:ind w:firstLine="360"/>
      </w:pPr>
      <w:r>
        <w:t xml:space="preserve">That </w:t>
      </w:r>
      <w:proofErr w:type="spellStart"/>
      <w:r>
        <w:t>behaviour</w:t>
      </w:r>
      <w:proofErr w:type="spellEnd"/>
      <w:r>
        <w:t xml:space="preserve"> is useful from a decision-support standpoint. A human user does not only want a label; the user wants to know when the system appears more certain. The probability shift provides an additional soft signal that the model sees a more separable state in the High-VIX regime. It therefore complements the hard regime filter and the accuracy tables by indicating that the </w:t>
      </w:r>
      <w:proofErr w:type="spellStart"/>
      <w:r>
        <w:t>ensembl</w:t>
      </w:r>
      <w:r w:rsidR="00541B59">
        <w:t>p</w:t>
      </w:r>
      <w:r>
        <w:t>e’s</w:t>
      </w:r>
      <w:proofErr w:type="spellEnd"/>
      <w:r>
        <w:t xml:space="preserve"> internal confidence also rises when the regime says it should.</w:t>
      </w:r>
    </w:p>
    <w:p w14:paraId="178ABCD6" w14:textId="77777777" w:rsidR="00ED66A2" w:rsidRDefault="00000000">
      <w:pPr>
        <w:pStyle w:val="Heading1"/>
      </w:pPr>
      <w:r>
        <w:rPr>
          <w:rFonts w:ascii="Times New Roman" w:hAnsi="Times New Roman"/>
        </w:rPr>
        <w:t xml:space="preserve">6. Robustness and </w:t>
      </w:r>
      <w:proofErr w:type="spellStart"/>
      <w:r>
        <w:rPr>
          <w:rFonts w:ascii="Times New Roman" w:hAnsi="Times New Roman"/>
        </w:rPr>
        <w:t>Generalisation</w:t>
      </w:r>
      <w:proofErr w:type="spellEnd"/>
      <w:r>
        <w:rPr>
          <w:rFonts w:ascii="Times New Roman" w:hAnsi="Times New Roman"/>
        </w:rPr>
        <w:t xml:space="preserve"> Checks</w:t>
      </w:r>
    </w:p>
    <w:p w14:paraId="407B278C" w14:textId="77777777" w:rsidR="00ED66A2" w:rsidRDefault="00000000">
      <w:pPr>
        <w:pStyle w:val="Heading2"/>
      </w:pPr>
      <w:r>
        <w:rPr>
          <w:rFonts w:ascii="Times New Roman" w:hAnsi="Times New Roman"/>
        </w:rPr>
        <w:t>6.1. Transaction-cost sensitivity</w:t>
      </w:r>
    </w:p>
    <w:p w14:paraId="4FA8FC7A" w14:textId="29662A80" w:rsidR="00ED66A2" w:rsidRDefault="00000000">
      <w:pPr>
        <w:spacing w:after="80" w:line="360" w:lineRule="auto"/>
        <w:ind w:firstLine="360"/>
      </w:pPr>
      <w:r>
        <w:t>Transaction-cost stress testing remains informative under corrected mechanics. From 0 to 50 basis points round-trip, strategy Sharpe declines from 0.455 to 0.375, while buy-and-hold Sharpe remains 1.204. Therefore, the strategy stays below buy-and-hold Sharpe at every tested cost level in the corrected specification.</w:t>
      </w:r>
    </w:p>
    <w:p w14:paraId="20EAAD43" w14:textId="77777777" w:rsidR="00ED66A2" w:rsidRDefault="00000000">
      <w:pPr>
        <w:spacing w:after="80" w:line="360" w:lineRule="auto"/>
        <w:ind w:firstLine="360"/>
      </w:pPr>
      <w:r>
        <w:t>Maximum drawdown remains unchanged across the tested cost levels because the filter reduces exposure rather than merely smoothing reported returns. In other words, the key benefit of the system is risk selection, not accounting luck. A system that only looks good before costs would not be credible for practical deployment, but that is not the pattern observed here.</w:t>
      </w:r>
    </w:p>
    <w:p w14:paraId="6605AE1E" w14:textId="77777777" w:rsidR="00ED66A2" w:rsidRPr="006E44D7" w:rsidRDefault="00000000" w:rsidP="006E44D7">
      <w:pPr>
        <w:spacing w:before="80" w:after="80"/>
        <w:jc w:val="center"/>
        <w:rPr>
          <w:iCs/>
        </w:rPr>
      </w:pPr>
      <w:r w:rsidRPr="006E44D7">
        <w:rPr>
          <w:iCs/>
          <w:sz w:val="20"/>
        </w:rPr>
        <w:t>Table 9. Transaction-cost sensitivity of the High-VIX plus Up deployment rule.</w:t>
      </w:r>
    </w:p>
    <w:tbl>
      <w:tblPr>
        <w:tblStyle w:val="TableGrid"/>
        <w:tblW w:w="0" w:type="auto"/>
        <w:jc w:val="center"/>
        <w:tblLook w:val="04A0" w:firstRow="1" w:lastRow="0" w:firstColumn="1" w:lastColumn="0" w:noHBand="0" w:noVBand="1"/>
      </w:tblPr>
      <w:tblGrid>
        <w:gridCol w:w="2448"/>
        <w:gridCol w:w="1440"/>
        <w:gridCol w:w="1440"/>
        <w:gridCol w:w="1152"/>
        <w:gridCol w:w="1440"/>
      </w:tblGrid>
      <w:tr w:rsidR="00ED66A2" w14:paraId="5823FF20" w14:textId="77777777" w:rsidTr="004E59A3">
        <w:trPr>
          <w:jc w:val="center"/>
        </w:trPr>
        <w:tc>
          <w:tcPr>
            <w:tcW w:w="2448" w:type="dxa"/>
            <w:vAlign w:val="center"/>
          </w:tcPr>
          <w:p w14:paraId="02F59962" w14:textId="77777777" w:rsidR="00ED66A2" w:rsidRDefault="00000000" w:rsidP="004E59A3">
            <w:pPr>
              <w:jc w:val="center"/>
            </w:pPr>
            <w:r>
              <w:rPr>
                <w:b/>
                <w:sz w:val="20"/>
              </w:rPr>
              <w:t>Cost setting</w:t>
            </w:r>
          </w:p>
        </w:tc>
        <w:tc>
          <w:tcPr>
            <w:tcW w:w="1440" w:type="dxa"/>
            <w:vAlign w:val="center"/>
          </w:tcPr>
          <w:p w14:paraId="2309E7F8" w14:textId="77777777" w:rsidR="00ED66A2" w:rsidRDefault="00000000" w:rsidP="004E59A3">
            <w:pPr>
              <w:jc w:val="center"/>
            </w:pPr>
            <w:r>
              <w:rPr>
                <w:b/>
                <w:sz w:val="20"/>
              </w:rPr>
              <w:t>Total return</w:t>
            </w:r>
          </w:p>
        </w:tc>
        <w:tc>
          <w:tcPr>
            <w:tcW w:w="1440" w:type="dxa"/>
            <w:vAlign w:val="center"/>
          </w:tcPr>
          <w:p w14:paraId="4E14E4BF" w14:textId="77777777" w:rsidR="00ED66A2" w:rsidRDefault="00000000" w:rsidP="004E59A3">
            <w:pPr>
              <w:jc w:val="center"/>
            </w:pPr>
            <w:r>
              <w:rPr>
                <w:b/>
                <w:sz w:val="20"/>
              </w:rPr>
              <w:t>Annual return</w:t>
            </w:r>
          </w:p>
        </w:tc>
        <w:tc>
          <w:tcPr>
            <w:tcW w:w="1152" w:type="dxa"/>
            <w:vAlign w:val="center"/>
          </w:tcPr>
          <w:p w14:paraId="12984117" w14:textId="77777777" w:rsidR="00ED66A2" w:rsidRDefault="00000000" w:rsidP="004E59A3">
            <w:pPr>
              <w:jc w:val="center"/>
            </w:pPr>
            <w:r>
              <w:rPr>
                <w:b/>
                <w:sz w:val="20"/>
              </w:rPr>
              <w:t>Sharpe</w:t>
            </w:r>
          </w:p>
        </w:tc>
        <w:tc>
          <w:tcPr>
            <w:tcW w:w="1440" w:type="dxa"/>
            <w:vAlign w:val="center"/>
          </w:tcPr>
          <w:p w14:paraId="7605D0B1" w14:textId="77777777" w:rsidR="00ED66A2" w:rsidRDefault="00000000" w:rsidP="004E59A3">
            <w:pPr>
              <w:jc w:val="center"/>
            </w:pPr>
            <w:r>
              <w:rPr>
                <w:b/>
                <w:sz w:val="20"/>
              </w:rPr>
              <w:t>Max drawdown</w:t>
            </w:r>
          </w:p>
        </w:tc>
      </w:tr>
      <w:tr w:rsidR="00ED66A2" w14:paraId="645BBDF6" w14:textId="77777777" w:rsidTr="004E59A3">
        <w:trPr>
          <w:jc w:val="center"/>
        </w:trPr>
        <w:tc>
          <w:tcPr>
            <w:tcW w:w="2448" w:type="dxa"/>
            <w:vAlign w:val="center"/>
          </w:tcPr>
          <w:p w14:paraId="77FF4CF5" w14:textId="77777777" w:rsidR="00ED66A2" w:rsidRDefault="00000000" w:rsidP="004E59A3">
            <w:pPr>
              <w:jc w:val="center"/>
            </w:pPr>
            <w:r>
              <w:rPr>
                <w:sz w:val="20"/>
              </w:rPr>
              <w:t>Buy-and-Hold benchmark</w:t>
            </w:r>
          </w:p>
        </w:tc>
        <w:tc>
          <w:tcPr>
            <w:tcW w:w="1440" w:type="dxa"/>
            <w:vAlign w:val="center"/>
          </w:tcPr>
          <w:p w14:paraId="18384725" w14:textId="77777777" w:rsidR="00ED66A2" w:rsidRDefault="00000000" w:rsidP="004E59A3">
            <w:pPr>
              <w:jc w:val="center"/>
            </w:pPr>
            <w:r>
              <w:rPr>
                <w:sz w:val="20"/>
              </w:rPr>
              <w:t>25.57%</w:t>
            </w:r>
          </w:p>
        </w:tc>
        <w:tc>
          <w:tcPr>
            <w:tcW w:w="1440" w:type="dxa"/>
            <w:vAlign w:val="center"/>
          </w:tcPr>
          <w:p w14:paraId="420E1EE6" w14:textId="77777777" w:rsidR="00ED66A2" w:rsidRDefault="00000000" w:rsidP="004E59A3">
            <w:pPr>
              <w:jc w:val="center"/>
            </w:pPr>
            <w:r>
              <w:rPr>
                <w:sz w:val="20"/>
              </w:rPr>
              <w:t>23.92%</w:t>
            </w:r>
          </w:p>
        </w:tc>
        <w:tc>
          <w:tcPr>
            <w:tcW w:w="1152" w:type="dxa"/>
            <w:vAlign w:val="center"/>
          </w:tcPr>
          <w:p w14:paraId="32C429D5" w14:textId="77777777" w:rsidR="00ED66A2" w:rsidRDefault="00000000" w:rsidP="004E59A3">
            <w:pPr>
              <w:jc w:val="center"/>
            </w:pPr>
            <w:r>
              <w:rPr>
                <w:sz w:val="20"/>
              </w:rPr>
              <w:t>1.963</w:t>
            </w:r>
          </w:p>
        </w:tc>
        <w:tc>
          <w:tcPr>
            <w:tcW w:w="1440" w:type="dxa"/>
            <w:vAlign w:val="center"/>
          </w:tcPr>
          <w:p w14:paraId="2A85A6C6" w14:textId="77777777" w:rsidR="00ED66A2" w:rsidRDefault="00000000" w:rsidP="004E59A3">
            <w:pPr>
              <w:jc w:val="center"/>
            </w:pPr>
            <w:r>
              <w:rPr>
                <w:sz w:val="20"/>
              </w:rPr>
              <w:t>-6.62%</w:t>
            </w:r>
          </w:p>
        </w:tc>
      </w:tr>
      <w:tr w:rsidR="00ED66A2" w14:paraId="1BE3C36E" w14:textId="77777777" w:rsidTr="004E59A3">
        <w:trPr>
          <w:jc w:val="center"/>
        </w:trPr>
        <w:tc>
          <w:tcPr>
            <w:tcW w:w="2448" w:type="dxa"/>
            <w:vAlign w:val="center"/>
          </w:tcPr>
          <w:p w14:paraId="2E9383E0" w14:textId="77777777" w:rsidR="00ED66A2" w:rsidRDefault="00000000" w:rsidP="004E59A3">
            <w:pPr>
              <w:jc w:val="center"/>
            </w:pPr>
            <w:proofErr w:type="spellStart"/>
            <w:r>
              <w:rPr>
                <w:sz w:val="20"/>
              </w:rPr>
              <w:t>HV+Up</w:t>
            </w:r>
            <w:proofErr w:type="spellEnd"/>
            <w:r>
              <w:rPr>
                <w:sz w:val="20"/>
              </w:rPr>
              <w:t xml:space="preserve"> TC = 0.00%</w:t>
            </w:r>
          </w:p>
        </w:tc>
        <w:tc>
          <w:tcPr>
            <w:tcW w:w="1440" w:type="dxa"/>
            <w:vAlign w:val="center"/>
          </w:tcPr>
          <w:p w14:paraId="6C36E55D" w14:textId="77777777" w:rsidR="00ED66A2" w:rsidRDefault="00000000" w:rsidP="004E59A3">
            <w:pPr>
              <w:jc w:val="center"/>
            </w:pPr>
            <w:r>
              <w:rPr>
                <w:sz w:val="20"/>
              </w:rPr>
              <w:t>17.35%</w:t>
            </w:r>
          </w:p>
        </w:tc>
        <w:tc>
          <w:tcPr>
            <w:tcW w:w="1440" w:type="dxa"/>
            <w:vAlign w:val="center"/>
          </w:tcPr>
          <w:p w14:paraId="110A1B72" w14:textId="77777777" w:rsidR="00ED66A2" w:rsidRDefault="00000000" w:rsidP="004E59A3">
            <w:pPr>
              <w:jc w:val="center"/>
            </w:pPr>
            <w:r>
              <w:rPr>
                <w:sz w:val="20"/>
              </w:rPr>
              <w:t>15.96%</w:t>
            </w:r>
          </w:p>
        </w:tc>
        <w:tc>
          <w:tcPr>
            <w:tcW w:w="1152" w:type="dxa"/>
            <w:vAlign w:val="center"/>
          </w:tcPr>
          <w:p w14:paraId="4BCBA53A" w14:textId="77777777" w:rsidR="00ED66A2" w:rsidRDefault="00000000" w:rsidP="004E59A3">
            <w:pPr>
              <w:jc w:val="center"/>
            </w:pPr>
            <w:r>
              <w:rPr>
                <w:sz w:val="20"/>
              </w:rPr>
              <w:t>2.216</w:t>
            </w:r>
          </w:p>
        </w:tc>
        <w:tc>
          <w:tcPr>
            <w:tcW w:w="1440" w:type="dxa"/>
            <w:vAlign w:val="center"/>
          </w:tcPr>
          <w:p w14:paraId="5E8E807A" w14:textId="77777777" w:rsidR="00ED66A2" w:rsidRDefault="00000000" w:rsidP="004E59A3">
            <w:pPr>
              <w:jc w:val="center"/>
            </w:pPr>
            <w:r>
              <w:rPr>
                <w:sz w:val="20"/>
              </w:rPr>
              <w:t>-3.69%</w:t>
            </w:r>
          </w:p>
        </w:tc>
      </w:tr>
      <w:tr w:rsidR="00ED66A2" w14:paraId="3C1972D4" w14:textId="77777777" w:rsidTr="004E59A3">
        <w:trPr>
          <w:jc w:val="center"/>
        </w:trPr>
        <w:tc>
          <w:tcPr>
            <w:tcW w:w="2448" w:type="dxa"/>
            <w:vAlign w:val="center"/>
          </w:tcPr>
          <w:p w14:paraId="0BCD1726" w14:textId="77777777" w:rsidR="00ED66A2" w:rsidRDefault="00000000" w:rsidP="004E59A3">
            <w:pPr>
              <w:jc w:val="center"/>
            </w:pPr>
            <w:proofErr w:type="spellStart"/>
            <w:r>
              <w:rPr>
                <w:sz w:val="20"/>
              </w:rPr>
              <w:t>HV+Up</w:t>
            </w:r>
            <w:proofErr w:type="spellEnd"/>
            <w:r>
              <w:rPr>
                <w:sz w:val="20"/>
              </w:rPr>
              <w:t xml:space="preserve"> TC = 0.03%</w:t>
            </w:r>
          </w:p>
        </w:tc>
        <w:tc>
          <w:tcPr>
            <w:tcW w:w="1440" w:type="dxa"/>
            <w:vAlign w:val="center"/>
          </w:tcPr>
          <w:p w14:paraId="55FDCB85" w14:textId="77777777" w:rsidR="00ED66A2" w:rsidRDefault="00000000" w:rsidP="004E59A3">
            <w:pPr>
              <w:jc w:val="center"/>
            </w:pPr>
            <w:r>
              <w:rPr>
                <w:sz w:val="20"/>
              </w:rPr>
              <w:t>17.21%</w:t>
            </w:r>
          </w:p>
        </w:tc>
        <w:tc>
          <w:tcPr>
            <w:tcW w:w="1440" w:type="dxa"/>
            <w:vAlign w:val="center"/>
          </w:tcPr>
          <w:p w14:paraId="0475886F" w14:textId="77777777" w:rsidR="00ED66A2" w:rsidRDefault="00000000" w:rsidP="004E59A3">
            <w:pPr>
              <w:jc w:val="center"/>
            </w:pPr>
            <w:r>
              <w:rPr>
                <w:sz w:val="20"/>
              </w:rPr>
              <w:t>15.83%</w:t>
            </w:r>
          </w:p>
        </w:tc>
        <w:tc>
          <w:tcPr>
            <w:tcW w:w="1152" w:type="dxa"/>
            <w:vAlign w:val="center"/>
          </w:tcPr>
          <w:p w14:paraId="2BFFB902" w14:textId="77777777" w:rsidR="00ED66A2" w:rsidRDefault="00000000" w:rsidP="004E59A3">
            <w:pPr>
              <w:jc w:val="center"/>
            </w:pPr>
            <w:r>
              <w:rPr>
                <w:sz w:val="20"/>
              </w:rPr>
              <w:t>2.200</w:t>
            </w:r>
          </w:p>
        </w:tc>
        <w:tc>
          <w:tcPr>
            <w:tcW w:w="1440" w:type="dxa"/>
            <w:vAlign w:val="center"/>
          </w:tcPr>
          <w:p w14:paraId="0C693B6D" w14:textId="77777777" w:rsidR="00ED66A2" w:rsidRDefault="00000000" w:rsidP="004E59A3">
            <w:pPr>
              <w:jc w:val="center"/>
            </w:pPr>
            <w:r>
              <w:rPr>
                <w:sz w:val="20"/>
              </w:rPr>
              <w:t>-3.69%</w:t>
            </w:r>
          </w:p>
        </w:tc>
      </w:tr>
      <w:tr w:rsidR="00ED66A2" w14:paraId="1A11A74B" w14:textId="77777777" w:rsidTr="004E59A3">
        <w:trPr>
          <w:jc w:val="center"/>
        </w:trPr>
        <w:tc>
          <w:tcPr>
            <w:tcW w:w="2448" w:type="dxa"/>
            <w:vAlign w:val="center"/>
          </w:tcPr>
          <w:p w14:paraId="37570BA1" w14:textId="77777777" w:rsidR="00ED66A2" w:rsidRDefault="00000000" w:rsidP="004E59A3">
            <w:pPr>
              <w:jc w:val="center"/>
            </w:pPr>
            <w:proofErr w:type="spellStart"/>
            <w:r>
              <w:rPr>
                <w:sz w:val="20"/>
              </w:rPr>
              <w:t>HV+Up</w:t>
            </w:r>
            <w:proofErr w:type="spellEnd"/>
            <w:r>
              <w:rPr>
                <w:sz w:val="20"/>
              </w:rPr>
              <w:t xml:space="preserve"> TC = 0.10%</w:t>
            </w:r>
          </w:p>
        </w:tc>
        <w:tc>
          <w:tcPr>
            <w:tcW w:w="1440" w:type="dxa"/>
            <w:vAlign w:val="center"/>
          </w:tcPr>
          <w:p w14:paraId="2165E673" w14:textId="77777777" w:rsidR="00ED66A2" w:rsidRDefault="00000000" w:rsidP="004E59A3">
            <w:pPr>
              <w:jc w:val="center"/>
            </w:pPr>
            <w:r>
              <w:rPr>
                <w:sz w:val="20"/>
              </w:rPr>
              <w:t>16.88%</w:t>
            </w:r>
          </w:p>
        </w:tc>
        <w:tc>
          <w:tcPr>
            <w:tcW w:w="1440" w:type="dxa"/>
            <w:vAlign w:val="center"/>
          </w:tcPr>
          <w:p w14:paraId="5D467DC7" w14:textId="77777777" w:rsidR="00ED66A2" w:rsidRDefault="00000000" w:rsidP="004E59A3">
            <w:pPr>
              <w:jc w:val="center"/>
            </w:pPr>
            <w:r>
              <w:rPr>
                <w:sz w:val="20"/>
              </w:rPr>
              <w:t>15.54%</w:t>
            </w:r>
          </w:p>
        </w:tc>
        <w:tc>
          <w:tcPr>
            <w:tcW w:w="1152" w:type="dxa"/>
            <w:vAlign w:val="center"/>
          </w:tcPr>
          <w:p w14:paraId="74541761" w14:textId="77777777" w:rsidR="00ED66A2" w:rsidRDefault="00000000" w:rsidP="004E59A3">
            <w:pPr>
              <w:jc w:val="center"/>
            </w:pPr>
            <w:r>
              <w:rPr>
                <w:sz w:val="20"/>
              </w:rPr>
              <w:t>2.163</w:t>
            </w:r>
          </w:p>
        </w:tc>
        <w:tc>
          <w:tcPr>
            <w:tcW w:w="1440" w:type="dxa"/>
            <w:vAlign w:val="center"/>
          </w:tcPr>
          <w:p w14:paraId="5911C724" w14:textId="77777777" w:rsidR="00ED66A2" w:rsidRDefault="00000000" w:rsidP="004E59A3">
            <w:pPr>
              <w:jc w:val="center"/>
            </w:pPr>
            <w:r>
              <w:rPr>
                <w:sz w:val="20"/>
              </w:rPr>
              <w:t>-3.69%</w:t>
            </w:r>
          </w:p>
        </w:tc>
      </w:tr>
      <w:tr w:rsidR="00ED66A2" w14:paraId="5A75ACBE" w14:textId="77777777" w:rsidTr="004E59A3">
        <w:trPr>
          <w:jc w:val="center"/>
        </w:trPr>
        <w:tc>
          <w:tcPr>
            <w:tcW w:w="2448" w:type="dxa"/>
            <w:vAlign w:val="center"/>
          </w:tcPr>
          <w:p w14:paraId="324B9B59" w14:textId="77777777" w:rsidR="00ED66A2" w:rsidRDefault="00000000" w:rsidP="004E59A3">
            <w:pPr>
              <w:jc w:val="center"/>
            </w:pPr>
            <w:proofErr w:type="spellStart"/>
            <w:r>
              <w:rPr>
                <w:sz w:val="20"/>
              </w:rPr>
              <w:t>HV+Up</w:t>
            </w:r>
            <w:proofErr w:type="spellEnd"/>
            <w:r>
              <w:rPr>
                <w:sz w:val="20"/>
              </w:rPr>
              <w:t xml:space="preserve"> TC = 0.20%</w:t>
            </w:r>
          </w:p>
        </w:tc>
        <w:tc>
          <w:tcPr>
            <w:tcW w:w="1440" w:type="dxa"/>
            <w:vAlign w:val="center"/>
          </w:tcPr>
          <w:p w14:paraId="19937A87" w14:textId="77777777" w:rsidR="00ED66A2" w:rsidRDefault="00000000" w:rsidP="004E59A3">
            <w:pPr>
              <w:jc w:val="center"/>
            </w:pPr>
            <w:r>
              <w:rPr>
                <w:sz w:val="20"/>
              </w:rPr>
              <w:t>16.42%</w:t>
            </w:r>
          </w:p>
        </w:tc>
        <w:tc>
          <w:tcPr>
            <w:tcW w:w="1440" w:type="dxa"/>
            <w:vAlign w:val="center"/>
          </w:tcPr>
          <w:p w14:paraId="49D054AD" w14:textId="77777777" w:rsidR="00ED66A2" w:rsidRDefault="00000000" w:rsidP="004E59A3">
            <w:pPr>
              <w:jc w:val="center"/>
            </w:pPr>
            <w:r>
              <w:rPr>
                <w:sz w:val="20"/>
              </w:rPr>
              <w:t>15.12%</w:t>
            </w:r>
          </w:p>
        </w:tc>
        <w:tc>
          <w:tcPr>
            <w:tcW w:w="1152" w:type="dxa"/>
            <w:vAlign w:val="center"/>
          </w:tcPr>
          <w:p w14:paraId="584D3D33" w14:textId="77777777" w:rsidR="00ED66A2" w:rsidRDefault="00000000" w:rsidP="004E59A3">
            <w:pPr>
              <w:jc w:val="center"/>
            </w:pPr>
            <w:r>
              <w:rPr>
                <w:sz w:val="20"/>
              </w:rPr>
              <w:t>2.108</w:t>
            </w:r>
          </w:p>
        </w:tc>
        <w:tc>
          <w:tcPr>
            <w:tcW w:w="1440" w:type="dxa"/>
            <w:vAlign w:val="center"/>
          </w:tcPr>
          <w:p w14:paraId="2631AAE4" w14:textId="77777777" w:rsidR="00ED66A2" w:rsidRDefault="00000000" w:rsidP="004E59A3">
            <w:pPr>
              <w:jc w:val="center"/>
            </w:pPr>
            <w:r>
              <w:rPr>
                <w:sz w:val="20"/>
              </w:rPr>
              <w:t>-3.69%</w:t>
            </w:r>
          </w:p>
        </w:tc>
      </w:tr>
      <w:tr w:rsidR="00ED66A2" w14:paraId="56DBB972" w14:textId="77777777" w:rsidTr="004E59A3">
        <w:trPr>
          <w:jc w:val="center"/>
        </w:trPr>
        <w:tc>
          <w:tcPr>
            <w:tcW w:w="2448" w:type="dxa"/>
            <w:vAlign w:val="center"/>
          </w:tcPr>
          <w:p w14:paraId="6F70CC8A" w14:textId="77777777" w:rsidR="00ED66A2" w:rsidRDefault="00000000" w:rsidP="004E59A3">
            <w:pPr>
              <w:jc w:val="center"/>
            </w:pPr>
            <w:proofErr w:type="spellStart"/>
            <w:r>
              <w:rPr>
                <w:sz w:val="20"/>
              </w:rPr>
              <w:t>HV+Up</w:t>
            </w:r>
            <w:proofErr w:type="spellEnd"/>
            <w:r>
              <w:rPr>
                <w:sz w:val="20"/>
              </w:rPr>
              <w:t xml:space="preserve"> TC = 0.30%</w:t>
            </w:r>
          </w:p>
        </w:tc>
        <w:tc>
          <w:tcPr>
            <w:tcW w:w="1440" w:type="dxa"/>
            <w:vAlign w:val="center"/>
          </w:tcPr>
          <w:p w14:paraId="5563A9F7" w14:textId="77777777" w:rsidR="00ED66A2" w:rsidRDefault="00000000" w:rsidP="004E59A3">
            <w:pPr>
              <w:jc w:val="center"/>
            </w:pPr>
            <w:r>
              <w:rPr>
                <w:sz w:val="20"/>
              </w:rPr>
              <w:t>15.95%</w:t>
            </w:r>
          </w:p>
        </w:tc>
        <w:tc>
          <w:tcPr>
            <w:tcW w:w="1440" w:type="dxa"/>
            <w:vAlign w:val="center"/>
          </w:tcPr>
          <w:p w14:paraId="6B7C4EDB" w14:textId="77777777" w:rsidR="00ED66A2" w:rsidRDefault="00000000" w:rsidP="004E59A3">
            <w:pPr>
              <w:jc w:val="center"/>
            </w:pPr>
            <w:r>
              <w:rPr>
                <w:sz w:val="20"/>
              </w:rPr>
              <w:t>14.71%</w:t>
            </w:r>
          </w:p>
        </w:tc>
        <w:tc>
          <w:tcPr>
            <w:tcW w:w="1152" w:type="dxa"/>
            <w:vAlign w:val="center"/>
          </w:tcPr>
          <w:p w14:paraId="1AEA1781" w14:textId="77777777" w:rsidR="00ED66A2" w:rsidRDefault="00000000" w:rsidP="004E59A3">
            <w:pPr>
              <w:jc w:val="center"/>
            </w:pPr>
            <w:r>
              <w:rPr>
                <w:sz w:val="20"/>
              </w:rPr>
              <w:t>2.052</w:t>
            </w:r>
          </w:p>
        </w:tc>
        <w:tc>
          <w:tcPr>
            <w:tcW w:w="1440" w:type="dxa"/>
            <w:vAlign w:val="center"/>
          </w:tcPr>
          <w:p w14:paraId="219471BA" w14:textId="77777777" w:rsidR="00ED66A2" w:rsidRDefault="00000000" w:rsidP="004E59A3">
            <w:pPr>
              <w:jc w:val="center"/>
            </w:pPr>
            <w:r>
              <w:rPr>
                <w:sz w:val="20"/>
              </w:rPr>
              <w:t>-3.69%</w:t>
            </w:r>
          </w:p>
        </w:tc>
      </w:tr>
      <w:tr w:rsidR="00ED66A2" w14:paraId="4C0B9D85" w14:textId="77777777" w:rsidTr="004E59A3">
        <w:trPr>
          <w:jc w:val="center"/>
        </w:trPr>
        <w:tc>
          <w:tcPr>
            <w:tcW w:w="2448" w:type="dxa"/>
            <w:vAlign w:val="center"/>
          </w:tcPr>
          <w:p w14:paraId="46663231" w14:textId="77777777" w:rsidR="00ED66A2" w:rsidRDefault="00000000" w:rsidP="004E59A3">
            <w:pPr>
              <w:jc w:val="center"/>
            </w:pPr>
            <w:proofErr w:type="spellStart"/>
            <w:r>
              <w:rPr>
                <w:sz w:val="20"/>
              </w:rPr>
              <w:t>HV+Up</w:t>
            </w:r>
            <w:proofErr w:type="spellEnd"/>
            <w:r>
              <w:rPr>
                <w:sz w:val="20"/>
              </w:rPr>
              <w:t xml:space="preserve"> TC = 0.50%</w:t>
            </w:r>
          </w:p>
        </w:tc>
        <w:tc>
          <w:tcPr>
            <w:tcW w:w="1440" w:type="dxa"/>
            <w:vAlign w:val="center"/>
          </w:tcPr>
          <w:p w14:paraId="59A04B3B" w14:textId="77777777" w:rsidR="00ED66A2" w:rsidRDefault="00000000" w:rsidP="004E59A3">
            <w:pPr>
              <w:jc w:val="center"/>
            </w:pPr>
            <w:r>
              <w:rPr>
                <w:sz w:val="20"/>
              </w:rPr>
              <w:t>15.03%</w:t>
            </w:r>
          </w:p>
        </w:tc>
        <w:tc>
          <w:tcPr>
            <w:tcW w:w="1440" w:type="dxa"/>
            <w:vAlign w:val="center"/>
          </w:tcPr>
          <w:p w14:paraId="7572F092" w14:textId="77777777" w:rsidR="00ED66A2" w:rsidRDefault="00000000" w:rsidP="004E59A3">
            <w:pPr>
              <w:jc w:val="center"/>
            </w:pPr>
            <w:r>
              <w:rPr>
                <w:sz w:val="20"/>
              </w:rPr>
              <w:t>13.88%</w:t>
            </w:r>
          </w:p>
        </w:tc>
        <w:tc>
          <w:tcPr>
            <w:tcW w:w="1152" w:type="dxa"/>
            <w:vAlign w:val="center"/>
          </w:tcPr>
          <w:p w14:paraId="5583FE95" w14:textId="77777777" w:rsidR="00ED66A2" w:rsidRDefault="00000000" w:rsidP="004E59A3">
            <w:pPr>
              <w:jc w:val="center"/>
            </w:pPr>
            <w:r>
              <w:rPr>
                <w:sz w:val="20"/>
              </w:rPr>
              <w:t>1.936</w:t>
            </w:r>
          </w:p>
        </w:tc>
        <w:tc>
          <w:tcPr>
            <w:tcW w:w="1440" w:type="dxa"/>
            <w:vAlign w:val="center"/>
          </w:tcPr>
          <w:p w14:paraId="43CA898C" w14:textId="77777777" w:rsidR="00ED66A2" w:rsidRDefault="00000000" w:rsidP="004E59A3">
            <w:pPr>
              <w:jc w:val="center"/>
            </w:pPr>
            <w:r>
              <w:rPr>
                <w:sz w:val="20"/>
              </w:rPr>
              <w:t>-3.69%</w:t>
            </w:r>
          </w:p>
        </w:tc>
      </w:tr>
    </w:tbl>
    <w:p w14:paraId="74A6D31A" w14:textId="77777777" w:rsidR="00ED66A2" w:rsidRDefault="00ED66A2"/>
    <w:p w14:paraId="3EFD79D7" w14:textId="77777777" w:rsidR="00ED66A2" w:rsidRDefault="00000000">
      <w:pPr>
        <w:spacing w:before="120" w:after="40"/>
        <w:jc w:val="center"/>
      </w:pPr>
      <w:r>
        <w:rPr>
          <w:noProof/>
        </w:rPr>
        <w:lastRenderedPageBreak/>
        <w:drawing>
          <wp:inline distT="0" distB="0" distL="0" distR="0" wp14:anchorId="2E8C3867" wp14:editId="545C9498">
            <wp:extent cx="5303520" cy="16307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8_tc_sensitivity.png"/>
                    <pic:cNvPicPr/>
                  </pic:nvPicPr>
                  <pic:blipFill>
                    <a:blip r:embed="rId14"/>
                    <a:stretch>
                      <a:fillRect/>
                    </a:stretch>
                  </pic:blipFill>
                  <pic:spPr>
                    <a:xfrm>
                      <a:off x="0" y="0"/>
                      <a:ext cx="5303520" cy="1630798"/>
                    </a:xfrm>
                    <a:prstGeom prst="rect">
                      <a:avLst/>
                    </a:prstGeom>
                  </pic:spPr>
                </pic:pic>
              </a:graphicData>
            </a:graphic>
          </wp:inline>
        </w:drawing>
      </w:r>
    </w:p>
    <w:p w14:paraId="1D380E71" w14:textId="77777777" w:rsidR="00ED66A2" w:rsidRPr="00B7398C" w:rsidRDefault="00000000" w:rsidP="00B7398C">
      <w:pPr>
        <w:spacing w:before="80" w:after="80"/>
        <w:jc w:val="center"/>
        <w:rPr>
          <w:iCs/>
        </w:rPr>
      </w:pPr>
      <w:r w:rsidRPr="00B7398C">
        <w:rPr>
          <w:iCs/>
          <w:sz w:val="20"/>
        </w:rPr>
        <w:t>Fig. 7. Sharpe ratio and drawdown sensitivity of the High-VIX plus Up strategy under rising round-trip trading costs.</w:t>
      </w:r>
    </w:p>
    <w:p w14:paraId="0A8EB6A8" w14:textId="77777777" w:rsidR="00ED66A2" w:rsidRDefault="00ED66A2" w:rsidP="00A36C97">
      <w:pPr>
        <w:spacing w:after="0"/>
      </w:pPr>
    </w:p>
    <w:p w14:paraId="200207F3" w14:textId="77777777" w:rsidR="00ED66A2" w:rsidRDefault="00000000">
      <w:pPr>
        <w:pStyle w:val="Heading2"/>
      </w:pPr>
      <w:r>
        <w:rPr>
          <w:rFonts w:ascii="Times New Roman" w:hAnsi="Times New Roman"/>
        </w:rPr>
        <w:t>6.2. GARCH alternative versus India VIX</w:t>
      </w:r>
    </w:p>
    <w:p w14:paraId="08F7C29B" w14:textId="77777777" w:rsidR="00ED66A2" w:rsidRDefault="00000000">
      <w:pPr>
        <w:spacing w:after="80" w:line="360" w:lineRule="auto"/>
        <w:ind w:firstLine="360"/>
      </w:pPr>
      <w:r>
        <w:t>A broader interpretation is that volatility-state conditioning may still carry informational value, but its realized benefit is highly dependent on how the regime is calibrated out-of-sample and on whether enough High-VIX observations exist in the evaluation window.</w:t>
      </w:r>
    </w:p>
    <w:p w14:paraId="23F1792B" w14:textId="4E8130E0" w:rsidR="00ED66A2" w:rsidRDefault="00000000">
      <w:pPr>
        <w:spacing w:after="80" w:line="360" w:lineRule="auto"/>
        <w:ind w:firstLine="360"/>
      </w:pPr>
      <w:r>
        <w:t>The interpretation is economically coherent. Historical-volatility models summarize what the market has already experienced, whereas India VIX incorporates forward-looking uncertainty and risk sentiment inferred from options prices. For a decision-support system, that distinction is crucial: the more useful state variable is the one that better anticipates when the directional signal becomes reliable. The data indicate that India VIX is the stronger gatekeeper.</w:t>
      </w:r>
      <w:r w:rsidR="0045021F">
        <w:t xml:space="preserve"> </w:t>
      </w:r>
      <w:r w:rsidR="0045021F" w:rsidRPr="0045021F">
        <w:t>Table 10</w:t>
      </w:r>
      <w:r w:rsidR="0045021F">
        <w:t xml:space="preserve"> highlights </w:t>
      </w:r>
      <w:r w:rsidR="0045021F" w:rsidRPr="0045021F">
        <w:t xml:space="preserve">India VIX regime versus </w:t>
      </w:r>
      <w:proofErr w:type="gramStart"/>
      <w:r w:rsidR="0045021F" w:rsidRPr="0045021F">
        <w:t>GARCH(</w:t>
      </w:r>
      <w:proofErr w:type="gramEnd"/>
      <w:r w:rsidR="0045021F" w:rsidRPr="0045021F">
        <w:t>1,1) regime at the 21-day horizon.</w:t>
      </w:r>
    </w:p>
    <w:p w14:paraId="01C23DB1" w14:textId="77777777" w:rsidR="00ED66A2" w:rsidRPr="00127063" w:rsidRDefault="00000000" w:rsidP="00127063">
      <w:pPr>
        <w:spacing w:before="80" w:after="80"/>
        <w:jc w:val="center"/>
        <w:rPr>
          <w:iCs/>
        </w:rPr>
      </w:pPr>
      <w:r w:rsidRPr="00127063">
        <w:rPr>
          <w:iCs/>
          <w:sz w:val="20"/>
        </w:rPr>
        <w:t xml:space="preserve">Table 10. India VIX regime versus </w:t>
      </w:r>
      <w:proofErr w:type="gramStart"/>
      <w:r w:rsidRPr="00127063">
        <w:rPr>
          <w:iCs/>
          <w:sz w:val="20"/>
        </w:rPr>
        <w:t>GARCH(</w:t>
      </w:r>
      <w:proofErr w:type="gramEnd"/>
      <w:r w:rsidRPr="00127063">
        <w:rPr>
          <w:iCs/>
          <w:sz w:val="20"/>
        </w:rPr>
        <w:t>1,1) regime at the 21-day horizon.</w:t>
      </w:r>
    </w:p>
    <w:tbl>
      <w:tblPr>
        <w:tblStyle w:val="TableGrid"/>
        <w:tblW w:w="0" w:type="auto"/>
        <w:jc w:val="center"/>
        <w:tblLook w:val="04A0" w:firstRow="1" w:lastRow="0" w:firstColumn="1" w:lastColumn="0" w:noHBand="0" w:noVBand="1"/>
      </w:tblPr>
      <w:tblGrid>
        <w:gridCol w:w="2622"/>
        <w:gridCol w:w="874"/>
        <w:gridCol w:w="1457"/>
        <w:gridCol w:w="1457"/>
        <w:gridCol w:w="1020"/>
        <w:gridCol w:w="1457"/>
      </w:tblGrid>
      <w:tr w:rsidR="00ED66A2" w14:paraId="2B622937" w14:textId="77777777" w:rsidTr="00127063">
        <w:trPr>
          <w:trHeight w:val="664"/>
          <w:jc w:val="center"/>
        </w:trPr>
        <w:tc>
          <w:tcPr>
            <w:tcW w:w="2622" w:type="dxa"/>
            <w:vAlign w:val="center"/>
          </w:tcPr>
          <w:p w14:paraId="13C56554" w14:textId="77777777" w:rsidR="00ED66A2" w:rsidRDefault="00000000" w:rsidP="00127063">
            <w:pPr>
              <w:jc w:val="center"/>
            </w:pPr>
            <w:r>
              <w:rPr>
                <w:b/>
                <w:sz w:val="20"/>
              </w:rPr>
              <w:t>Regime</w:t>
            </w:r>
          </w:p>
        </w:tc>
        <w:tc>
          <w:tcPr>
            <w:tcW w:w="874" w:type="dxa"/>
            <w:vAlign w:val="center"/>
          </w:tcPr>
          <w:p w14:paraId="16CCF993" w14:textId="77777777" w:rsidR="00ED66A2" w:rsidRDefault="00000000" w:rsidP="00127063">
            <w:pPr>
              <w:jc w:val="center"/>
            </w:pPr>
            <w:r>
              <w:rPr>
                <w:b/>
                <w:sz w:val="20"/>
              </w:rPr>
              <w:t>n</w:t>
            </w:r>
          </w:p>
        </w:tc>
        <w:tc>
          <w:tcPr>
            <w:tcW w:w="1457" w:type="dxa"/>
            <w:vAlign w:val="center"/>
          </w:tcPr>
          <w:p w14:paraId="508F2D68" w14:textId="77777777" w:rsidR="00ED66A2" w:rsidRDefault="00000000" w:rsidP="00127063">
            <w:pPr>
              <w:jc w:val="center"/>
            </w:pPr>
            <w:r>
              <w:rPr>
                <w:b/>
                <w:sz w:val="20"/>
              </w:rPr>
              <w:t>Accuracy</w:t>
            </w:r>
          </w:p>
        </w:tc>
        <w:tc>
          <w:tcPr>
            <w:tcW w:w="1457" w:type="dxa"/>
            <w:vAlign w:val="center"/>
          </w:tcPr>
          <w:p w14:paraId="1FCDC0AE" w14:textId="77777777" w:rsidR="00ED66A2" w:rsidRDefault="00000000" w:rsidP="00127063">
            <w:pPr>
              <w:jc w:val="center"/>
            </w:pPr>
            <w:r>
              <w:rPr>
                <w:b/>
                <w:sz w:val="20"/>
              </w:rPr>
              <w:t>Fisher p</w:t>
            </w:r>
          </w:p>
        </w:tc>
        <w:tc>
          <w:tcPr>
            <w:tcW w:w="1020" w:type="dxa"/>
            <w:vAlign w:val="center"/>
          </w:tcPr>
          <w:p w14:paraId="33659B25" w14:textId="7346860A" w:rsidR="00ED66A2" w:rsidRDefault="00541B59" w:rsidP="00127063">
            <w:pPr>
              <w:jc w:val="center"/>
            </w:pPr>
            <w:r>
              <w:rPr>
                <w:b/>
                <w:sz w:val="20"/>
              </w:rPr>
              <w:t>Phi (</w:t>
            </w:r>
            <w:r>
              <w:t>φ)</w:t>
            </w:r>
          </w:p>
        </w:tc>
        <w:tc>
          <w:tcPr>
            <w:tcW w:w="1457" w:type="dxa"/>
            <w:vAlign w:val="center"/>
          </w:tcPr>
          <w:p w14:paraId="5BFD9C4D" w14:textId="77777777" w:rsidR="00ED66A2" w:rsidRDefault="00000000" w:rsidP="00127063">
            <w:pPr>
              <w:jc w:val="center"/>
            </w:pPr>
            <w:r>
              <w:rPr>
                <w:b/>
                <w:sz w:val="20"/>
              </w:rPr>
              <w:t>Bonferroni pass</w:t>
            </w:r>
          </w:p>
        </w:tc>
      </w:tr>
      <w:tr w:rsidR="00ED66A2" w14:paraId="262B7A55" w14:textId="77777777" w:rsidTr="00127063">
        <w:trPr>
          <w:trHeight w:val="332"/>
          <w:jc w:val="center"/>
        </w:trPr>
        <w:tc>
          <w:tcPr>
            <w:tcW w:w="2622" w:type="dxa"/>
            <w:vAlign w:val="center"/>
          </w:tcPr>
          <w:p w14:paraId="6FD3E464" w14:textId="77777777" w:rsidR="00ED66A2" w:rsidRDefault="00000000" w:rsidP="00127063">
            <w:pPr>
              <w:jc w:val="center"/>
            </w:pPr>
            <w:r>
              <w:rPr>
                <w:sz w:val="20"/>
              </w:rPr>
              <w:t>VIX High (≥ 15.08)</w:t>
            </w:r>
          </w:p>
        </w:tc>
        <w:tc>
          <w:tcPr>
            <w:tcW w:w="874" w:type="dxa"/>
            <w:vAlign w:val="center"/>
          </w:tcPr>
          <w:p w14:paraId="2EEDC01F" w14:textId="77777777" w:rsidR="00ED66A2" w:rsidRDefault="00000000" w:rsidP="00127063">
            <w:pPr>
              <w:jc w:val="center"/>
            </w:pPr>
            <w:r>
              <w:rPr>
                <w:sz w:val="20"/>
              </w:rPr>
              <w:t>58</w:t>
            </w:r>
          </w:p>
        </w:tc>
        <w:tc>
          <w:tcPr>
            <w:tcW w:w="1457" w:type="dxa"/>
            <w:vAlign w:val="center"/>
          </w:tcPr>
          <w:p w14:paraId="71F03F66" w14:textId="77777777" w:rsidR="00ED66A2" w:rsidRDefault="00000000" w:rsidP="00127063">
            <w:pPr>
              <w:jc w:val="center"/>
            </w:pPr>
            <w:r>
              <w:rPr>
                <w:sz w:val="20"/>
              </w:rPr>
              <w:t>84.5%</w:t>
            </w:r>
          </w:p>
        </w:tc>
        <w:tc>
          <w:tcPr>
            <w:tcW w:w="1457" w:type="dxa"/>
            <w:vAlign w:val="center"/>
          </w:tcPr>
          <w:p w14:paraId="28BD199A" w14:textId="77777777" w:rsidR="00ED66A2" w:rsidRDefault="00000000" w:rsidP="00127063">
            <w:pPr>
              <w:jc w:val="center"/>
            </w:pPr>
            <w:r>
              <w:rPr>
                <w:sz w:val="20"/>
              </w:rPr>
              <w:t>≈ 3×10⁻⁵</w:t>
            </w:r>
          </w:p>
        </w:tc>
        <w:tc>
          <w:tcPr>
            <w:tcW w:w="1020" w:type="dxa"/>
            <w:vAlign w:val="center"/>
          </w:tcPr>
          <w:p w14:paraId="798BF1FF" w14:textId="77777777" w:rsidR="00ED66A2" w:rsidRDefault="00000000" w:rsidP="00127063">
            <w:pPr>
              <w:jc w:val="center"/>
            </w:pPr>
            <w:r>
              <w:rPr>
                <w:sz w:val="20"/>
              </w:rPr>
              <w:t>0.248</w:t>
            </w:r>
          </w:p>
        </w:tc>
        <w:tc>
          <w:tcPr>
            <w:tcW w:w="1457" w:type="dxa"/>
            <w:vAlign w:val="center"/>
          </w:tcPr>
          <w:p w14:paraId="08CFC7AA" w14:textId="77777777" w:rsidR="00ED66A2" w:rsidRDefault="00000000" w:rsidP="00127063">
            <w:pPr>
              <w:jc w:val="center"/>
            </w:pPr>
            <w:r>
              <w:rPr>
                <w:sz w:val="20"/>
              </w:rPr>
              <w:t>Yes</w:t>
            </w:r>
          </w:p>
        </w:tc>
      </w:tr>
      <w:tr w:rsidR="00ED66A2" w14:paraId="5BF34FB1" w14:textId="77777777" w:rsidTr="00127063">
        <w:trPr>
          <w:trHeight w:val="332"/>
          <w:jc w:val="center"/>
        </w:trPr>
        <w:tc>
          <w:tcPr>
            <w:tcW w:w="2622" w:type="dxa"/>
            <w:vAlign w:val="center"/>
          </w:tcPr>
          <w:p w14:paraId="6D00E3D8" w14:textId="77777777" w:rsidR="00ED66A2" w:rsidRDefault="00000000" w:rsidP="00127063">
            <w:pPr>
              <w:jc w:val="center"/>
            </w:pPr>
            <w:r>
              <w:rPr>
                <w:sz w:val="20"/>
              </w:rPr>
              <w:t>VIX Low</w:t>
            </w:r>
          </w:p>
        </w:tc>
        <w:tc>
          <w:tcPr>
            <w:tcW w:w="874" w:type="dxa"/>
            <w:vAlign w:val="center"/>
          </w:tcPr>
          <w:p w14:paraId="5631D4EC" w14:textId="77777777" w:rsidR="00ED66A2" w:rsidRDefault="00000000" w:rsidP="00127063">
            <w:pPr>
              <w:jc w:val="center"/>
            </w:pPr>
            <w:r>
              <w:rPr>
                <w:sz w:val="20"/>
              </w:rPr>
              <w:t>219</w:t>
            </w:r>
          </w:p>
        </w:tc>
        <w:tc>
          <w:tcPr>
            <w:tcW w:w="1457" w:type="dxa"/>
            <w:vAlign w:val="center"/>
          </w:tcPr>
          <w:p w14:paraId="50C23A86" w14:textId="77777777" w:rsidR="00ED66A2" w:rsidRDefault="00000000" w:rsidP="00127063">
            <w:pPr>
              <w:jc w:val="center"/>
            </w:pPr>
            <w:r>
              <w:rPr>
                <w:sz w:val="20"/>
              </w:rPr>
              <w:t>54.8%</w:t>
            </w:r>
          </w:p>
        </w:tc>
        <w:tc>
          <w:tcPr>
            <w:tcW w:w="1457" w:type="dxa"/>
            <w:vAlign w:val="center"/>
          </w:tcPr>
          <w:p w14:paraId="464C09E2" w14:textId="77777777" w:rsidR="00ED66A2" w:rsidRDefault="00000000" w:rsidP="00127063">
            <w:pPr>
              <w:jc w:val="center"/>
            </w:pPr>
            <w:r>
              <w:rPr>
                <w:sz w:val="20"/>
              </w:rPr>
              <w:t>—</w:t>
            </w:r>
          </w:p>
        </w:tc>
        <w:tc>
          <w:tcPr>
            <w:tcW w:w="1020" w:type="dxa"/>
            <w:vAlign w:val="center"/>
          </w:tcPr>
          <w:p w14:paraId="6E240FD2" w14:textId="77777777" w:rsidR="00ED66A2" w:rsidRDefault="00000000" w:rsidP="00127063">
            <w:pPr>
              <w:jc w:val="center"/>
            </w:pPr>
            <w:r>
              <w:rPr>
                <w:sz w:val="20"/>
              </w:rPr>
              <w:t>—</w:t>
            </w:r>
          </w:p>
        </w:tc>
        <w:tc>
          <w:tcPr>
            <w:tcW w:w="1457" w:type="dxa"/>
            <w:vAlign w:val="center"/>
          </w:tcPr>
          <w:p w14:paraId="787FDAA1" w14:textId="77777777" w:rsidR="00ED66A2" w:rsidRDefault="00000000" w:rsidP="00127063">
            <w:pPr>
              <w:jc w:val="center"/>
            </w:pPr>
            <w:r>
              <w:rPr>
                <w:sz w:val="20"/>
              </w:rPr>
              <w:t>—</w:t>
            </w:r>
          </w:p>
        </w:tc>
      </w:tr>
      <w:tr w:rsidR="00ED66A2" w14:paraId="6D8C5027" w14:textId="77777777" w:rsidTr="00127063">
        <w:trPr>
          <w:trHeight w:val="332"/>
          <w:jc w:val="center"/>
        </w:trPr>
        <w:tc>
          <w:tcPr>
            <w:tcW w:w="2622" w:type="dxa"/>
            <w:vAlign w:val="center"/>
          </w:tcPr>
          <w:p w14:paraId="20452739" w14:textId="77777777" w:rsidR="00ED66A2" w:rsidRDefault="00000000" w:rsidP="00127063">
            <w:pPr>
              <w:jc w:val="center"/>
            </w:pPr>
            <w:r>
              <w:rPr>
                <w:sz w:val="20"/>
              </w:rPr>
              <w:t>GARCH High (p75)</w:t>
            </w:r>
          </w:p>
        </w:tc>
        <w:tc>
          <w:tcPr>
            <w:tcW w:w="874" w:type="dxa"/>
            <w:vAlign w:val="center"/>
          </w:tcPr>
          <w:p w14:paraId="17FE7B18" w14:textId="77777777" w:rsidR="00ED66A2" w:rsidRDefault="00000000" w:rsidP="00127063">
            <w:pPr>
              <w:jc w:val="center"/>
            </w:pPr>
            <w:r>
              <w:rPr>
                <w:sz w:val="20"/>
              </w:rPr>
              <w:t>70</w:t>
            </w:r>
          </w:p>
        </w:tc>
        <w:tc>
          <w:tcPr>
            <w:tcW w:w="1457" w:type="dxa"/>
            <w:vAlign w:val="center"/>
          </w:tcPr>
          <w:p w14:paraId="18C502D7" w14:textId="77777777" w:rsidR="00ED66A2" w:rsidRDefault="00000000" w:rsidP="00127063">
            <w:pPr>
              <w:jc w:val="center"/>
            </w:pPr>
            <w:r>
              <w:rPr>
                <w:sz w:val="20"/>
              </w:rPr>
              <w:t>71.4%</w:t>
            </w:r>
          </w:p>
        </w:tc>
        <w:tc>
          <w:tcPr>
            <w:tcW w:w="1457" w:type="dxa"/>
            <w:vAlign w:val="center"/>
          </w:tcPr>
          <w:p w14:paraId="590AB1A5" w14:textId="77777777" w:rsidR="00ED66A2" w:rsidRDefault="00000000" w:rsidP="00127063">
            <w:pPr>
              <w:jc w:val="center"/>
            </w:pPr>
            <w:r>
              <w:rPr>
                <w:sz w:val="20"/>
              </w:rPr>
              <w:t>3.9×10⁻²</w:t>
            </w:r>
          </w:p>
        </w:tc>
        <w:tc>
          <w:tcPr>
            <w:tcW w:w="1020" w:type="dxa"/>
            <w:vAlign w:val="center"/>
          </w:tcPr>
          <w:p w14:paraId="0A4DE1FC" w14:textId="77777777" w:rsidR="00ED66A2" w:rsidRDefault="00000000" w:rsidP="00127063">
            <w:pPr>
              <w:jc w:val="center"/>
            </w:pPr>
            <w:r>
              <w:rPr>
                <w:sz w:val="20"/>
              </w:rPr>
              <w:t>0.124</w:t>
            </w:r>
          </w:p>
        </w:tc>
        <w:tc>
          <w:tcPr>
            <w:tcW w:w="1457" w:type="dxa"/>
            <w:vAlign w:val="center"/>
          </w:tcPr>
          <w:p w14:paraId="68E32842" w14:textId="77777777" w:rsidR="00ED66A2" w:rsidRDefault="00000000" w:rsidP="00127063">
            <w:pPr>
              <w:jc w:val="center"/>
            </w:pPr>
            <w:r>
              <w:rPr>
                <w:sz w:val="20"/>
              </w:rPr>
              <w:t>No</w:t>
            </w:r>
          </w:p>
        </w:tc>
      </w:tr>
      <w:tr w:rsidR="00ED66A2" w14:paraId="77F09DEF" w14:textId="77777777" w:rsidTr="00127063">
        <w:trPr>
          <w:trHeight w:val="332"/>
          <w:jc w:val="center"/>
        </w:trPr>
        <w:tc>
          <w:tcPr>
            <w:tcW w:w="2622" w:type="dxa"/>
            <w:vAlign w:val="center"/>
          </w:tcPr>
          <w:p w14:paraId="3AEBE2C0" w14:textId="77777777" w:rsidR="00ED66A2" w:rsidRDefault="00000000" w:rsidP="00127063">
            <w:pPr>
              <w:jc w:val="center"/>
            </w:pPr>
            <w:r>
              <w:rPr>
                <w:sz w:val="20"/>
              </w:rPr>
              <w:t>GARCH Low</w:t>
            </w:r>
          </w:p>
        </w:tc>
        <w:tc>
          <w:tcPr>
            <w:tcW w:w="874" w:type="dxa"/>
            <w:vAlign w:val="center"/>
          </w:tcPr>
          <w:p w14:paraId="0666BFE3" w14:textId="77777777" w:rsidR="00ED66A2" w:rsidRDefault="00000000" w:rsidP="00127063">
            <w:pPr>
              <w:jc w:val="center"/>
            </w:pPr>
            <w:r>
              <w:rPr>
                <w:sz w:val="20"/>
              </w:rPr>
              <w:t>207</w:t>
            </w:r>
          </w:p>
        </w:tc>
        <w:tc>
          <w:tcPr>
            <w:tcW w:w="1457" w:type="dxa"/>
            <w:vAlign w:val="center"/>
          </w:tcPr>
          <w:p w14:paraId="2EDC1CAA" w14:textId="77777777" w:rsidR="00ED66A2" w:rsidRDefault="00000000" w:rsidP="00127063">
            <w:pPr>
              <w:jc w:val="center"/>
            </w:pPr>
            <w:r>
              <w:rPr>
                <w:sz w:val="20"/>
              </w:rPr>
              <w:t>57.5%</w:t>
            </w:r>
          </w:p>
        </w:tc>
        <w:tc>
          <w:tcPr>
            <w:tcW w:w="1457" w:type="dxa"/>
            <w:vAlign w:val="center"/>
          </w:tcPr>
          <w:p w14:paraId="4D447E3F" w14:textId="77777777" w:rsidR="00ED66A2" w:rsidRDefault="00000000" w:rsidP="00127063">
            <w:pPr>
              <w:jc w:val="center"/>
            </w:pPr>
            <w:r>
              <w:rPr>
                <w:sz w:val="20"/>
              </w:rPr>
              <w:t>-</w:t>
            </w:r>
          </w:p>
        </w:tc>
        <w:tc>
          <w:tcPr>
            <w:tcW w:w="1020" w:type="dxa"/>
            <w:vAlign w:val="center"/>
          </w:tcPr>
          <w:p w14:paraId="57AC2495" w14:textId="77777777" w:rsidR="00ED66A2" w:rsidRDefault="00000000" w:rsidP="00127063">
            <w:pPr>
              <w:jc w:val="center"/>
            </w:pPr>
            <w:r>
              <w:rPr>
                <w:sz w:val="20"/>
              </w:rPr>
              <w:t>-</w:t>
            </w:r>
          </w:p>
        </w:tc>
        <w:tc>
          <w:tcPr>
            <w:tcW w:w="1457" w:type="dxa"/>
            <w:vAlign w:val="center"/>
          </w:tcPr>
          <w:p w14:paraId="02043EFA" w14:textId="77777777" w:rsidR="00ED66A2" w:rsidRDefault="00000000" w:rsidP="00127063">
            <w:pPr>
              <w:jc w:val="center"/>
            </w:pPr>
            <w:r>
              <w:rPr>
                <w:sz w:val="20"/>
              </w:rPr>
              <w:t>-</w:t>
            </w:r>
          </w:p>
        </w:tc>
      </w:tr>
      <w:tr w:rsidR="00ED66A2" w14:paraId="33FE3FA6" w14:textId="77777777" w:rsidTr="00127063">
        <w:trPr>
          <w:trHeight w:val="664"/>
          <w:jc w:val="center"/>
        </w:trPr>
        <w:tc>
          <w:tcPr>
            <w:tcW w:w="2622" w:type="dxa"/>
            <w:vAlign w:val="center"/>
          </w:tcPr>
          <w:p w14:paraId="64E7E4F7" w14:textId="77777777" w:rsidR="00ED66A2" w:rsidRDefault="00000000" w:rsidP="00127063">
            <w:pPr>
              <w:jc w:val="center"/>
            </w:pPr>
            <w:r>
              <w:rPr>
                <w:sz w:val="20"/>
              </w:rPr>
              <w:t>VIX-High intersect GARCH-High</w:t>
            </w:r>
          </w:p>
        </w:tc>
        <w:tc>
          <w:tcPr>
            <w:tcW w:w="874" w:type="dxa"/>
            <w:vAlign w:val="center"/>
          </w:tcPr>
          <w:p w14:paraId="2F47D456" w14:textId="77777777" w:rsidR="00ED66A2" w:rsidRDefault="00000000" w:rsidP="00127063">
            <w:pPr>
              <w:jc w:val="center"/>
            </w:pPr>
            <w:r>
              <w:rPr>
                <w:sz w:val="20"/>
              </w:rPr>
              <w:t>47</w:t>
            </w:r>
          </w:p>
        </w:tc>
        <w:tc>
          <w:tcPr>
            <w:tcW w:w="1457" w:type="dxa"/>
            <w:vAlign w:val="center"/>
          </w:tcPr>
          <w:p w14:paraId="71A9C3B3" w14:textId="77777777" w:rsidR="00ED66A2" w:rsidRDefault="00000000" w:rsidP="00127063">
            <w:pPr>
              <w:jc w:val="center"/>
            </w:pPr>
            <w:r>
              <w:rPr>
                <w:sz w:val="20"/>
              </w:rPr>
              <w:t>87.2%</w:t>
            </w:r>
          </w:p>
        </w:tc>
        <w:tc>
          <w:tcPr>
            <w:tcW w:w="1457" w:type="dxa"/>
            <w:vAlign w:val="center"/>
          </w:tcPr>
          <w:p w14:paraId="18C5AFC7" w14:textId="77777777" w:rsidR="00ED66A2" w:rsidRDefault="00000000" w:rsidP="00127063">
            <w:pPr>
              <w:jc w:val="center"/>
            </w:pPr>
            <w:r>
              <w:rPr>
                <w:sz w:val="20"/>
              </w:rPr>
              <w:t>-</w:t>
            </w:r>
          </w:p>
        </w:tc>
        <w:tc>
          <w:tcPr>
            <w:tcW w:w="1020" w:type="dxa"/>
            <w:vAlign w:val="center"/>
          </w:tcPr>
          <w:p w14:paraId="72F5219C" w14:textId="77777777" w:rsidR="00ED66A2" w:rsidRDefault="00000000" w:rsidP="00127063">
            <w:pPr>
              <w:jc w:val="center"/>
            </w:pPr>
            <w:r>
              <w:rPr>
                <w:sz w:val="20"/>
              </w:rPr>
              <w:t>-</w:t>
            </w:r>
          </w:p>
        </w:tc>
        <w:tc>
          <w:tcPr>
            <w:tcW w:w="1457" w:type="dxa"/>
            <w:vAlign w:val="center"/>
          </w:tcPr>
          <w:p w14:paraId="41173FFA" w14:textId="77777777" w:rsidR="00ED66A2" w:rsidRDefault="00000000" w:rsidP="00127063">
            <w:pPr>
              <w:jc w:val="center"/>
            </w:pPr>
            <w:r>
              <w:rPr>
                <w:sz w:val="20"/>
              </w:rPr>
              <w:t>-</w:t>
            </w:r>
          </w:p>
        </w:tc>
      </w:tr>
    </w:tbl>
    <w:p w14:paraId="3BDC9760" w14:textId="66FD4C6C" w:rsidR="00ED66A2" w:rsidRDefault="00A13D22">
      <w:r>
        <w:lastRenderedPageBreak/>
        <w:t xml:space="preserve">The Fig. </w:t>
      </w:r>
      <w:r w:rsidR="00A840FF">
        <w:t>8</w:t>
      </w:r>
      <w:r>
        <w:t>, shows c</w:t>
      </w:r>
      <w:r w:rsidRPr="00A13D22">
        <w:t>omparison of India VIX and GARCH-based regime filters. India VIX identifies the high-reliability state more effectively than backward-looking conditional volatility.</w:t>
      </w:r>
    </w:p>
    <w:p w14:paraId="18A81013" w14:textId="77777777" w:rsidR="00ED66A2" w:rsidRDefault="00000000">
      <w:pPr>
        <w:spacing w:before="120" w:after="40"/>
        <w:jc w:val="center"/>
      </w:pPr>
      <w:r>
        <w:rPr>
          <w:noProof/>
        </w:rPr>
        <w:drawing>
          <wp:inline distT="0" distB="0" distL="0" distR="0" wp14:anchorId="7EBD6880" wp14:editId="435EFC2C">
            <wp:extent cx="5303520" cy="2140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9_garch_regime_comparison.png"/>
                    <pic:cNvPicPr/>
                  </pic:nvPicPr>
                  <pic:blipFill>
                    <a:blip r:embed="rId15"/>
                    <a:stretch>
                      <a:fillRect/>
                    </a:stretch>
                  </pic:blipFill>
                  <pic:spPr>
                    <a:xfrm>
                      <a:off x="0" y="0"/>
                      <a:ext cx="5303520" cy="2140870"/>
                    </a:xfrm>
                    <a:prstGeom prst="rect">
                      <a:avLst/>
                    </a:prstGeom>
                  </pic:spPr>
                </pic:pic>
              </a:graphicData>
            </a:graphic>
          </wp:inline>
        </w:drawing>
      </w:r>
    </w:p>
    <w:p w14:paraId="027D6659" w14:textId="5AB84986" w:rsidR="00ED66A2" w:rsidRPr="00482D6F" w:rsidRDefault="00000000" w:rsidP="00482D6F">
      <w:pPr>
        <w:spacing w:before="80" w:after="80"/>
        <w:jc w:val="center"/>
        <w:rPr>
          <w:iCs/>
        </w:rPr>
      </w:pPr>
      <w:r w:rsidRPr="00482D6F">
        <w:rPr>
          <w:iCs/>
          <w:sz w:val="20"/>
        </w:rPr>
        <w:t>Fig. 8. Comparison of India VIX and GARCH-based regime filters.</w:t>
      </w:r>
    </w:p>
    <w:p w14:paraId="1FCC15B6" w14:textId="77777777" w:rsidR="00ED66A2" w:rsidRDefault="00ED66A2" w:rsidP="00A36C97">
      <w:pPr>
        <w:spacing w:after="0"/>
      </w:pPr>
    </w:p>
    <w:p w14:paraId="7369B57E" w14:textId="77777777" w:rsidR="00ED66A2" w:rsidRDefault="00000000">
      <w:pPr>
        <w:pStyle w:val="Heading2"/>
      </w:pPr>
      <w:r>
        <w:rPr>
          <w:rFonts w:ascii="Times New Roman" w:hAnsi="Times New Roman"/>
        </w:rPr>
        <w:t>6.3. Bootstrap uncertainty, threshold sensitivity, and temporal concentration</w:t>
      </w:r>
    </w:p>
    <w:p w14:paraId="39649377" w14:textId="77777777" w:rsidR="00ED66A2" w:rsidRDefault="00000000">
      <w:pPr>
        <w:spacing w:after="80" w:line="360" w:lineRule="auto"/>
        <w:ind w:firstLine="360"/>
      </w:pPr>
      <w:r>
        <w:t>Dependence-aware uncertainty analysis is reported via a block-bootstrap confidence interval for the High-minus-Low accuracy difference, estimated as [16.2, 51.4] percentage points, together with block-permutation p-values. However, non-overlapping Fisher and block-permutation tests are not significant after correction, so inference is reported conservatively.</w:t>
      </w:r>
    </w:p>
    <w:p w14:paraId="627A1D43" w14:textId="6869A132" w:rsidR="00ED66A2" w:rsidRDefault="00000000">
      <w:pPr>
        <w:spacing w:after="80" w:line="360" w:lineRule="auto"/>
        <w:ind w:firstLine="360"/>
      </w:pPr>
      <w:r>
        <w:t>Threshold sensitivity is now reported as protocol comparison rather than significance scanning. The original test-derived threshold (15.08) yields 56 High-VIX days, whereas the deployable fixed train+validation threshold (18.71) yields 8; expanding-window p75 also yields 8, while rolling 252-day p75 yields 52. This demonstrates that empirical conclusions are strongly threshold-protocol dependent.</w:t>
      </w:r>
    </w:p>
    <w:p w14:paraId="01C175CD" w14:textId="654C9E34" w:rsidR="00ED66A2" w:rsidRDefault="00000000">
      <w:pPr>
        <w:spacing w:after="80" w:line="360" w:lineRule="auto"/>
        <w:ind w:firstLine="360"/>
      </w:pPr>
      <w:r>
        <w:t>The time-distribution analysis reinforces this caution. Under the fixed deployable threshold, High-VIX observations are sparse in the main test window and concentrated in limited stress intervals, which restricts claims of broad regime generalizability.</w:t>
      </w:r>
    </w:p>
    <w:p w14:paraId="75D0E082" w14:textId="77777777" w:rsidR="00ED66A2" w:rsidRPr="00CE6E2B" w:rsidRDefault="00000000" w:rsidP="00CE6E2B">
      <w:pPr>
        <w:spacing w:before="80" w:after="80"/>
        <w:jc w:val="center"/>
        <w:rPr>
          <w:iCs/>
        </w:rPr>
      </w:pPr>
      <w:r w:rsidRPr="00CE6E2B">
        <w:rPr>
          <w:iCs/>
          <w:sz w:val="20"/>
        </w:rPr>
        <w:t>Table 11. Threshold sensitivity, quarterly concentration, and independent P1 replication summary.</w:t>
      </w:r>
    </w:p>
    <w:tbl>
      <w:tblPr>
        <w:tblStyle w:val="TableGrid"/>
        <w:tblW w:w="9634" w:type="dxa"/>
        <w:jc w:val="center"/>
        <w:tblLook w:val="04A0" w:firstRow="1" w:lastRow="0" w:firstColumn="1" w:lastColumn="0" w:noHBand="0" w:noVBand="1"/>
      </w:tblPr>
      <w:tblGrid>
        <w:gridCol w:w="2374"/>
        <w:gridCol w:w="1213"/>
        <w:gridCol w:w="1624"/>
        <w:gridCol w:w="1501"/>
        <w:gridCol w:w="2922"/>
      </w:tblGrid>
      <w:tr w:rsidR="00ED66A2" w14:paraId="560FFFDB" w14:textId="77777777" w:rsidTr="00261841">
        <w:trPr>
          <w:trHeight w:val="532"/>
          <w:jc w:val="center"/>
        </w:trPr>
        <w:tc>
          <w:tcPr>
            <w:tcW w:w="2374" w:type="dxa"/>
            <w:vAlign w:val="center"/>
          </w:tcPr>
          <w:p w14:paraId="6941CD6B" w14:textId="77777777" w:rsidR="00ED66A2" w:rsidRDefault="00000000" w:rsidP="00261841">
            <w:pPr>
              <w:jc w:val="center"/>
            </w:pPr>
            <w:r>
              <w:rPr>
                <w:b/>
                <w:sz w:val="20"/>
              </w:rPr>
              <w:t>Check</w:t>
            </w:r>
          </w:p>
        </w:tc>
        <w:tc>
          <w:tcPr>
            <w:tcW w:w="1213" w:type="dxa"/>
            <w:vAlign w:val="center"/>
          </w:tcPr>
          <w:p w14:paraId="1C726BE6" w14:textId="77777777" w:rsidR="00ED66A2" w:rsidRDefault="00000000" w:rsidP="00261841">
            <w:pPr>
              <w:jc w:val="center"/>
            </w:pPr>
            <w:r>
              <w:rPr>
                <w:b/>
                <w:sz w:val="20"/>
              </w:rPr>
              <w:t>High-VIX count</w:t>
            </w:r>
          </w:p>
        </w:tc>
        <w:tc>
          <w:tcPr>
            <w:tcW w:w="1624" w:type="dxa"/>
            <w:vAlign w:val="center"/>
          </w:tcPr>
          <w:p w14:paraId="6CA20ADA" w14:textId="77777777" w:rsidR="00ED66A2" w:rsidRDefault="00000000" w:rsidP="00261841">
            <w:pPr>
              <w:jc w:val="center"/>
            </w:pPr>
            <w:r>
              <w:rPr>
                <w:b/>
                <w:sz w:val="20"/>
              </w:rPr>
              <w:t>High-VIX accuracy</w:t>
            </w:r>
          </w:p>
        </w:tc>
        <w:tc>
          <w:tcPr>
            <w:tcW w:w="1501" w:type="dxa"/>
            <w:vAlign w:val="center"/>
          </w:tcPr>
          <w:p w14:paraId="1F874528" w14:textId="77777777" w:rsidR="00ED66A2" w:rsidRDefault="00000000" w:rsidP="00261841">
            <w:pPr>
              <w:jc w:val="center"/>
            </w:pPr>
            <w:r>
              <w:rPr>
                <w:b/>
                <w:sz w:val="20"/>
              </w:rPr>
              <w:t>Low-VIX accuracy</w:t>
            </w:r>
          </w:p>
        </w:tc>
        <w:tc>
          <w:tcPr>
            <w:tcW w:w="2922" w:type="dxa"/>
            <w:vAlign w:val="center"/>
          </w:tcPr>
          <w:p w14:paraId="2374E208" w14:textId="77777777" w:rsidR="00ED66A2" w:rsidRDefault="00000000" w:rsidP="00261841">
            <w:pPr>
              <w:jc w:val="center"/>
            </w:pPr>
            <w:r>
              <w:rPr>
                <w:b/>
                <w:sz w:val="20"/>
              </w:rPr>
              <w:t>Interpretation</w:t>
            </w:r>
          </w:p>
        </w:tc>
      </w:tr>
      <w:tr w:rsidR="00ED66A2" w14:paraId="010B70BD" w14:textId="77777777" w:rsidTr="00261841">
        <w:trPr>
          <w:trHeight w:val="550"/>
          <w:jc w:val="center"/>
        </w:trPr>
        <w:tc>
          <w:tcPr>
            <w:tcW w:w="2374" w:type="dxa"/>
            <w:vAlign w:val="center"/>
          </w:tcPr>
          <w:p w14:paraId="3ED7622E" w14:textId="77777777" w:rsidR="00ED66A2" w:rsidRDefault="00000000" w:rsidP="00261841">
            <w:pPr>
              <w:jc w:val="center"/>
            </w:pPr>
            <w:r>
              <w:rPr>
                <w:sz w:val="20"/>
              </w:rPr>
              <w:t>Threshold p60-p65</w:t>
            </w:r>
          </w:p>
        </w:tc>
        <w:tc>
          <w:tcPr>
            <w:tcW w:w="1213" w:type="dxa"/>
            <w:vAlign w:val="center"/>
          </w:tcPr>
          <w:p w14:paraId="67DE4E95" w14:textId="77777777" w:rsidR="00ED66A2" w:rsidRDefault="00000000" w:rsidP="00261841">
            <w:pPr>
              <w:jc w:val="center"/>
            </w:pPr>
            <w:r>
              <w:rPr>
                <w:sz w:val="20"/>
              </w:rPr>
              <w:t>111-97</w:t>
            </w:r>
          </w:p>
        </w:tc>
        <w:tc>
          <w:tcPr>
            <w:tcW w:w="1624" w:type="dxa"/>
            <w:vAlign w:val="center"/>
          </w:tcPr>
          <w:p w14:paraId="56799C18" w14:textId="77777777" w:rsidR="00ED66A2" w:rsidRDefault="00000000" w:rsidP="00261841">
            <w:pPr>
              <w:jc w:val="center"/>
            </w:pPr>
            <w:r>
              <w:rPr>
                <w:sz w:val="20"/>
              </w:rPr>
              <w:t>70.1%-70.3%</w:t>
            </w:r>
          </w:p>
        </w:tc>
        <w:tc>
          <w:tcPr>
            <w:tcW w:w="1501" w:type="dxa"/>
            <w:vAlign w:val="center"/>
          </w:tcPr>
          <w:p w14:paraId="12662920" w14:textId="77777777" w:rsidR="00ED66A2" w:rsidRDefault="00000000" w:rsidP="00261841">
            <w:pPr>
              <w:jc w:val="center"/>
            </w:pPr>
            <w:r>
              <w:rPr>
                <w:sz w:val="20"/>
              </w:rPr>
              <w:t>54%-55%</w:t>
            </w:r>
          </w:p>
        </w:tc>
        <w:tc>
          <w:tcPr>
            <w:tcW w:w="2922" w:type="dxa"/>
            <w:vAlign w:val="center"/>
          </w:tcPr>
          <w:p w14:paraId="74447362" w14:textId="77777777" w:rsidR="00ED66A2" w:rsidRDefault="00000000" w:rsidP="00261841">
            <w:pPr>
              <w:jc w:val="left"/>
            </w:pPr>
            <w:r>
              <w:rPr>
                <w:sz w:val="20"/>
              </w:rPr>
              <w:t>Positive and significant regime advantage</w:t>
            </w:r>
          </w:p>
        </w:tc>
      </w:tr>
      <w:tr w:rsidR="00ED66A2" w14:paraId="082007BD" w14:textId="77777777" w:rsidTr="00261841">
        <w:trPr>
          <w:trHeight w:val="532"/>
          <w:jc w:val="center"/>
        </w:trPr>
        <w:tc>
          <w:tcPr>
            <w:tcW w:w="2374" w:type="dxa"/>
            <w:vAlign w:val="center"/>
          </w:tcPr>
          <w:p w14:paraId="2EF0B922" w14:textId="77777777" w:rsidR="00ED66A2" w:rsidRDefault="00000000" w:rsidP="00261841">
            <w:pPr>
              <w:jc w:val="center"/>
            </w:pPr>
            <w:r>
              <w:rPr>
                <w:sz w:val="20"/>
              </w:rPr>
              <w:t>Threshold p70</w:t>
            </w:r>
          </w:p>
        </w:tc>
        <w:tc>
          <w:tcPr>
            <w:tcW w:w="1213" w:type="dxa"/>
            <w:vAlign w:val="center"/>
          </w:tcPr>
          <w:p w14:paraId="63FB2937" w14:textId="77777777" w:rsidR="00ED66A2" w:rsidRDefault="00000000" w:rsidP="00261841">
            <w:pPr>
              <w:jc w:val="center"/>
            </w:pPr>
            <w:r>
              <w:rPr>
                <w:sz w:val="20"/>
              </w:rPr>
              <w:t>84</w:t>
            </w:r>
          </w:p>
        </w:tc>
        <w:tc>
          <w:tcPr>
            <w:tcW w:w="1624" w:type="dxa"/>
            <w:vAlign w:val="center"/>
          </w:tcPr>
          <w:p w14:paraId="3568FC7C" w14:textId="77777777" w:rsidR="00ED66A2" w:rsidRDefault="00000000" w:rsidP="00261841">
            <w:pPr>
              <w:jc w:val="center"/>
            </w:pPr>
            <w:r>
              <w:rPr>
                <w:sz w:val="20"/>
              </w:rPr>
              <w:t>72.9%</w:t>
            </w:r>
          </w:p>
        </w:tc>
        <w:tc>
          <w:tcPr>
            <w:tcW w:w="1501" w:type="dxa"/>
            <w:vAlign w:val="center"/>
          </w:tcPr>
          <w:p w14:paraId="17AAE695" w14:textId="77777777" w:rsidR="00ED66A2" w:rsidRDefault="00000000" w:rsidP="00261841">
            <w:pPr>
              <w:jc w:val="center"/>
            </w:pPr>
            <w:r>
              <w:rPr>
                <w:sz w:val="20"/>
              </w:rPr>
              <w:t>53%-55%</w:t>
            </w:r>
          </w:p>
        </w:tc>
        <w:tc>
          <w:tcPr>
            <w:tcW w:w="2922" w:type="dxa"/>
            <w:vAlign w:val="center"/>
          </w:tcPr>
          <w:p w14:paraId="125CAB30" w14:textId="77777777" w:rsidR="00ED66A2" w:rsidRDefault="00000000" w:rsidP="00261841">
            <w:pPr>
              <w:jc w:val="left"/>
            </w:pPr>
            <w:r>
              <w:rPr>
                <w:sz w:val="20"/>
              </w:rPr>
              <w:t>Positive and significant regime advantage</w:t>
            </w:r>
          </w:p>
        </w:tc>
      </w:tr>
      <w:tr w:rsidR="00ED66A2" w14:paraId="7FD5D1F9" w14:textId="77777777" w:rsidTr="00261841">
        <w:trPr>
          <w:trHeight w:val="413"/>
          <w:jc w:val="center"/>
        </w:trPr>
        <w:tc>
          <w:tcPr>
            <w:tcW w:w="2374" w:type="dxa"/>
            <w:vAlign w:val="center"/>
          </w:tcPr>
          <w:p w14:paraId="4FD59315" w14:textId="77777777" w:rsidR="00ED66A2" w:rsidRDefault="00000000" w:rsidP="00261841">
            <w:pPr>
              <w:jc w:val="center"/>
            </w:pPr>
            <w:r>
              <w:rPr>
                <w:sz w:val="20"/>
              </w:rPr>
              <w:t>Threshold p75-p80</w:t>
            </w:r>
          </w:p>
        </w:tc>
        <w:tc>
          <w:tcPr>
            <w:tcW w:w="1213" w:type="dxa"/>
            <w:vAlign w:val="center"/>
          </w:tcPr>
          <w:p w14:paraId="4F787A06" w14:textId="77777777" w:rsidR="00ED66A2" w:rsidRDefault="00000000" w:rsidP="00261841">
            <w:pPr>
              <w:jc w:val="center"/>
            </w:pPr>
            <w:r>
              <w:rPr>
                <w:sz w:val="20"/>
              </w:rPr>
              <w:t>58-44</w:t>
            </w:r>
          </w:p>
        </w:tc>
        <w:tc>
          <w:tcPr>
            <w:tcW w:w="1624" w:type="dxa"/>
            <w:vAlign w:val="center"/>
          </w:tcPr>
          <w:p w14:paraId="5BEE1983" w14:textId="77777777" w:rsidR="00ED66A2" w:rsidRDefault="00000000" w:rsidP="00261841">
            <w:pPr>
              <w:jc w:val="center"/>
            </w:pPr>
            <w:r>
              <w:rPr>
                <w:sz w:val="20"/>
              </w:rPr>
              <w:t>83.9%-84.5%</w:t>
            </w:r>
          </w:p>
        </w:tc>
        <w:tc>
          <w:tcPr>
            <w:tcW w:w="1501" w:type="dxa"/>
            <w:vAlign w:val="center"/>
          </w:tcPr>
          <w:p w14:paraId="58558E8E" w14:textId="77777777" w:rsidR="00ED66A2" w:rsidRDefault="00000000" w:rsidP="00261841">
            <w:pPr>
              <w:jc w:val="center"/>
            </w:pPr>
            <w:r>
              <w:rPr>
                <w:sz w:val="20"/>
              </w:rPr>
              <w:t>54%-55%</w:t>
            </w:r>
          </w:p>
        </w:tc>
        <w:tc>
          <w:tcPr>
            <w:tcW w:w="2922" w:type="dxa"/>
            <w:vAlign w:val="center"/>
          </w:tcPr>
          <w:p w14:paraId="654AC0DD" w14:textId="77777777" w:rsidR="00ED66A2" w:rsidRDefault="00000000" w:rsidP="00261841">
            <w:pPr>
              <w:jc w:val="left"/>
            </w:pPr>
            <w:r>
              <w:rPr>
                <w:sz w:val="20"/>
              </w:rPr>
              <w:t>Main result remains strong</w:t>
            </w:r>
          </w:p>
        </w:tc>
      </w:tr>
      <w:tr w:rsidR="00ED66A2" w14:paraId="5B83DB91" w14:textId="77777777" w:rsidTr="00261841">
        <w:trPr>
          <w:trHeight w:val="532"/>
          <w:jc w:val="center"/>
        </w:trPr>
        <w:tc>
          <w:tcPr>
            <w:tcW w:w="2374" w:type="dxa"/>
            <w:vAlign w:val="center"/>
          </w:tcPr>
          <w:p w14:paraId="48E528AE" w14:textId="77777777" w:rsidR="00ED66A2" w:rsidRDefault="00000000" w:rsidP="00261841">
            <w:pPr>
              <w:jc w:val="center"/>
            </w:pPr>
            <w:r>
              <w:rPr>
                <w:sz w:val="20"/>
              </w:rPr>
              <w:t>Threshold p85</w:t>
            </w:r>
          </w:p>
        </w:tc>
        <w:tc>
          <w:tcPr>
            <w:tcW w:w="1213" w:type="dxa"/>
            <w:vAlign w:val="center"/>
          </w:tcPr>
          <w:p w14:paraId="1A56725B" w14:textId="77777777" w:rsidR="00ED66A2" w:rsidRDefault="00000000" w:rsidP="00261841">
            <w:pPr>
              <w:jc w:val="center"/>
            </w:pPr>
            <w:r>
              <w:rPr>
                <w:sz w:val="20"/>
              </w:rPr>
              <w:t>28</w:t>
            </w:r>
          </w:p>
        </w:tc>
        <w:tc>
          <w:tcPr>
            <w:tcW w:w="1624" w:type="dxa"/>
            <w:vAlign w:val="center"/>
          </w:tcPr>
          <w:p w14:paraId="016DCA0E" w14:textId="77777777" w:rsidR="00ED66A2" w:rsidRDefault="00000000" w:rsidP="00261841">
            <w:pPr>
              <w:jc w:val="center"/>
            </w:pPr>
            <w:r>
              <w:rPr>
                <w:sz w:val="20"/>
              </w:rPr>
              <w:t>92.9%</w:t>
            </w:r>
          </w:p>
        </w:tc>
        <w:tc>
          <w:tcPr>
            <w:tcW w:w="1501" w:type="dxa"/>
            <w:vAlign w:val="center"/>
          </w:tcPr>
          <w:p w14:paraId="6BED2904" w14:textId="77777777" w:rsidR="00ED66A2" w:rsidRDefault="00000000" w:rsidP="00261841">
            <w:pPr>
              <w:jc w:val="center"/>
            </w:pPr>
            <w:r>
              <w:rPr>
                <w:sz w:val="20"/>
              </w:rPr>
              <w:t>55.2%</w:t>
            </w:r>
          </w:p>
        </w:tc>
        <w:tc>
          <w:tcPr>
            <w:tcW w:w="2922" w:type="dxa"/>
            <w:vAlign w:val="center"/>
          </w:tcPr>
          <w:p w14:paraId="044B658F" w14:textId="77777777" w:rsidR="00ED66A2" w:rsidRDefault="00000000" w:rsidP="00261841">
            <w:pPr>
              <w:jc w:val="left"/>
            </w:pPr>
            <w:r>
              <w:rPr>
                <w:sz w:val="20"/>
              </w:rPr>
              <w:t>Signal concentrates further in extreme stress</w:t>
            </w:r>
          </w:p>
        </w:tc>
      </w:tr>
      <w:tr w:rsidR="00ED66A2" w14:paraId="107C07F1" w14:textId="77777777" w:rsidTr="00261841">
        <w:trPr>
          <w:trHeight w:val="550"/>
          <w:jc w:val="center"/>
        </w:trPr>
        <w:tc>
          <w:tcPr>
            <w:tcW w:w="2374" w:type="dxa"/>
            <w:vAlign w:val="center"/>
          </w:tcPr>
          <w:p w14:paraId="6C8B217D" w14:textId="77777777" w:rsidR="00ED66A2" w:rsidRDefault="00000000" w:rsidP="00261841">
            <w:pPr>
              <w:jc w:val="center"/>
            </w:pPr>
            <w:r>
              <w:rPr>
                <w:sz w:val="20"/>
              </w:rPr>
              <w:t>2025-Q1</w:t>
            </w:r>
          </w:p>
        </w:tc>
        <w:tc>
          <w:tcPr>
            <w:tcW w:w="1213" w:type="dxa"/>
            <w:vAlign w:val="center"/>
          </w:tcPr>
          <w:p w14:paraId="3090B41E" w14:textId="77777777" w:rsidR="00ED66A2" w:rsidRDefault="00000000" w:rsidP="00261841">
            <w:pPr>
              <w:jc w:val="center"/>
            </w:pPr>
            <w:r>
              <w:rPr>
                <w:sz w:val="20"/>
              </w:rPr>
              <w:t>17</w:t>
            </w:r>
          </w:p>
        </w:tc>
        <w:tc>
          <w:tcPr>
            <w:tcW w:w="1624" w:type="dxa"/>
            <w:vAlign w:val="center"/>
          </w:tcPr>
          <w:p w14:paraId="3A5AB88B" w14:textId="77777777" w:rsidR="00ED66A2" w:rsidRDefault="00000000" w:rsidP="00261841">
            <w:pPr>
              <w:jc w:val="center"/>
            </w:pPr>
            <w:r>
              <w:rPr>
                <w:sz w:val="20"/>
              </w:rPr>
              <w:t>64.7%</w:t>
            </w:r>
          </w:p>
        </w:tc>
        <w:tc>
          <w:tcPr>
            <w:tcW w:w="1501" w:type="dxa"/>
            <w:vAlign w:val="center"/>
          </w:tcPr>
          <w:p w14:paraId="45667793" w14:textId="77777777" w:rsidR="00ED66A2" w:rsidRDefault="00000000" w:rsidP="00261841">
            <w:pPr>
              <w:jc w:val="center"/>
            </w:pPr>
            <w:r>
              <w:rPr>
                <w:sz w:val="20"/>
              </w:rPr>
              <w:t>37.1%</w:t>
            </w:r>
          </w:p>
        </w:tc>
        <w:tc>
          <w:tcPr>
            <w:tcW w:w="2922" w:type="dxa"/>
            <w:vAlign w:val="center"/>
          </w:tcPr>
          <w:p w14:paraId="07061C65" w14:textId="77777777" w:rsidR="00ED66A2" w:rsidRDefault="00000000" w:rsidP="00261841">
            <w:pPr>
              <w:jc w:val="left"/>
            </w:pPr>
            <w:r>
              <w:rPr>
                <w:sz w:val="20"/>
              </w:rPr>
              <w:t>Initial stress-state advantage appears</w:t>
            </w:r>
          </w:p>
        </w:tc>
      </w:tr>
      <w:tr w:rsidR="00ED66A2" w14:paraId="37E91764" w14:textId="77777777" w:rsidTr="00261841">
        <w:trPr>
          <w:trHeight w:val="532"/>
          <w:jc w:val="center"/>
        </w:trPr>
        <w:tc>
          <w:tcPr>
            <w:tcW w:w="2374" w:type="dxa"/>
            <w:vAlign w:val="center"/>
          </w:tcPr>
          <w:p w14:paraId="01495357" w14:textId="77777777" w:rsidR="00ED66A2" w:rsidRDefault="00000000" w:rsidP="00261841">
            <w:pPr>
              <w:jc w:val="center"/>
            </w:pPr>
            <w:r>
              <w:rPr>
                <w:sz w:val="20"/>
              </w:rPr>
              <w:t>2025-Q2</w:t>
            </w:r>
          </w:p>
        </w:tc>
        <w:tc>
          <w:tcPr>
            <w:tcW w:w="1213" w:type="dxa"/>
            <w:vAlign w:val="center"/>
          </w:tcPr>
          <w:p w14:paraId="750ED937" w14:textId="77777777" w:rsidR="00ED66A2" w:rsidRDefault="00000000" w:rsidP="00261841">
            <w:pPr>
              <w:jc w:val="center"/>
            </w:pPr>
            <w:r>
              <w:rPr>
                <w:sz w:val="20"/>
              </w:rPr>
              <w:t>41</w:t>
            </w:r>
          </w:p>
        </w:tc>
        <w:tc>
          <w:tcPr>
            <w:tcW w:w="1624" w:type="dxa"/>
            <w:vAlign w:val="center"/>
          </w:tcPr>
          <w:p w14:paraId="55AFFE0E" w14:textId="77777777" w:rsidR="00ED66A2" w:rsidRDefault="00000000" w:rsidP="00261841">
            <w:pPr>
              <w:jc w:val="center"/>
            </w:pPr>
            <w:r>
              <w:rPr>
                <w:sz w:val="20"/>
              </w:rPr>
              <w:t>92.7%</w:t>
            </w:r>
          </w:p>
        </w:tc>
        <w:tc>
          <w:tcPr>
            <w:tcW w:w="1501" w:type="dxa"/>
            <w:vAlign w:val="center"/>
          </w:tcPr>
          <w:p w14:paraId="5BB233D4" w14:textId="77777777" w:rsidR="00ED66A2" w:rsidRDefault="00000000" w:rsidP="00261841">
            <w:pPr>
              <w:jc w:val="center"/>
            </w:pPr>
            <w:r>
              <w:rPr>
                <w:sz w:val="20"/>
              </w:rPr>
              <w:t>58.3%</w:t>
            </w:r>
          </w:p>
        </w:tc>
        <w:tc>
          <w:tcPr>
            <w:tcW w:w="2922" w:type="dxa"/>
            <w:vAlign w:val="center"/>
          </w:tcPr>
          <w:p w14:paraId="5E7B3690" w14:textId="77777777" w:rsidR="00ED66A2" w:rsidRDefault="00000000" w:rsidP="00261841">
            <w:pPr>
              <w:jc w:val="left"/>
            </w:pPr>
            <w:r>
              <w:rPr>
                <w:sz w:val="20"/>
              </w:rPr>
              <w:t>Signal remains stronger in elevated-volatility state</w:t>
            </w:r>
          </w:p>
        </w:tc>
      </w:tr>
      <w:tr w:rsidR="00ED66A2" w14:paraId="7DE07F38" w14:textId="77777777" w:rsidTr="00261841">
        <w:trPr>
          <w:trHeight w:val="532"/>
          <w:jc w:val="center"/>
        </w:trPr>
        <w:tc>
          <w:tcPr>
            <w:tcW w:w="2374" w:type="dxa"/>
            <w:vAlign w:val="center"/>
          </w:tcPr>
          <w:p w14:paraId="04333272" w14:textId="77777777" w:rsidR="00ED66A2" w:rsidRDefault="00000000" w:rsidP="00261841">
            <w:pPr>
              <w:jc w:val="center"/>
            </w:pPr>
            <w:r>
              <w:rPr>
                <w:sz w:val="20"/>
              </w:rPr>
              <w:t>P1 replication</w:t>
            </w:r>
          </w:p>
        </w:tc>
        <w:tc>
          <w:tcPr>
            <w:tcW w:w="1213" w:type="dxa"/>
            <w:vAlign w:val="center"/>
          </w:tcPr>
          <w:p w14:paraId="3B22EE18" w14:textId="77777777" w:rsidR="00ED66A2" w:rsidRDefault="00000000" w:rsidP="00261841">
            <w:pPr>
              <w:jc w:val="center"/>
            </w:pPr>
            <w:r>
              <w:rPr>
                <w:sz w:val="20"/>
              </w:rPr>
              <w:t>23</w:t>
            </w:r>
          </w:p>
        </w:tc>
        <w:tc>
          <w:tcPr>
            <w:tcW w:w="1624" w:type="dxa"/>
            <w:vAlign w:val="center"/>
          </w:tcPr>
          <w:p w14:paraId="4614EEC7" w14:textId="77777777" w:rsidR="00ED66A2" w:rsidRDefault="00000000" w:rsidP="00261841">
            <w:pPr>
              <w:jc w:val="center"/>
            </w:pPr>
            <w:r>
              <w:rPr>
                <w:sz w:val="20"/>
              </w:rPr>
              <w:t>65.2%</w:t>
            </w:r>
          </w:p>
        </w:tc>
        <w:tc>
          <w:tcPr>
            <w:tcW w:w="1501" w:type="dxa"/>
            <w:vAlign w:val="center"/>
          </w:tcPr>
          <w:p w14:paraId="2C191CE3" w14:textId="77777777" w:rsidR="00ED66A2" w:rsidRDefault="00000000" w:rsidP="00261841">
            <w:pPr>
              <w:jc w:val="center"/>
            </w:pPr>
            <w:r>
              <w:rPr>
                <w:sz w:val="20"/>
              </w:rPr>
              <w:t>35.9%</w:t>
            </w:r>
          </w:p>
        </w:tc>
        <w:tc>
          <w:tcPr>
            <w:tcW w:w="2922" w:type="dxa"/>
            <w:vAlign w:val="center"/>
          </w:tcPr>
          <w:p w14:paraId="5A760D13" w14:textId="77777777" w:rsidR="00ED66A2" w:rsidRDefault="00000000" w:rsidP="00261841">
            <w:pPr>
              <w:jc w:val="left"/>
            </w:pPr>
            <w:r>
              <w:rPr>
                <w:sz w:val="20"/>
              </w:rPr>
              <w:t>Independent training window reproduces direction and scale</w:t>
            </w:r>
          </w:p>
        </w:tc>
      </w:tr>
    </w:tbl>
    <w:p w14:paraId="287D8813" w14:textId="77777777" w:rsidR="00ED66A2" w:rsidRDefault="00ED66A2" w:rsidP="00A36C97">
      <w:pPr>
        <w:spacing w:after="0"/>
      </w:pPr>
    </w:p>
    <w:p w14:paraId="5522CDCB" w14:textId="3F12B3F7" w:rsidR="002144F8" w:rsidRDefault="002144F8">
      <w:r>
        <w:t>Fig. 9 highlights dependence-aware uncertainty diagnostics and temporal concentration of the High-VIX subset. The figure is interpreted as evidence of conditional separation with limited inferential strength under sparse high-volatility support.</w:t>
      </w:r>
    </w:p>
    <w:p w14:paraId="72D9F6C6" w14:textId="77777777" w:rsidR="00ED66A2" w:rsidRDefault="00000000">
      <w:pPr>
        <w:spacing w:before="120" w:after="40"/>
        <w:jc w:val="center"/>
      </w:pPr>
      <w:r>
        <w:rPr>
          <w:noProof/>
        </w:rPr>
        <w:lastRenderedPageBreak/>
        <w:drawing>
          <wp:inline distT="0" distB="0" distL="0" distR="0" wp14:anchorId="2DFCFFA0" wp14:editId="5DE75638">
            <wp:extent cx="5303520" cy="2018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10_rolling_bootstrap.png"/>
                    <pic:cNvPicPr/>
                  </pic:nvPicPr>
                  <pic:blipFill>
                    <a:blip r:embed="rId16"/>
                    <a:stretch>
                      <a:fillRect/>
                    </a:stretch>
                  </pic:blipFill>
                  <pic:spPr>
                    <a:xfrm>
                      <a:off x="0" y="0"/>
                      <a:ext cx="5303520" cy="2018688"/>
                    </a:xfrm>
                    <a:prstGeom prst="rect">
                      <a:avLst/>
                    </a:prstGeom>
                  </pic:spPr>
                </pic:pic>
              </a:graphicData>
            </a:graphic>
          </wp:inline>
        </w:drawing>
      </w:r>
    </w:p>
    <w:p w14:paraId="2EDCFAC6" w14:textId="73A565D9" w:rsidR="00ED66A2" w:rsidRPr="00F46BF3" w:rsidRDefault="00000000" w:rsidP="00F46BF3">
      <w:pPr>
        <w:spacing w:before="80" w:after="80"/>
        <w:jc w:val="center"/>
        <w:rPr>
          <w:iCs/>
        </w:rPr>
      </w:pPr>
      <w:r w:rsidRPr="00F46BF3">
        <w:rPr>
          <w:iCs/>
          <w:sz w:val="20"/>
        </w:rPr>
        <w:t xml:space="preserve">Fig. 9. Bootstrap confidence intervals and temporal concentration of the High-VIX result. </w:t>
      </w:r>
    </w:p>
    <w:p w14:paraId="6E8D46AF" w14:textId="77777777" w:rsidR="00ED66A2" w:rsidRDefault="00ED66A2"/>
    <w:p w14:paraId="3CDD8FBA" w14:textId="77777777" w:rsidR="00ED66A2" w:rsidRDefault="00000000">
      <w:pPr>
        <w:pStyle w:val="Heading2"/>
      </w:pPr>
      <w:r>
        <w:rPr>
          <w:rFonts w:ascii="Times New Roman" w:hAnsi="Times New Roman"/>
        </w:rPr>
        <w:t>6.4. Cross-pipeline replication</w:t>
      </w:r>
    </w:p>
    <w:p w14:paraId="1ADF98A2" w14:textId="119CAFC8" w:rsidR="00ED66A2" w:rsidRDefault="00000000">
      <w:pPr>
        <w:spacing w:after="80" w:line="360" w:lineRule="auto"/>
        <w:ind w:firstLine="360"/>
      </w:pPr>
      <w:r>
        <w:t>Given these corrections, we treat external-window replication as an important future step and avoid strong generalization claims beyond the evaluated corrected pipeline.</w:t>
      </w:r>
    </w:p>
    <w:p w14:paraId="0EEF2BF6" w14:textId="77777777" w:rsidR="00ED66A2" w:rsidRDefault="00000000">
      <w:pPr>
        <w:spacing w:after="80" w:line="360" w:lineRule="auto"/>
        <w:ind w:firstLine="360"/>
      </w:pPr>
      <w:r>
        <w:t>The replication also clarifies what the paper should and should not claim. It should claim that the conditional pattern appears stable enough to emerge across two independently trained pipelines. It should not claim that the absolute accuracy level is identical across every setup. In a forecasting context, sign consistency in the regime effect combined with similar economic magnitude is stronger evidence than demanding identical scores in structurally different samples.</w:t>
      </w:r>
    </w:p>
    <w:p w14:paraId="2706CA24" w14:textId="77777777" w:rsidR="00F90DE7" w:rsidRDefault="00F90DE7">
      <w:pPr>
        <w:spacing w:after="80" w:line="360" w:lineRule="auto"/>
        <w:ind w:firstLine="360"/>
      </w:pPr>
    </w:p>
    <w:p w14:paraId="08763D2F" w14:textId="77777777" w:rsidR="00ED66A2" w:rsidRDefault="00000000">
      <w:pPr>
        <w:spacing w:before="120" w:after="40"/>
        <w:jc w:val="center"/>
      </w:pPr>
      <w:r>
        <w:rPr>
          <w:noProof/>
        </w:rPr>
        <w:lastRenderedPageBreak/>
        <w:drawing>
          <wp:inline distT="0" distB="0" distL="0" distR="0" wp14:anchorId="0EE38BEC" wp14:editId="4A7B8D96">
            <wp:extent cx="5303520" cy="2183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P2-07_p1_vs_p2_hvix_equity.png"/>
                    <pic:cNvPicPr/>
                  </pic:nvPicPr>
                  <pic:blipFill>
                    <a:blip r:embed="rId17"/>
                    <a:stretch>
                      <a:fillRect/>
                    </a:stretch>
                  </pic:blipFill>
                  <pic:spPr>
                    <a:xfrm>
                      <a:off x="0" y="0"/>
                      <a:ext cx="5303520" cy="2183802"/>
                    </a:xfrm>
                    <a:prstGeom prst="rect">
                      <a:avLst/>
                    </a:prstGeom>
                  </pic:spPr>
                </pic:pic>
              </a:graphicData>
            </a:graphic>
          </wp:inline>
        </w:drawing>
      </w:r>
    </w:p>
    <w:p w14:paraId="3B15EC1F" w14:textId="1ECD1431" w:rsidR="00ED66A2" w:rsidRPr="00BB04E7" w:rsidRDefault="00000000" w:rsidP="00BB04E7">
      <w:pPr>
        <w:spacing w:before="80" w:after="80"/>
        <w:jc w:val="center"/>
        <w:rPr>
          <w:iCs/>
        </w:rPr>
      </w:pPr>
      <w:r w:rsidRPr="00BB04E7">
        <w:rPr>
          <w:iCs/>
          <w:sz w:val="20"/>
        </w:rPr>
        <w:t>Fig. 10. Cross-pipeline comparison of the High-VIX plus Up strategy.</w:t>
      </w:r>
    </w:p>
    <w:p w14:paraId="53103601" w14:textId="77777777" w:rsidR="00ED66A2" w:rsidRDefault="00ED66A2"/>
    <w:p w14:paraId="2FF4AEEA" w14:textId="77777777" w:rsidR="00ED66A2" w:rsidRDefault="00000000">
      <w:pPr>
        <w:pStyle w:val="Heading1"/>
      </w:pPr>
      <w:r>
        <w:rPr>
          <w:rFonts w:ascii="Times New Roman" w:hAnsi="Times New Roman"/>
        </w:rPr>
        <w:t>7. Discussion and Decision-Support Implications</w:t>
      </w:r>
    </w:p>
    <w:p w14:paraId="58E705B9" w14:textId="77777777" w:rsidR="00ED66A2" w:rsidRDefault="00000000">
      <w:pPr>
        <w:spacing w:after="80" w:line="360" w:lineRule="auto"/>
        <w:ind w:firstLine="360"/>
      </w:pPr>
      <w:r>
        <w:t>The empirical pattern suggests a simple economic narrative. When India VIX is elevated, the market is processing macro or policy uncertainty that affects bank-sensitive risk expectations over more than one or two sessions. During those windows, technical features such as Bollinger width, ATR, MACD dispersion, and lagged returns become more informative because they encode persistent state changes rather than routine noise. In calm periods, the same indicators remain observable but far less discriminative. The ensemble is therefore not discovering a universal technical edge; it is exploiting the fact that the market becomes more structurally directional when uncertainty rises and diffuses through prices over several weeks.</w:t>
      </w:r>
    </w:p>
    <w:p w14:paraId="31D36552" w14:textId="77777777" w:rsidR="00ED66A2" w:rsidRDefault="00000000">
      <w:pPr>
        <w:spacing w:after="80" w:line="360" w:lineRule="auto"/>
        <w:ind w:firstLine="360"/>
      </w:pPr>
      <w:r>
        <w:t>This interpretation also explains the absence of a result at 1-day and 5-day horizons. If the effect were merely 'high volatility helps forecasting', the shorter horizons should have improved as well. They do not. The most plausible reading is that the relevant mechanism is medium-term information absorption or momentum continuation rather than short-term directional clarity. That makes the 21-day horizon a natural operational horizon for the system and discourages overextension of the result to day trading or ultra-short tactical signals.</w:t>
      </w:r>
    </w:p>
    <w:p w14:paraId="15E2CFD6" w14:textId="5808FB5C" w:rsidR="00ED66A2" w:rsidRDefault="00000000">
      <w:pPr>
        <w:spacing w:after="80" w:line="360" w:lineRule="auto"/>
        <w:ind w:firstLine="360"/>
      </w:pPr>
      <w:r>
        <w:t xml:space="preserve">For practical deployment, the study supports a narrow but actionable rule: trust the ensemble primarily when India VIX is in the upper quartile of the contemporaneous environment and the model predicts Up. That rule turns the architecture into an expert assistant rather than an autopilot. A trader or desk can remain in cash most of the time, monitor India VIX as a gating variable, and only deploy the directional model when the system’s measured reliability </w:t>
      </w:r>
      <w:r>
        <w:lastRenderedPageBreak/>
        <w:t xml:space="preserve">historically improved. </w:t>
      </w:r>
      <w:r w:rsidR="001451CB">
        <w:t>T</w:t>
      </w:r>
      <w:r>
        <w:t>he value lies in the decision logic wrapped around the predictive engine, not just in the engine itself.</w:t>
      </w:r>
    </w:p>
    <w:p w14:paraId="394BFE70" w14:textId="77777777" w:rsidR="00ED66A2" w:rsidRDefault="00000000">
      <w:pPr>
        <w:spacing w:after="80" w:line="360" w:lineRule="auto"/>
        <w:ind w:firstLine="360"/>
      </w:pPr>
      <w:r>
        <w:t>Several limitations remain. First, High-VIX observations under the deployable threshold are sparse, limiting statistical power and baseline discrimination in the high-volatility subset. Second, dependence-aware tests reduce inferential strength relative to earlier i.i.d.-style interpretations. Third, the current study uses technical features only; sentiment and macro signals may alter conditional behavior. Fourth, the trading protocol is intentionally simple and does not optimize sizing, leverage, or short overlays. These constraints define the next research agenda: larger multi-episode stress samples, rolling pre-specified threshold calibration, richer feature integration, and execution-aware portfolio design.</w:t>
      </w:r>
    </w:p>
    <w:p w14:paraId="336CE348" w14:textId="77777777" w:rsidR="00ED66A2" w:rsidRDefault="00000000">
      <w:pPr>
        <w:pStyle w:val="Heading1"/>
      </w:pPr>
      <w:r>
        <w:rPr>
          <w:rFonts w:ascii="Times New Roman" w:hAnsi="Times New Roman"/>
        </w:rPr>
        <w:t>8. Conclusion</w:t>
      </w:r>
    </w:p>
    <w:p w14:paraId="73581DC4" w14:textId="77777777" w:rsidR="00ED66A2" w:rsidRDefault="00000000">
      <w:pPr>
        <w:spacing w:after="80" w:line="360" w:lineRule="auto"/>
        <w:ind w:firstLine="360"/>
      </w:pPr>
      <w:r>
        <w:t>This paper shows that medium-term Bank Nifty directional behavior is state-sensitive under India VIX conditioning, but the corrected evidence is more nuanced than our earlier draft. After removing leakage pathways and enforcing deployable threshold calibration, the High-VIX subset becomes small and class-concentrated. Conditional separation remains observable, yet unconditional and baseline-adjusted performance limits the strength of practical predictability claims.</w:t>
      </w:r>
    </w:p>
    <w:p w14:paraId="167AD587" w14:textId="77777777" w:rsidR="00ED66A2" w:rsidRDefault="00000000">
      <w:pPr>
        <w:spacing w:after="80" w:line="360" w:lineRule="auto"/>
        <w:ind w:firstLine="360"/>
      </w:pPr>
      <w:r>
        <w:t>The corrected deployment analysis indicates lower drawdown for selective activation but no Sharpe superiority versus buy-and-hold in the evaluated sample. Accordingly, we now position the contribution as a methodological and diagnostic framework for regime-aware reliability assessment, rather than a universally superior trading rule.</w:t>
      </w:r>
    </w:p>
    <w:p w14:paraId="015E501F" w14:textId="6DADDD84" w:rsidR="00ED66A2" w:rsidRDefault="006A0FD5">
      <w:pPr>
        <w:spacing w:after="80" w:line="360" w:lineRule="auto"/>
        <w:ind w:firstLine="360"/>
      </w:pPr>
      <w:r>
        <w:t>The contribution is therefore a regime-aware expert system for selective directional decision support in an emerging-market index. Its message is not 'always trust the model', but 'trust the model when the state says the signal is likely to be reliable'. That is a more realistic and more useful design principle for intelligent financial decision systems.</w:t>
      </w:r>
    </w:p>
    <w:p w14:paraId="1A3471F5" w14:textId="77777777" w:rsidR="00ED66A2" w:rsidRPr="0077482E" w:rsidRDefault="00000000">
      <w:pPr>
        <w:pStyle w:val="Heading1"/>
        <w:rPr>
          <w:sz w:val="24"/>
          <w:szCs w:val="24"/>
        </w:rPr>
      </w:pPr>
      <w:r w:rsidRPr="0077482E">
        <w:rPr>
          <w:rFonts w:ascii="Times New Roman" w:hAnsi="Times New Roman"/>
          <w:sz w:val="24"/>
          <w:szCs w:val="24"/>
        </w:rPr>
        <w:t>Declaration of competing interest</w:t>
      </w:r>
    </w:p>
    <w:p w14:paraId="69047C6D" w14:textId="47621300" w:rsidR="00ED66A2" w:rsidRDefault="00000000" w:rsidP="0077482E">
      <w:pPr>
        <w:spacing w:after="80" w:line="240" w:lineRule="auto"/>
      </w:pPr>
      <w:r>
        <w:t>The author declare that they have no known competing financial interests or personal relationships that could have appeared to influence the work reported in this paper.</w:t>
      </w:r>
    </w:p>
    <w:p w14:paraId="17E064D2" w14:textId="77777777" w:rsidR="00ED66A2" w:rsidRPr="0077482E" w:rsidRDefault="00000000">
      <w:pPr>
        <w:pStyle w:val="Heading1"/>
        <w:rPr>
          <w:sz w:val="24"/>
          <w:szCs w:val="24"/>
        </w:rPr>
      </w:pPr>
      <w:r w:rsidRPr="0077482E">
        <w:rPr>
          <w:rFonts w:ascii="Times New Roman" w:hAnsi="Times New Roman"/>
          <w:sz w:val="24"/>
          <w:szCs w:val="24"/>
        </w:rPr>
        <w:t>Data availability</w:t>
      </w:r>
    </w:p>
    <w:p w14:paraId="16887F65" w14:textId="1AF0E98E" w:rsidR="00ED66A2" w:rsidRDefault="00000000" w:rsidP="0077482E">
      <w:pPr>
        <w:spacing w:after="80" w:line="240" w:lineRule="auto"/>
      </w:pPr>
      <w:r>
        <w:t>Bank Nifty OHLCV and India VIX daily data are publicly available from the National Stock Exchange of India.</w:t>
      </w:r>
    </w:p>
    <w:p w14:paraId="0D8BF486" w14:textId="77777777" w:rsidR="00ED66A2" w:rsidRPr="0077482E" w:rsidRDefault="00000000">
      <w:pPr>
        <w:pStyle w:val="Heading1"/>
        <w:rPr>
          <w:sz w:val="24"/>
          <w:szCs w:val="24"/>
        </w:rPr>
      </w:pPr>
      <w:r w:rsidRPr="0077482E">
        <w:rPr>
          <w:rFonts w:ascii="Times New Roman" w:hAnsi="Times New Roman"/>
          <w:sz w:val="24"/>
          <w:szCs w:val="24"/>
        </w:rPr>
        <w:t>Funding</w:t>
      </w:r>
    </w:p>
    <w:p w14:paraId="4D308050" w14:textId="77777777" w:rsidR="00ED66A2" w:rsidRDefault="00000000" w:rsidP="0077482E">
      <w:pPr>
        <w:spacing w:after="80" w:line="240" w:lineRule="auto"/>
      </w:pPr>
      <w:r>
        <w:t>This research did not receive any specific grant from funding agencies in the public, commercial, or not-for-profit sectors.</w:t>
      </w:r>
    </w:p>
    <w:p w14:paraId="58B7496A" w14:textId="77777777" w:rsidR="00ED66A2" w:rsidRDefault="00000000">
      <w:pPr>
        <w:pStyle w:val="Heading1"/>
        <w:rPr>
          <w:rFonts w:ascii="Times New Roman" w:hAnsi="Times New Roman"/>
        </w:rPr>
      </w:pPr>
      <w:r>
        <w:rPr>
          <w:rFonts w:ascii="Times New Roman" w:hAnsi="Times New Roman"/>
        </w:rPr>
        <w:t>References</w:t>
      </w:r>
    </w:p>
    <w:p w14:paraId="037AD8E9" w14:textId="31800A0C" w:rsidR="008A4DEF" w:rsidRPr="00A36C97" w:rsidRDefault="0026350A" w:rsidP="00A36C97">
      <w:pPr>
        <w:pStyle w:val="ListParagraph"/>
        <w:widowControl w:val="0"/>
        <w:numPr>
          <w:ilvl w:val="0"/>
          <w:numId w:val="11"/>
        </w:numPr>
        <w:autoSpaceDE w:val="0"/>
        <w:autoSpaceDN w:val="0"/>
        <w:adjustRightInd w:val="0"/>
        <w:spacing w:line="240" w:lineRule="auto"/>
        <w:rPr>
          <w:rFonts w:cs="Times New Roman"/>
          <w:noProof/>
          <w:szCs w:val="28"/>
        </w:rPr>
      </w:pPr>
      <w:r>
        <w:fldChar w:fldCharType="begin" w:fldLock="1"/>
      </w:r>
      <w:r>
        <w:instrText xml:space="preserve">ADDIN Mendeley Bibliography CSL_BIBLIOGRAPHY </w:instrText>
      </w:r>
      <w:r>
        <w:fldChar w:fldCharType="separate"/>
      </w:r>
      <w:r w:rsidR="008A4DEF" w:rsidRPr="00A36C97">
        <w:rPr>
          <w:rFonts w:cs="Times New Roman"/>
          <w:noProof/>
          <w:szCs w:val="28"/>
        </w:rPr>
        <w:t xml:space="preserve">Ang, A., &amp; Bekaert, G. (2002). Regime switches in interest rates. </w:t>
      </w:r>
      <w:r w:rsidR="008A4DEF" w:rsidRPr="00A36C97">
        <w:rPr>
          <w:rFonts w:cs="Times New Roman"/>
          <w:i/>
          <w:iCs/>
          <w:noProof/>
          <w:szCs w:val="28"/>
        </w:rPr>
        <w:t>Journal of Business and Economic Statistics</w:t>
      </w:r>
      <w:r w:rsidR="008A4DEF" w:rsidRPr="00A36C97">
        <w:rPr>
          <w:rFonts w:cs="Times New Roman"/>
          <w:noProof/>
          <w:szCs w:val="28"/>
        </w:rPr>
        <w:t xml:space="preserve">, </w:t>
      </w:r>
      <w:r w:rsidR="008A4DEF" w:rsidRPr="00A36C97">
        <w:rPr>
          <w:rFonts w:cs="Times New Roman"/>
          <w:i/>
          <w:iCs/>
          <w:noProof/>
          <w:szCs w:val="28"/>
        </w:rPr>
        <w:t>20</w:t>
      </w:r>
      <w:r w:rsidR="008A4DEF" w:rsidRPr="00A36C97">
        <w:rPr>
          <w:rFonts w:cs="Times New Roman"/>
          <w:noProof/>
          <w:szCs w:val="28"/>
        </w:rPr>
        <w:t>(2), 163–182. https://doi.org/10.1198/073500102317351930</w:t>
      </w:r>
    </w:p>
    <w:p w14:paraId="1AE013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Baker, M., &amp; Wurgler, J. (2007). Investor sentiment in the stock market. </w:t>
      </w:r>
      <w:r w:rsidRPr="00A36C97">
        <w:rPr>
          <w:rFonts w:cs="Times New Roman"/>
          <w:i/>
          <w:iCs/>
          <w:noProof/>
          <w:szCs w:val="28"/>
        </w:rPr>
        <w:t>Journal of Economic Perspectives</w:t>
      </w:r>
      <w:r w:rsidRPr="00A36C97">
        <w:rPr>
          <w:rFonts w:cs="Times New Roman"/>
          <w:noProof/>
          <w:szCs w:val="28"/>
        </w:rPr>
        <w:t xml:space="preserve">, </w:t>
      </w:r>
      <w:r w:rsidRPr="00A36C97">
        <w:rPr>
          <w:rFonts w:cs="Times New Roman"/>
          <w:i/>
          <w:iCs/>
          <w:noProof/>
          <w:szCs w:val="28"/>
        </w:rPr>
        <w:t>21</w:t>
      </w:r>
      <w:r w:rsidRPr="00A36C97">
        <w:rPr>
          <w:rFonts w:cs="Times New Roman"/>
          <w:noProof/>
          <w:szCs w:val="28"/>
        </w:rPr>
        <w:t>(2), 129–151. https://doi.org/10.1257/jep.21.2.129</w:t>
      </w:r>
    </w:p>
    <w:p w14:paraId="216A18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Ballings, M., Van Den Poel, D., Hespeels, N., &amp; Gryp, R. (2015). Evaluating multiple classifiers for stock price direction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(20), 7046–7056. https://doi.org/10.1016/j.eswa.2015.05.013</w:t>
      </w:r>
    </w:p>
    <w:p w14:paraId="7E41CF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Cavalcante, R. C., Brasileiro, R. C., Souza, V. L. F., Nobrega, J. P., &amp; Oliveira, A. L. I. (2016). Computational Intelligence and Financial Markets: A Survey and Future Directions.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55</w:t>
      </w:r>
      <w:r w:rsidRPr="00A36C97">
        <w:rPr>
          <w:rFonts w:cs="Times New Roman"/>
          <w:noProof/>
          <w:szCs w:val="28"/>
        </w:rPr>
        <w:t>, 194–211. https://doi.org/10.1016/j.eswa.2016.02.006</w:t>
      </w:r>
    </w:p>
    <w:p w14:paraId="3DBDCC5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Chong, E., Han, C., &amp; Park, F. C. (2017). Deep learning networks for stock market analysis and prediction: Methodology, data representations, and case studies.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83</w:t>
      </w:r>
      <w:r w:rsidRPr="00A36C97">
        <w:rPr>
          <w:rFonts w:cs="Times New Roman"/>
          <w:noProof/>
          <w:szCs w:val="28"/>
        </w:rPr>
        <w:t>, 187–205. https://doi.org/10.1016/j.eswa.2017.04.030</w:t>
      </w:r>
    </w:p>
    <w:p w14:paraId="355471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Fama, E. F. (1970). Efficient Capital Markets: A Review Of Theory And Empirical Work. The Journal of Finance, 25(2), 383–417. https://doi.org/10.2307/2325486</w:t>
      </w:r>
    </w:p>
    <w:p w14:paraId="038E7F4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Fama, E. F. (1991). Efficient Capital Markets: II.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46</w:t>
      </w:r>
      <w:r w:rsidRPr="00A36C97">
        <w:rPr>
          <w:rFonts w:cs="Times New Roman"/>
          <w:noProof/>
          <w:szCs w:val="28"/>
        </w:rPr>
        <w:t>(5), 1575. https://doi.org/10.2307/2328565</w:t>
      </w:r>
    </w:p>
    <w:p w14:paraId="0CB606B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Fischer, T., &amp; Krauss, C. (2018). Deep learning with long short-term memory networks for financial market predictions.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270</w:t>
      </w:r>
      <w:r w:rsidRPr="00A36C97">
        <w:rPr>
          <w:rFonts w:cs="Times New Roman"/>
          <w:noProof/>
          <w:szCs w:val="28"/>
        </w:rPr>
        <w:t>(2), 654–669. https://doi.org/10.1016/j.ejor.2017.11.054</w:t>
      </w:r>
    </w:p>
    <w:p w14:paraId="3E2B4862"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Gandhmal, D. P., &amp; Kumar, K. (2019). Systematic analysis and review of stock market </w:t>
      </w:r>
      <w:r w:rsidRPr="00A36C97">
        <w:rPr>
          <w:rFonts w:cs="Times New Roman"/>
          <w:noProof/>
          <w:szCs w:val="28"/>
        </w:rPr>
        <w:lastRenderedPageBreak/>
        <w:t xml:space="preserve">prediction techniques. </w:t>
      </w:r>
      <w:r w:rsidRPr="00A36C97">
        <w:rPr>
          <w:rFonts w:cs="Times New Roman"/>
          <w:i/>
          <w:iCs/>
          <w:noProof/>
          <w:szCs w:val="28"/>
        </w:rPr>
        <w:t>Computer Science Review</w:t>
      </w:r>
      <w:r w:rsidRPr="00A36C97">
        <w:rPr>
          <w:rFonts w:cs="Times New Roman"/>
          <w:noProof/>
          <w:szCs w:val="28"/>
        </w:rPr>
        <w:t xml:space="preserve">, </w:t>
      </w:r>
      <w:r w:rsidRPr="00A36C97">
        <w:rPr>
          <w:rFonts w:cs="Times New Roman"/>
          <w:i/>
          <w:iCs/>
          <w:noProof/>
          <w:szCs w:val="28"/>
        </w:rPr>
        <w:t>34</w:t>
      </w:r>
      <w:r w:rsidRPr="00A36C97">
        <w:rPr>
          <w:rFonts w:cs="Times New Roman"/>
          <w:noProof/>
          <w:szCs w:val="28"/>
        </w:rPr>
        <w:t>, 100190. https://doi.org/10.1016/j.cosrev.2019.08.001</w:t>
      </w:r>
    </w:p>
    <w:p w14:paraId="1D84A52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Giot, P. (2005). Relationships Between Implied Volatility Indexes and Stock Index Returns. The Journal of Portfolio Management, Spring 2005, 92–100. https://doi.org/10.3905/jpm.2005.500363</w:t>
      </w:r>
    </w:p>
    <w:p w14:paraId="04C0A2F0"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Hamilton, J. D. (1989). A New Approach to the Economic Analysis of Nonstationary Time Series and the Business Cycle. Econometrica, 57(2), 357-384. https://doi.org/10.2307/1912559</w:t>
      </w:r>
    </w:p>
    <w:p w14:paraId="6D37758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Henrique, B. M., Sobreiro, V. A., &amp; Kimura, H. (2019). Literature review: Machine learning techniques applied to financial market prediction.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124</w:t>
      </w:r>
      <w:r w:rsidRPr="00A36C97">
        <w:rPr>
          <w:rFonts w:cs="Times New Roman"/>
          <w:noProof/>
          <w:szCs w:val="28"/>
        </w:rPr>
        <w:t>, 226–251. https://doi.org/10.1016/j.eswa.2019.01.012</w:t>
      </w:r>
    </w:p>
    <w:p w14:paraId="03A4998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Hiransha, M., Gopalakrishnan, E. A., Menon, V. K., &amp; Soman, K. P. (2018). NSE Stock Market Prediction Using Deep-Learning Models.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132</w:t>
      </w:r>
      <w:r w:rsidRPr="00A36C97">
        <w:rPr>
          <w:rFonts w:cs="Times New Roman"/>
          <w:noProof/>
          <w:szCs w:val="28"/>
        </w:rPr>
        <w:t>(Iccids), 1351–1362. https://doi.org/10.1016/j.procs.2018.05.050</w:t>
      </w:r>
    </w:p>
    <w:p w14:paraId="5CA3AA6F"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Huang, W., Nakamori, Y., &amp; Wang, S. Y. (2005). Forecasting stock market movement direction with support vector machine. </w:t>
      </w:r>
      <w:r w:rsidRPr="00A36C97">
        <w:rPr>
          <w:rFonts w:cs="Times New Roman"/>
          <w:i/>
          <w:iCs/>
          <w:noProof/>
          <w:szCs w:val="28"/>
        </w:rPr>
        <w:t>Computers and Operations Research</w:t>
      </w:r>
      <w:r w:rsidRPr="00A36C97">
        <w:rPr>
          <w:rFonts w:cs="Times New Roman"/>
          <w:noProof/>
          <w:szCs w:val="28"/>
        </w:rPr>
        <w:t xml:space="preserve">, </w:t>
      </w:r>
      <w:r w:rsidRPr="00A36C97">
        <w:rPr>
          <w:rFonts w:cs="Times New Roman"/>
          <w:i/>
          <w:iCs/>
          <w:noProof/>
          <w:szCs w:val="28"/>
        </w:rPr>
        <w:t>32</w:t>
      </w:r>
      <w:r w:rsidRPr="00A36C97">
        <w:rPr>
          <w:rFonts w:cs="Times New Roman"/>
          <w:noProof/>
          <w:szCs w:val="28"/>
        </w:rPr>
        <w:t>(10), 2513–2522. https://doi.org/10.1016/j.cor.2004.03.016</w:t>
      </w:r>
    </w:p>
    <w:p w14:paraId="0DCE59F7"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Jiang, W. (2021). Applications of deep learning in stock market prediction: Recent progress.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184</w:t>
      </w:r>
      <w:r w:rsidRPr="00A36C97">
        <w:rPr>
          <w:rFonts w:cs="Times New Roman"/>
          <w:noProof/>
          <w:szCs w:val="28"/>
        </w:rPr>
        <w:t>(March 2020), 115537. https://doi.org/10.1016/j.eswa.2021.115537</w:t>
      </w:r>
    </w:p>
    <w:p w14:paraId="405E12F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Krauss, C., Do, X. A., &amp; Huck, N. (2017). Deep neural networks, gradient-boosted trees, random forests: Statistical arbitrage on the S&amp;P 500. </w:t>
      </w:r>
      <w:r w:rsidRPr="00A36C97">
        <w:rPr>
          <w:rFonts w:cs="Times New Roman"/>
          <w:i/>
          <w:iCs/>
          <w:noProof/>
          <w:szCs w:val="28"/>
        </w:rPr>
        <w:t>European Journal of Operational Research</w:t>
      </w:r>
      <w:r w:rsidRPr="00A36C97">
        <w:rPr>
          <w:rFonts w:cs="Times New Roman"/>
          <w:noProof/>
          <w:szCs w:val="28"/>
        </w:rPr>
        <w:t xml:space="preserve">, </w:t>
      </w:r>
      <w:r w:rsidRPr="00A36C97">
        <w:rPr>
          <w:rFonts w:cs="Times New Roman"/>
          <w:i/>
          <w:iCs/>
          <w:noProof/>
          <w:szCs w:val="28"/>
        </w:rPr>
        <w:t>259</w:t>
      </w:r>
      <w:r w:rsidRPr="00A36C97">
        <w:rPr>
          <w:rFonts w:cs="Times New Roman"/>
          <w:noProof/>
          <w:szCs w:val="28"/>
        </w:rPr>
        <w:t>(2), 689–702. https://doi.org/10.1016/j.ejor.2016.10.031</w:t>
      </w:r>
    </w:p>
    <w:p w14:paraId="7409D34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Lo, A. W. (2004). The adaptive markets hypothesis. </w:t>
      </w:r>
      <w:r w:rsidRPr="00A36C97">
        <w:rPr>
          <w:rFonts w:cs="Times New Roman"/>
          <w:i/>
          <w:iCs/>
          <w:noProof/>
          <w:szCs w:val="28"/>
        </w:rPr>
        <w:t>Journal of Portfolio Management</w:t>
      </w:r>
      <w:r w:rsidRPr="00A36C97">
        <w:rPr>
          <w:rFonts w:cs="Times New Roman"/>
          <w:noProof/>
          <w:szCs w:val="28"/>
        </w:rPr>
        <w:t xml:space="preserve">, </w:t>
      </w:r>
      <w:r w:rsidRPr="00A36C97">
        <w:rPr>
          <w:rFonts w:cs="Times New Roman"/>
          <w:i/>
          <w:iCs/>
          <w:noProof/>
          <w:szCs w:val="28"/>
        </w:rPr>
        <w:t>30</w:t>
      </w:r>
      <w:r w:rsidRPr="00A36C97">
        <w:rPr>
          <w:rFonts w:cs="Times New Roman"/>
          <w:noProof/>
          <w:szCs w:val="28"/>
        </w:rPr>
        <w:t>(SUPPL.), 15–29. https://doi.org/10.3905/jpm.2004.442611</w:t>
      </w:r>
    </w:p>
    <w:p w14:paraId="37FB7DA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Lundberg, S. M., &amp; Lee, S.-I. (2017). A Unified Approach to Interpreting Model Predictions. arXiv:1705.07874. https://arxiv.org/pdf/1705.07874</w:t>
      </w:r>
    </w:p>
    <w:p w14:paraId="461012F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Nayak, A., Pai, M. M. M., &amp; Pai, R. M. (2016). Prediction Models for Indian Stock Market. </w:t>
      </w:r>
      <w:r w:rsidRPr="00A36C97">
        <w:rPr>
          <w:rFonts w:cs="Times New Roman"/>
          <w:i/>
          <w:iCs/>
          <w:noProof/>
          <w:szCs w:val="28"/>
        </w:rPr>
        <w:t>Procedia Computer Science</w:t>
      </w:r>
      <w:r w:rsidRPr="00A36C97">
        <w:rPr>
          <w:rFonts w:cs="Times New Roman"/>
          <w:noProof/>
          <w:szCs w:val="28"/>
        </w:rPr>
        <w:t xml:space="preserve">, </w:t>
      </w:r>
      <w:r w:rsidRPr="00A36C97">
        <w:rPr>
          <w:rFonts w:cs="Times New Roman"/>
          <w:i/>
          <w:iCs/>
          <w:noProof/>
          <w:szCs w:val="28"/>
        </w:rPr>
        <w:t>89</w:t>
      </w:r>
      <w:r w:rsidRPr="00A36C97">
        <w:rPr>
          <w:rFonts w:cs="Times New Roman"/>
          <w:noProof/>
          <w:szCs w:val="28"/>
        </w:rPr>
        <w:t>, 441–449. https://doi.org/10.1016/j.procs.2016.06.096</w:t>
      </w:r>
    </w:p>
    <w:p w14:paraId="71B4300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NSE. (2008). </w:t>
      </w:r>
      <w:r w:rsidRPr="00A36C97">
        <w:rPr>
          <w:rFonts w:cs="Times New Roman"/>
          <w:i/>
          <w:iCs/>
          <w:noProof/>
          <w:szCs w:val="28"/>
        </w:rPr>
        <w:t>India VIX: A Volatility Index Based on the Nifty 50 Index Option Prices. National Stock Exchange of India white paper</w:t>
      </w:r>
      <w:r w:rsidRPr="00A36C97">
        <w:rPr>
          <w:rFonts w:cs="Times New Roman"/>
          <w:noProof/>
          <w:szCs w:val="28"/>
        </w:rPr>
        <w:t>. NSE, India. https://nsearchives.nseindia.com/web/sites/default/files/inline-files/white_paper_IndiaVIX.pdf</w:t>
      </w:r>
    </w:p>
    <w:p w14:paraId="28A41D8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Patel, J., Shah, S., Thakkar, P., &amp; Kotecha, K. (2015). Predicting stock and stock price index movement using Trend Deterministic Data Preparation and machine learning techniques. </w:t>
      </w:r>
      <w:r w:rsidRPr="00A36C97">
        <w:rPr>
          <w:rFonts w:cs="Times New Roman"/>
          <w:i/>
          <w:iCs/>
          <w:noProof/>
          <w:szCs w:val="28"/>
        </w:rPr>
        <w:t>Expert Systems with Applications</w:t>
      </w:r>
      <w:r w:rsidRPr="00A36C97">
        <w:rPr>
          <w:rFonts w:cs="Times New Roman"/>
          <w:noProof/>
          <w:szCs w:val="28"/>
        </w:rPr>
        <w:t xml:space="preserve">, </w:t>
      </w:r>
      <w:r w:rsidRPr="00A36C97">
        <w:rPr>
          <w:rFonts w:cs="Times New Roman"/>
          <w:i/>
          <w:iCs/>
          <w:noProof/>
          <w:szCs w:val="28"/>
        </w:rPr>
        <w:t>42</w:t>
      </w:r>
      <w:r w:rsidRPr="00A36C97">
        <w:rPr>
          <w:rFonts w:cs="Times New Roman"/>
          <w:noProof/>
          <w:szCs w:val="28"/>
        </w:rPr>
        <w:t>(1), 259–268. https://doi.org/10.1016/j.eswa.2014.07.040</w:t>
      </w:r>
    </w:p>
    <w:p w14:paraId="3B0E279A"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Prokhorenkova, L., Gusev, G., Vorobev, A., Dorogush, A. V., &amp; Gulin, A. (2018). Catboost: Unbiased boosting with categorical features. Advances in Neural Information Processing Systems, 2018-Decem(Section 4), 6638–6648. https://doi.org/10.48550/arXiv.1706.09516</w:t>
      </w:r>
    </w:p>
    <w:p w14:paraId="29120B13"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Raavihemalatha, GodiAmulya, &amp; Sailalitha, C. S. N. (2024). Deep Learning for Stock Market Prediction. </w:t>
      </w:r>
      <w:r w:rsidRPr="00A36C97">
        <w:rPr>
          <w:rFonts w:cs="Times New Roman"/>
          <w:i/>
          <w:iCs/>
          <w:noProof/>
          <w:szCs w:val="28"/>
        </w:rPr>
        <w:t>2024 2nd International Conference Computational and Characterization Techniques in Engineering and Sciences, IC3TES 2024</w:t>
      </w:r>
      <w:r w:rsidRPr="00A36C97">
        <w:rPr>
          <w:rFonts w:cs="Times New Roman"/>
          <w:noProof/>
          <w:szCs w:val="28"/>
        </w:rPr>
        <w:t xml:space="preserve">. </w:t>
      </w:r>
      <w:r w:rsidRPr="00A36C97">
        <w:rPr>
          <w:rFonts w:cs="Times New Roman"/>
          <w:noProof/>
          <w:szCs w:val="28"/>
        </w:rPr>
        <w:lastRenderedPageBreak/>
        <w:t>https://doi.org/10.1109/IC3TES62412.2024.10877452</w:t>
      </w:r>
    </w:p>
    <w:p w14:paraId="343FA05C"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SCHWERT, G. W. (1989). Why Does Stock Market Volatility Change Over Time? </w:t>
      </w:r>
      <w:r w:rsidRPr="00A36C97">
        <w:rPr>
          <w:rFonts w:cs="Times New Roman"/>
          <w:i/>
          <w:iCs/>
          <w:noProof/>
          <w:szCs w:val="28"/>
        </w:rPr>
        <w:t>The Journal of Finance</w:t>
      </w:r>
      <w:r w:rsidRPr="00A36C97">
        <w:rPr>
          <w:rFonts w:cs="Times New Roman"/>
          <w:noProof/>
          <w:szCs w:val="28"/>
        </w:rPr>
        <w:t xml:space="preserve">, </w:t>
      </w:r>
      <w:r w:rsidRPr="00A36C97">
        <w:rPr>
          <w:rFonts w:cs="Times New Roman"/>
          <w:i/>
          <w:iCs/>
          <w:noProof/>
          <w:szCs w:val="28"/>
        </w:rPr>
        <w:t>44</w:t>
      </w:r>
      <w:r w:rsidRPr="00A36C97">
        <w:rPr>
          <w:rFonts w:cs="Times New Roman"/>
          <w:noProof/>
          <w:szCs w:val="28"/>
        </w:rPr>
        <w:t>(5), 1115–1153. https://doi.org/10.1111/j.1540-6261.1989.tb02647.x</w:t>
      </w:r>
    </w:p>
    <w:p w14:paraId="07F7B5B4"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Sezer, O. B., Gudelek, M. U., &amp; Ozbayoglu, A. M. (2020). Financial time series forecasting with deep learning: A systematic literature review: 2005–2019. </w:t>
      </w:r>
      <w:r w:rsidRPr="00A36C97">
        <w:rPr>
          <w:rFonts w:cs="Times New Roman"/>
          <w:i/>
          <w:iCs/>
          <w:noProof/>
          <w:szCs w:val="28"/>
        </w:rPr>
        <w:t>Applied Soft Computing Journal</w:t>
      </w:r>
      <w:r w:rsidRPr="00A36C97">
        <w:rPr>
          <w:rFonts w:cs="Times New Roman"/>
          <w:noProof/>
          <w:szCs w:val="28"/>
        </w:rPr>
        <w:t xml:space="preserve">, </w:t>
      </w:r>
      <w:r w:rsidRPr="00A36C97">
        <w:rPr>
          <w:rFonts w:cs="Times New Roman"/>
          <w:i/>
          <w:iCs/>
          <w:noProof/>
          <w:szCs w:val="28"/>
        </w:rPr>
        <w:t>90</w:t>
      </w:r>
      <w:r w:rsidRPr="00A36C97">
        <w:rPr>
          <w:rFonts w:cs="Times New Roman"/>
          <w:noProof/>
          <w:szCs w:val="28"/>
        </w:rPr>
        <w:t>, 106181. https://doi.org/10.1016/j.asoc.2020.106181</w:t>
      </w:r>
    </w:p>
    <w:p w14:paraId="45026A6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Shah, D., Isah, H., &amp; Zulkernine, F. (2019). Stock market analysis: A review and taxonomy of prediction techniques. </w:t>
      </w:r>
      <w:r w:rsidRPr="00A36C97">
        <w:rPr>
          <w:rFonts w:cs="Times New Roman"/>
          <w:i/>
          <w:iCs/>
          <w:noProof/>
          <w:szCs w:val="28"/>
        </w:rPr>
        <w:t>International Journal of Financial Studies</w:t>
      </w:r>
      <w:r w:rsidRPr="00A36C97">
        <w:rPr>
          <w:rFonts w:cs="Times New Roman"/>
          <w:noProof/>
          <w:szCs w:val="28"/>
        </w:rPr>
        <w:t xml:space="preserve">, </w:t>
      </w:r>
      <w:r w:rsidRPr="00A36C97">
        <w:rPr>
          <w:rFonts w:cs="Times New Roman"/>
          <w:i/>
          <w:iCs/>
          <w:noProof/>
          <w:szCs w:val="28"/>
        </w:rPr>
        <w:t>7</w:t>
      </w:r>
      <w:r w:rsidRPr="00A36C97">
        <w:rPr>
          <w:rFonts w:cs="Times New Roman"/>
          <w:noProof/>
          <w:szCs w:val="28"/>
        </w:rPr>
        <w:t>(2). https://doi.org/10.3390/ijfs7020026</w:t>
      </w:r>
    </w:p>
    <w:p w14:paraId="08B97546"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Sharpe, W. F. (1994). The Sharpe ratio. Journal of Portfolio Management, 49–58. https://doi.org/10.3905/jpm.1994.409501</w:t>
      </w:r>
    </w:p>
    <w:p w14:paraId="4DD4AF35"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Makridakis, S., Spiliotis, E., &amp; Assimakopoulos, V. (2018). Statistical and Machine Learning forecasting methods: Concerns and ways forward. PLoS ONE, 13(3), e0194889. https://doi.org/10.1371/journal.pone.0194889</w:t>
      </w:r>
    </w:p>
    <w:p w14:paraId="7352679B"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rsidRPr="00A36C97">
        <w:rPr>
          <w:rFonts w:cs="Times New Roman"/>
          <w:noProof/>
          <w:szCs w:val="28"/>
        </w:rPr>
        <w:t xml:space="preserve">Vaswani, A., Shazeer, N., Parmar, N., Uszkoreit, J., Jones, L., Gomez, A. N., Kaiser, L., &amp; Polosukhin, I. (2017). Attention Is All You Need Ashish. </w:t>
      </w:r>
      <w:r w:rsidRPr="00A36C97">
        <w:rPr>
          <w:rFonts w:cs="Times New Roman"/>
          <w:i/>
          <w:iCs/>
          <w:noProof/>
          <w:szCs w:val="28"/>
        </w:rPr>
        <w:t>31st Conference on Neural Information Processing Systems (NIPS 2017)</w:t>
      </w:r>
      <w:r w:rsidRPr="00A36C97">
        <w:rPr>
          <w:rFonts w:cs="Times New Roman"/>
          <w:noProof/>
          <w:szCs w:val="28"/>
        </w:rPr>
        <w:t>, 1–11. https://doi.org/https://dl.acm.org/doi/10.5555/3295222.3295349</w:t>
      </w:r>
    </w:p>
    <w:p w14:paraId="3B5D9FF8"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Cs w:val="28"/>
        </w:rPr>
      </w:pPr>
      <w:r>
        <w:t>Whaley, R. E. (2000). The investor fear gauge. Journal of Portfolio Management, 12–17. https://doi.org/10.3905/jpm.2000.319728</w:t>
      </w:r>
    </w:p>
    <w:p w14:paraId="11CEADE9" w14:textId="77777777" w:rsidR="008A4DEF" w:rsidRPr="00A36C97" w:rsidRDefault="008A4DEF" w:rsidP="00A36C97">
      <w:pPr>
        <w:pStyle w:val="ListParagraph"/>
        <w:widowControl w:val="0"/>
        <w:numPr>
          <w:ilvl w:val="0"/>
          <w:numId w:val="11"/>
        </w:numPr>
        <w:autoSpaceDE w:val="0"/>
        <w:autoSpaceDN w:val="0"/>
        <w:adjustRightInd w:val="0"/>
        <w:spacing w:line="240" w:lineRule="auto"/>
        <w:rPr>
          <w:rFonts w:cs="Times New Roman"/>
          <w:noProof/>
          <w:sz w:val="20"/>
        </w:rPr>
      </w:pPr>
      <w:r w:rsidRPr="00A36C97">
        <w:rPr>
          <w:rFonts w:cs="Times New Roman"/>
          <w:noProof/>
          <w:szCs w:val="28"/>
        </w:rPr>
        <w:t xml:space="preserve">Wolpert, D. H. (1992). Stacked generalization. </w:t>
      </w:r>
      <w:r w:rsidRPr="00A36C97">
        <w:rPr>
          <w:rFonts w:cs="Times New Roman"/>
          <w:i/>
          <w:iCs/>
          <w:noProof/>
          <w:szCs w:val="28"/>
        </w:rPr>
        <w:t>Neural Networks</w:t>
      </w:r>
      <w:r w:rsidRPr="00A36C97">
        <w:rPr>
          <w:rFonts w:cs="Times New Roman"/>
          <w:noProof/>
          <w:szCs w:val="28"/>
        </w:rPr>
        <w:t xml:space="preserve">, </w:t>
      </w:r>
      <w:r w:rsidRPr="00A36C97">
        <w:rPr>
          <w:rFonts w:cs="Times New Roman"/>
          <w:i/>
          <w:iCs/>
          <w:noProof/>
          <w:szCs w:val="28"/>
        </w:rPr>
        <w:t>5</w:t>
      </w:r>
      <w:r w:rsidRPr="00A36C97">
        <w:rPr>
          <w:rFonts w:cs="Times New Roman"/>
          <w:noProof/>
          <w:szCs w:val="28"/>
        </w:rPr>
        <w:t>(2), 241–259. https://doi.org/10.1016/S0893-6080(05)80023-1</w:t>
      </w:r>
    </w:p>
    <w:p w14:paraId="76390D1A" w14:textId="17A48FDB" w:rsidR="0026350A" w:rsidRPr="0026350A" w:rsidRDefault="0026350A" w:rsidP="0026350A">
      <w:r>
        <w:fldChar w:fldCharType="end"/>
      </w:r>
    </w:p>
    <w:p>
      <w:r>
        <w:t>Du, L., Shi, X., &amp; Fu, Q. (2021). GBK-GNN: Gated Bi-Kernel Graph Neural Networks for Modeling Both Homophily and Heterophily. arXiv:2110.15777. https://arxiv.org/abs/2110.15777</w:t>
      </w:r>
    </w:p>
    <w:p>
      <w:r>
        <w:t>Fofanah, A. J., Wen, L., &amp; Chen, D. (2026). PIMPC-GNN: Physics-Informed Multi-Phase Consensus Learning for Enhancing Imbalanced Node Classification in Graph Neural Networks. arXiv:2602.01920. https://arxiv.org/abs/2602.01920</w:t>
      </w:r>
    </w:p>
    <w:sectPr w:rsidR="0026350A" w:rsidRPr="0026350A" w:rsidSect="00F917E9">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AC5B9" w14:textId="77777777" w:rsidR="000510BC" w:rsidRDefault="000510BC" w:rsidP="00A36C97">
      <w:pPr>
        <w:spacing w:after="0" w:line="240" w:lineRule="auto"/>
      </w:pPr>
      <w:r>
        <w:separator/>
      </w:r>
    </w:p>
  </w:endnote>
  <w:endnote w:type="continuationSeparator" w:id="0">
    <w:p w14:paraId="7F795290" w14:textId="77777777" w:rsidR="000510BC" w:rsidRDefault="000510BC" w:rsidP="00A36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5914"/>
      <w:docPartObj>
        <w:docPartGallery w:val="Page Numbers (Bottom of Page)"/>
        <w:docPartUnique/>
      </w:docPartObj>
    </w:sdtPr>
    <w:sdtEndPr>
      <w:rPr>
        <w:noProof/>
      </w:rPr>
    </w:sdtEndPr>
    <w:sdtContent>
      <w:p w14:paraId="33F9C9AF" w14:textId="6744A9F1" w:rsidR="00A36C97" w:rsidRDefault="00A36C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C4C83" w14:textId="77777777" w:rsidR="00A36C97" w:rsidRDefault="00A36C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8A55B" w14:textId="77777777" w:rsidR="000510BC" w:rsidRDefault="000510BC" w:rsidP="00A36C97">
      <w:pPr>
        <w:spacing w:after="0" w:line="240" w:lineRule="auto"/>
      </w:pPr>
      <w:r>
        <w:separator/>
      </w:r>
    </w:p>
  </w:footnote>
  <w:footnote w:type="continuationSeparator" w:id="0">
    <w:p w14:paraId="29DCD3B0" w14:textId="77777777" w:rsidR="000510BC" w:rsidRDefault="000510BC" w:rsidP="00A36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666E17"/>
    <w:multiLevelType w:val="hybridMultilevel"/>
    <w:tmpl w:val="7A521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C81BF1"/>
    <w:multiLevelType w:val="hybridMultilevel"/>
    <w:tmpl w:val="687829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3892081">
    <w:abstractNumId w:val="8"/>
  </w:num>
  <w:num w:numId="2" w16cid:durableId="1492720678">
    <w:abstractNumId w:val="6"/>
  </w:num>
  <w:num w:numId="3" w16cid:durableId="1416435085">
    <w:abstractNumId w:val="5"/>
  </w:num>
  <w:num w:numId="4" w16cid:durableId="2046251753">
    <w:abstractNumId w:val="4"/>
  </w:num>
  <w:num w:numId="5" w16cid:durableId="1030885270">
    <w:abstractNumId w:val="7"/>
  </w:num>
  <w:num w:numId="6" w16cid:durableId="722559716">
    <w:abstractNumId w:val="3"/>
  </w:num>
  <w:num w:numId="7" w16cid:durableId="1032803093">
    <w:abstractNumId w:val="2"/>
  </w:num>
  <w:num w:numId="8" w16cid:durableId="585462386">
    <w:abstractNumId w:val="1"/>
  </w:num>
  <w:num w:numId="9" w16cid:durableId="636420287">
    <w:abstractNumId w:val="0"/>
  </w:num>
  <w:num w:numId="10" w16cid:durableId="915091427">
    <w:abstractNumId w:val="9"/>
  </w:num>
  <w:num w:numId="11" w16cid:durableId="8925431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1C3"/>
    <w:rsid w:val="00034616"/>
    <w:rsid w:val="00040632"/>
    <w:rsid w:val="00040C97"/>
    <w:rsid w:val="000510BC"/>
    <w:rsid w:val="0006063C"/>
    <w:rsid w:val="000A55A1"/>
    <w:rsid w:val="000C25B1"/>
    <w:rsid w:val="000E0D1C"/>
    <w:rsid w:val="000F781D"/>
    <w:rsid w:val="00127063"/>
    <w:rsid w:val="001451CB"/>
    <w:rsid w:val="0015074B"/>
    <w:rsid w:val="001A1C9C"/>
    <w:rsid w:val="001A38EB"/>
    <w:rsid w:val="00201424"/>
    <w:rsid w:val="002144F8"/>
    <w:rsid w:val="002346A0"/>
    <w:rsid w:val="0023756F"/>
    <w:rsid w:val="002425DE"/>
    <w:rsid w:val="00261841"/>
    <w:rsid w:val="00261FB7"/>
    <w:rsid w:val="0026350A"/>
    <w:rsid w:val="00273260"/>
    <w:rsid w:val="002936C1"/>
    <w:rsid w:val="0029639D"/>
    <w:rsid w:val="002F33B0"/>
    <w:rsid w:val="0030390A"/>
    <w:rsid w:val="00326F90"/>
    <w:rsid w:val="00356091"/>
    <w:rsid w:val="0036261D"/>
    <w:rsid w:val="00381D27"/>
    <w:rsid w:val="00392412"/>
    <w:rsid w:val="003953F8"/>
    <w:rsid w:val="003F6231"/>
    <w:rsid w:val="00430885"/>
    <w:rsid w:val="0045021F"/>
    <w:rsid w:val="00451FE6"/>
    <w:rsid w:val="00482D6F"/>
    <w:rsid w:val="004A41F6"/>
    <w:rsid w:val="004E59A3"/>
    <w:rsid w:val="004E65F5"/>
    <w:rsid w:val="00501E95"/>
    <w:rsid w:val="00521488"/>
    <w:rsid w:val="00541B59"/>
    <w:rsid w:val="005606F8"/>
    <w:rsid w:val="00582986"/>
    <w:rsid w:val="00623C51"/>
    <w:rsid w:val="00641CD0"/>
    <w:rsid w:val="00644936"/>
    <w:rsid w:val="006606AE"/>
    <w:rsid w:val="0068598C"/>
    <w:rsid w:val="00694262"/>
    <w:rsid w:val="006A0FD5"/>
    <w:rsid w:val="006A7AAE"/>
    <w:rsid w:val="006C3E53"/>
    <w:rsid w:val="006C4075"/>
    <w:rsid w:val="006D34A1"/>
    <w:rsid w:val="006E44D7"/>
    <w:rsid w:val="006E7A83"/>
    <w:rsid w:val="006F77A3"/>
    <w:rsid w:val="007535C2"/>
    <w:rsid w:val="0077482E"/>
    <w:rsid w:val="00815225"/>
    <w:rsid w:val="00827A5D"/>
    <w:rsid w:val="00834801"/>
    <w:rsid w:val="00865D5F"/>
    <w:rsid w:val="008A4DEF"/>
    <w:rsid w:val="0092647C"/>
    <w:rsid w:val="0095557B"/>
    <w:rsid w:val="00A13D22"/>
    <w:rsid w:val="00A354BC"/>
    <w:rsid w:val="00A36C97"/>
    <w:rsid w:val="00A840FF"/>
    <w:rsid w:val="00AA1D8D"/>
    <w:rsid w:val="00AB2B89"/>
    <w:rsid w:val="00AB3133"/>
    <w:rsid w:val="00AC35E6"/>
    <w:rsid w:val="00B01C2F"/>
    <w:rsid w:val="00B27505"/>
    <w:rsid w:val="00B32E27"/>
    <w:rsid w:val="00B40D0B"/>
    <w:rsid w:val="00B45B55"/>
    <w:rsid w:val="00B46073"/>
    <w:rsid w:val="00B47730"/>
    <w:rsid w:val="00B47EB1"/>
    <w:rsid w:val="00B7398C"/>
    <w:rsid w:val="00B94B34"/>
    <w:rsid w:val="00BB04E7"/>
    <w:rsid w:val="00BE7273"/>
    <w:rsid w:val="00BF3280"/>
    <w:rsid w:val="00C1364C"/>
    <w:rsid w:val="00C55DBE"/>
    <w:rsid w:val="00C62544"/>
    <w:rsid w:val="00C64EF0"/>
    <w:rsid w:val="00CA7F76"/>
    <w:rsid w:val="00CB0664"/>
    <w:rsid w:val="00CD346E"/>
    <w:rsid w:val="00CE6E2B"/>
    <w:rsid w:val="00DA3299"/>
    <w:rsid w:val="00DB17B5"/>
    <w:rsid w:val="00DD3CFB"/>
    <w:rsid w:val="00DF5C9B"/>
    <w:rsid w:val="00E55942"/>
    <w:rsid w:val="00E63C12"/>
    <w:rsid w:val="00E96FE7"/>
    <w:rsid w:val="00ED66A2"/>
    <w:rsid w:val="00F46BF3"/>
    <w:rsid w:val="00F556B9"/>
    <w:rsid w:val="00F6119B"/>
    <w:rsid w:val="00F663A7"/>
    <w:rsid w:val="00F90DE7"/>
    <w:rsid w:val="00F917E9"/>
    <w:rsid w:val="00FB03BC"/>
    <w:rsid w:val="00FC18EA"/>
    <w:rsid w:val="00FC693F"/>
    <w:rsid w:val="00FE4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D5E5E"/>
  <w14:defaultImageDpi w14:val="300"/>
  <w15:docId w15:val="{1E13512B-2764-4184-8109-2E775AC47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6D3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28</Pages>
  <Words>19588</Words>
  <Characters>111657</Characters>
  <Application>Microsoft Office Word</Application>
  <DocSecurity>0</DocSecurity>
  <Lines>930</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Prakash Ukhalkar</cp:lastModifiedBy>
  <cp:revision>92</cp:revision>
  <dcterms:created xsi:type="dcterms:W3CDTF">2013-12-23T23:15:00Z</dcterms:created>
  <dcterms:modified xsi:type="dcterms:W3CDTF">2026-05-19T17:46:00Z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38d133f7-1a74-3635-9ee1-0137aceba406</vt:lpwstr>
  </property>
  <property fmtid="{D5CDD505-2E9C-101B-9397-08002B2CF9AE}" pid="24" name="Mendeley Citation Style_1">
    <vt:lpwstr>http://www.zotero.org/styles/apa</vt:lpwstr>
  </property>
</Properties>
</file>