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6.5.0 -->
  <w:body>
    <w:p w:rsidR="00974514" w:rsidRPr="00D7325E" w:rsidP="00AE68F2" w14:paraId="21DCC080" w14:textId="77777777">
      <w:pPr>
        <w:spacing w:line="276" w:lineRule="auto"/>
        <w:jc w:val="both"/>
        <w:rPr>
          <w:rFonts w:ascii="Times New Roman" w:hAnsi="Times New Roman" w:cs="Times New Roman"/>
          <w:lang w:val="en-US"/>
        </w:rPr>
      </w:pPr>
      <w:r w:rsidRPr="00D7325E">
        <w:rPr>
          <w:rFonts w:ascii="Times New Roman" w:hAnsi="Times New Roman" w:cs="Times New Roman"/>
          <w:lang w:val="en-US"/>
        </w:rPr>
        <w:t>Dear Editor,</w:t>
      </w:r>
    </w:p>
    <w:p w:rsidR="00F66038" w:rsidRPr="00D7325E" w:rsidP="002234FB" w14:paraId="2B787CD6" w14:textId="1DC984D2">
      <w:pPr>
        <w:spacing w:line="276" w:lineRule="auto"/>
        <w:jc w:val="both"/>
        <w:rPr>
          <w:rFonts w:ascii="Times New Roman" w:hAnsi="Times New Roman" w:cs="Times New Roman"/>
          <w:lang w:val="en-US"/>
        </w:rPr>
      </w:pPr>
      <w:r w:rsidRPr="00D7325E">
        <w:rPr>
          <w:rFonts w:ascii="Times New Roman" w:hAnsi="Times New Roman" w:cs="Times New Roman"/>
          <w:lang w:val="en-US"/>
        </w:rPr>
        <w:t xml:space="preserve">Please find comments on the </w:t>
      </w:r>
      <w:r w:rsidR="002234FB">
        <w:rPr>
          <w:rFonts w:ascii="Times New Roman" w:hAnsi="Times New Roman" w:cs="Times New Roman"/>
          <w:lang w:val="en-US"/>
        </w:rPr>
        <w:t xml:space="preserve">revised </w:t>
      </w:r>
      <w:r w:rsidRPr="00D7325E">
        <w:rPr>
          <w:rFonts w:ascii="Times New Roman" w:hAnsi="Times New Roman" w:cs="Times New Roman"/>
          <w:lang w:val="en-US"/>
        </w:rPr>
        <w:t xml:space="preserve">manuscript </w:t>
      </w:r>
      <w:r w:rsidRPr="002234FB" w:rsidR="002234FB">
        <w:rPr>
          <w:rFonts w:ascii="Times New Roman" w:hAnsi="Times New Roman" w:cs="Times New Roman"/>
          <w:lang w:val="en-US"/>
        </w:rPr>
        <w:t>NCAA-D-26-02775_R1</w:t>
      </w:r>
      <w:r w:rsidR="002234FB">
        <w:rPr>
          <w:rFonts w:ascii="Times New Roman" w:hAnsi="Times New Roman" w:cs="Times New Roman"/>
          <w:lang w:val="en-US"/>
        </w:rPr>
        <w:t xml:space="preserve"> </w:t>
      </w:r>
      <w:r w:rsidRPr="00D7325E">
        <w:rPr>
          <w:rFonts w:ascii="Times New Roman" w:hAnsi="Times New Roman" w:cs="Times New Roman"/>
          <w:lang w:val="en-US"/>
        </w:rPr>
        <w:t xml:space="preserve">entitled </w:t>
      </w:r>
      <w:r w:rsidR="005947D4">
        <w:rPr>
          <w:rFonts w:ascii="Times New Roman" w:hAnsi="Times New Roman" w:cs="Times New Roman"/>
          <w:lang w:val="en-US"/>
        </w:rPr>
        <w:t>“</w:t>
      </w:r>
      <w:r w:rsidRPr="002234FB" w:rsidR="002234FB">
        <w:rPr>
          <w:rFonts w:ascii="Times New Roman" w:hAnsi="Times New Roman" w:cs="Times New Roman"/>
          <w:lang w:val="en-US"/>
        </w:rPr>
        <w:t>India VIX Regime-Conditional Directional Prediction of Bank Nifty: A Stacking</w:t>
      </w:r>
      <w:r w:rsidR="002234FB">
        <w:rPr>
          <w:rFonts w:ascii="Times New Roman" w:hAnsi="Times New Roman" w:cs="Times New Roman"/>
          <w:lang w:val="en-US"/>
        </w:rPr>
        <w:t xml:space="preserve"> </w:t>
      </w:r>
      <w:r w:rsidRPr="002234FB" w:rsidR="002234FB">
        <w:rPr>
          <w:rFonts w:ascii="Times New Roman" w:hAnsi="Times New Roman" w:cs="Times New Roman"/>
          <w:lang w:val="en-US"/>
        </w:rPr>
        <w:t>Ensemble Approach</w:t>
      </w:r>
      <w:r w:rsidR="005947D4">
        <w:rPr>
          <w:rFonts w:ascii="Times New Roman" w:hAnsi="Times New Roman" w:cs="Times New Roman"/>
          <w:lang w:val="en-US"/>
        </w:rPr>
        <w:t>”</w:t>
      </w:r>
      <w:r w:rsidRPr="00D7325E">
        <w:rPr>
          <w:rFonts w:ascii="Times New Roman" w:hAnsi="Times New Roman" w:cs="Times New Roman"/>
          <w:lang w:val="en-US"/>
        </w:rPr>
        <w:t xml:space="preserve"> for </w:t>
      </w:r>
      <w:r w:rsidR="007B06F0">
        <w:rPr>
          <w:rFonts w:ascii="Times New Roman" w:hAnsi="Times New Roman" w:cs="Times New Roman"/>
          <w:lang w:val="en-US"/>
        </w:rPr>
        <w:t xml:space="preserve">the </w:t>
      </w:r>
      <w:r w:rsidRPr="00EF6146" w:rsidR="00EF6146">
        <w:rPr>
          <w:rFonts w:ascii="Times New Roman" w:hAnsi="Times New Roman" w:cs="Times New Roman"/>
          <w:lang w:val="en-US"/>
        </w:rPr>
        <w:t>Neural Computing and Applications</w:t>
      </w:r>
      <w:r w:rsidRPr="00D7325E">
        <w:rPr>
          <w:rFonts w:ascii="Times New Roman" w:hAnsi="Times New Roman" w:cs="Times New Roman"/>
          <w:lang w:val="en-US"/>
        </w:rPr>
        <w:t>.</w:t>
      </w:r>
    </w:p>
    <w:p w:rsidR="008B4479" w:rsidP="00AE68F2" w14:paraId="3BBD3A0E" w14:textId="4FBAB637">
      <w:pPr>
        <w:spacing w:line="276" w:lineRule="auto"/>
        <w:jc w:val="both"/>
        <w:rPr>
          <w:rFonts w:ascii="Times New Roman" w:hAnsi="Times New Roman" w:cs="Times New Roman"/>
          <w:lang w:val="en-US"/>
        </w:rPr>
      </w:pPr>
      <w:r w:rsidRPr="00D7325E">
        <w:rPr>
          <w:rFonts w:ascii="Times New Roman" w:hAnsi="Times New Roman" w:cs="Times New Roman"/>
          <w:lang w:val="en-US"/>
        </w:rPr>
        <w:t>Sincerely</w:t>
      </w:r>
    </w:p>
    <w:p w:rsidR="007B06F0" w:rsidP="005947D4" w14:paraId="7404B54A" w14:textId="0C521F85">
      <w:pPr>
        <w:spacing w:line="276" w:lineRule="auto"/>
        <w:jc w:val="both"/>
        <w:rPr>
          <w:rFonts w:ascii="Times New Roman" w:hAnsi="Times New Roman" w:cs="Times New Roman"/>
          <w:lang w:val="en-US"/>
        </w:rPr>
      </w:pPr>
      <w:r w:rsidRPr="00407CA7">
        <w:rPr>
          <w:rFonts w:ascii="Times New Roman" w:hAnsi="Times New Roman" w:cs="Times New Roman"/>
          <w:lang w:val="en-US"/>
        </w:rPr>
        <w:t xml:space="preserve">In this study, the authors propose a two-level stacking ensemble model based on </w:t>
      </w:r>
      <w:r w:rsidRPr="00407CA7">
        <w:rPr>
          <w:rFonts w:ascii="Times New Roman" w:hAnsi="Times New Roman" w:cs="Times New Roman"/>
          <w:lang w:val="en-US"/>
        </w:rPr>
        <w:t>XGBoost</w:t>
      </w:r>
      <w:r w:rsidRPr="00407CA7">
        <w:rPr>
          <w:rFonts w:ascii="Times New Roman" w:hAnsi="Times New Roman" w:cs="Times New Roman"/>
          <w:lang w:val="en-US"/>
        </w:rPr>
        <w:t xml:space="preserve">, </w:t>
      </w:r>
      <w:r w:rsidRPr="00407CA7">
        <w:rPr>
          <w:rFonts w:ascii="Times New Roman" w:hAnsi="Times New Roman" w:cs="Times New Roman"/>
          <w:lang w:val="en-US"/>
        </w:rPr>
        <w:t>LightGBM</w:t>
      </w:r>
      <w:r w:rsidRPr="00407CA7">
        <w:rPr>
          <w:rFonts w:ascii="Times New Roman" w:hAnsi="Times New Roman" w:cs="Times New Roman"/>
          <w:lang w:val="en-US"/>
        </w:rPr>
        <w:t xml:space="preserve">, Random Forest, </w:t>
      </w:r>
      <w:r w:rsidRPr="00407CA7">
        <w:rPr>
          <w:rFonts w:ascii="Times New Roman" w:hAnsi="Times New Roman" w:cs="Times New Roman"/>
          <w:lang w:val="en-US"/>
        </w:rPr>
        <w:t>CatBoost</w:t>
      </w:r>
      <w:r w:rsidRPr="00407CA7">
        <w:rPr>
          <w:rFonts w:ascii="Times New Roman" w:hAnsi="Times New Roman" w:cs="Times New Roman"/>
          <w:lang w:val="en-US"/>
        </w:rPr>
        <w:t xml:space="preserve">, and </w:t>
      </w:r>
      <w:r w:rsidRPr="00407CA7">
        <w:rPr>
          <w:rFonts w:ascii="Times New Roman" w:hAnsi="Times New Roman" w:cs="Times New Roman"/>
          <w:lang w:val="en-US"/>
        </w:rPr>
        <w:t>BiLSTM</w:t>
      </w:r>
      <w:r w:rsidRPr="00407CA7">
        <w:rPr>
          <w:rFonts w:ascii="Times New Roman" w:hAnsi="Times New Roman" w:cs="Times New Roman"/>
          <w:lang w:val="en-US"/>
        </w:rPr>
        <w:t xml:space="preserve"> </w:t>
      </w:r>
      <w:r>
        <w:rPr>
          <w:rFonts w:ascii="Times New Roman" w:hAnsi="Times New Roman" w:cs="Times New Roman"/>
          <w:lang w:val="en-US"/>
        </w:rPr>
        <w:t>to predict the direction of the Bank Nifty index and to examine the extent to which the model’s</w:t>
      </w:r>
      <w:r w:rsidRPr="00407CA7">
        <w:rPr>
          <w:rFonts w:ascii="Times New Roman" w:hAnsi="Times New Roman" w:cs="Times New Roman"/>
          <w:lang w:val="en-US"/>
        </w:rPr>
        <w:t xml:space="preserve"> outputs become reliable under the India VIX regime. The main claim of the study is that, despite the limited overall test performance of the model, it produces significantly higher accuracy in the High-VIX regime over a 21-day trading horizon, and that this finding, when translated to a selective long-only trading strategy, offers a more advantageous decision support filter in terms of Sharpe ratio and maximum decline. The article is current in its subject matter, interesting from a </w:t>
      </w:r>
      <w:r>
        <w:rPr>
          <w:rFonts w:ascii="Times New Roman" w:hAnsi="Times New Roman" w:cs="Times New Roman"/>
          <w:lang w:val="en-US"/>
        </w:rPr>
        <w:t>decision-support system perspective, and has the potential to contribute to the literature by focusing not only on raw prediction success but also on the market conditions under</w:t>
      </w:r>
      <w:r w:rsidRPr="00407CA7">
        <w:rPr>
          <w:rFonts w:ascii="Times New Roman" w:hAnsi="Times New Roman" w:cs="Times New Roman"/>
          <w:lang w:val="en-US"/>
        </w:rPr>
        <w:t xml:space="preserve"> which the model can be used. However, in its current form, some methodological and reporting points directly affect the strength of the results and require revision.</w:t>
      </w:r>
    </w:p>
    <w:p w:rsidR="00407CA7" w:rsidRPr="00407CA7" w:rsidP="00407CA7" w14:paraId="48676640" w14:textId="590E6E65">
      <w:pPr>
        <w:spacing w:line="276" w:lineRule="auto"/>
        <w:jc w:val="both"/>
        <w:rPr>
          <w:rFonts w:ascii="Times New Roman" w:hAnsi="Times New Roman" w:cs="Times New Roman"/>
          <w:lang w:val="en-US"/>
        </w:rPr>
      </w:pPr>
      <w:r w:rsidRPr="00407CA7">
        <w:rPr>
          <w:rFonts w:ascii="Times New Roman" w:hAnsi="Times New Roman" w:cs="Times New Roman"/>
          <w:lang w:val="en-US"/>
        </w:rPr>
        <w:t xml:space="preserve">1. Calculating the High-VIX threshold (15.08) directly from the distribution of the </w:t>
      </w:r>
      <w:r w:rsidRPr="00407CA7">
        <w:rPr>
          <w:rFonts w:ascii="Times New Roman" w:hAnsi="Times New Roman" w:cs="Times New Roman"/>
          <w:lang w:val="en-US"/>
        </w:rPr>
        <w:t>test</w:t>
      </w:r>
      <w:r w:rsidRPr="00407CA7">
        <w:rPr>
          <w:rFonts w:ascii="Times New Roman" w:hAnsi="Times New Roman" w:cs="Times New Roman"/>
          <w:lang w:val="en-US"/>
        </w:rPr>
        <w:t xml:space="preserve"> itself is a methodological error (</w:t>
      </w:r>
      <w:r w:rsidRPr="00407CA7">
        <w:rPr>
          <w:rFonts w:ascii="Times New Roman" w:hAnsi="Times New Roman" w:cs="Times New Roman"/>
          <w:i/>
          <w:iCs/>
          <w:lang w:val="en-US"/>
        </w:rPr>
        <w:t>p</w:t>
      </w:r>
      <w:r w:rsidRPr="00407CA7">
        <w:rPr>
          <w:rFonts w:ascii="Times New Roman" w:hAnsi="Times New Roman" w:cs="Times New Roman"/>
          <w:vertAlign w:val="subscript"/>
          <w:lang w:val="en-US"/>
        </w:rPr>
        <w:t>75</w:t>
      </w:r>
      <w:r w:rsidRPr="00407CA7">
        <w:rPr>
          <w:rFonts w:ascii="Times New Roman" w:hAnsi="Times New Roman" w:cs="Times New Roman"/>
          <w:lang w:val="en-US"/>
        </w:rPr>
        <w:t>). A real-time (live deployment) system cannot access the previously unknown distribution of test data. This threshold should be calibrated using rolling or expanding window methods based on historical training/validation data.</w:t>
      </w:r>
    </w:p>
    <w:p w:rsidR="00407CA7" w:rsidRPr="00407CA7" w:rsidP="00407CA7" w14:paraId="11661C6D" w14:textId="7925C9D1">
      <w:pPr>
        <w:spacing w:line="276" w:lineRule="auto"/>
        <w:jc w:val="both"/>
        <w:rPr>
          <w:rFonts w:ascii="Times New Roman" w:hAnsi="Times New Roman" w:cs="Times New Roman"/>
          <w:lang w:val="en-US"/>
        </w:rPr>
      </w:pPr>
      <w:r w:rsidRPr="00407CA7">
        <w:rPr>
          <w:rFonts w:ascii="Times New Roman" w:hAnsi="Times New Roman" w:cs="Times New Roman"/>
          <w:lang w:val="en-US"/>
        </w:rPr>
        <w:t xml:space="preserve">2. Due to the 21-day forecast horizon, consecutive daily observations overlap significantly. This leads to strong serial correlation in the data, artificially inflating </w:t>
      </w:r>
      <w:r>
        <w:rPr>
          <w:rFonts w:ascii="Times New Roman" w:hAnsi="Times New Roman" w:cs="Times New Roman"/>
          <w:lang w:val="en-US"/>
        </w:rPr>
        <w:t xml:space="preserve">the p-values from </w:t>
      </w:r>
      <w:r w:rsidRPr="00407CA7">
        <w:rPr>
          <w:rFonts w:ascii="Times New Roman" w:hAnsi="Times New Roman" w:cs="Times New Roman"/>
          <w:lang w:val="en-US"/>
        </w:rPr>
        <w:t>Fisher</w:t>
      </w:r>
      <w:r>
        <w:rPr>
          <w:rFonts w:ascii="Times New Roman" w:hAnsi="Times New Roman" w:cs="Times New Roman"/>
          <w:lang w:val="en-US"/>
        </w:rPr>
        <w:t>’</w:t>
      </w:r>
      <w:r w:rsidRPr="00407CA7">
        <w:rPr>
          <w:rFonts w:ascii="Times New Roman" w:hAnsi="Times New Roman" w:cs="Times New Roman"/>
          <w:lang w:val="en-US"/>
        </w:rPr>
        <w:t xml:space="preserve">s exact test, bootstrap confidence intervals, and accuracy differences. The authors should use non-overlapping sampling, block </w:t>
      </w:r>
      <w:r w:rsidRPr="00407CA7">
        <w:rPr>
          <w:rFonts w:ascii="Times New Roman" w:hAnsi="Times New Roman" w:cs="Times New Roman"/>
          <w:lang w:val="en-US"/>
        </w:rPr>
        <w:t>bootstraps</w:t>
      </w:r>
      <w:r w:rsidRPr="00407CA7">
        <w:rPr>
          <w:rFonts w:ascii="Times New Roman" w:hAnsi="Times New Roman" w:cs="Times New Roman"/>
          <w:lang w:val="en-US"/>
        </w:rPr>
        <w:t>, or Newey-West/HAC correction.</w:t>
      </w:r>
    </w:p>
    <w:p w:rsidR="00407CA7" w:rsidRPr="00407CA7" w:rsidP="00407CA7" w14:paraId="34D25FAD" w14:textId="4DCE9547">
      <w:pPr>
        <w:spacing w:line="276" w:lineRule="auto"/>
        <w:jc w:val="both"/>
        <w:rPr>
          <w:rFonts w:ascii="Times New Roman" w:hAnsi="Times New Roman" w:cs="Times New Roman"/>
          <w:lang w:val="en-US"/>
        </w:rPr>
      </w:pPr>
      <w:r w:rsidRPr="00407CA7">
        <w:rPr>
          <w:rFonts w:ascii="Times New Roman" w:hAnsi="Times New Roman" w:cs="Times New Roman"/>
          <w:lang w:val="en-US"/>
        </w:rPr>
        <w:t>3. As acknowledged in the report, all 58 High-VIX days are clustered during the budget and US tariff shock period in the first half of 2025. This makes it unclear whether the model</w:t>
      </w:r>
      <w:r>
        <w:rPr>
          <w:rFonts w:ascii="Times New Roman" w:hAnsi="Times New Roman" w:cs="Times New Roman"/>
          <w:lang w:val="en-US"/>
        </w:rPr>
        <w:t>’</w:t>
      </w:r>
      <w:r w:rsidRPr="00407CA7">
        <w:rPr>
          <w:rFonts w:ascii="Times New Roman" w:hAnsi="Times New Roman" w:cs="Times New Roman"/>
          <w:lang w:val="en-US"/>
        </w:rPr>
        <w:t>s success stems from a general regime-based phenomenon or from this specific market event. Cross-validation or walk-forward tests covering independent High-VIX periods from different years should be added to ensure the reliability of the results.</w:t>
      </w:r>
    </w:p>
    <w:p w:rsidR="00407CA7" w:rsidRPr="00407CA7" w:rsidP="00407CA7" w14:paraId="6774AE28" w14:textId="4BBF0A93">
      <w:pPr>
        <w:spacing w:line="276" w:lineRule="auto"/>
        <w:jc w:val="both"/>
        <w:rPr>
          <w:rFonts w:ascii="Times New Roman" w:hAnsi="Times New Roman" w:cs="Times New Roman"/>
          <w:lang w:val="en-US"/>
        </w:rPr>
      </w:pPr>
      <w:r>
        <w:rPr>
          <w:rFonts w:ascii="Times New Roman" w:hAnsi="Times New Roman" w:cs="Times New Roman"/>
          <w:lang w:val="en-US"/>
        </w:rPr>
        <w:t xml:space="preserve">4. </w:t>
      </w:r>
      <w:r w:rsidRPr="00407CA7">
        <w:rPr>
          <w:rFonts w:ascii="Times New Roman" w:hAnsi="Times New Roman" w:cs="Times New Roman"/>
          <w:lang w:val="en-US"/>
        </w:rPr>
        <w:t xml:space="preserve">Table 9 in Section 6.1 clearly shows that the Sharpe ratio of the High-VIX + Up strategy drops to 1.936 under a </w:t>
      </w:r>
      <w:r w:rsidRPr="00407CA7">
        <w:rPr>
          <w:rFonts w:ascii="Times New Roman" w:hAnsi="Times New Roman" w:cs="Times New Roman"/>
          <w:lang w:val="en-US"/>
        </w:rPr>
        <w:t>50-bps</w:t>
      </w:r>
      <w:r w:rsidRPr="00407CA7">
        <w:rPr>
          <w:rFonts w:ascii="Times New Roman" w:hAnsi="Times New Roman" w:cs="Times New Roman"/>
          <w:lang w:val="en-US"/>
        </w:rPr>
        <w:t xml:space="preserve"> round-trip transaction cost, falling below the buy-and-hold benchmark (1.963). However, the text claims the strategy remains above the benchmark at every cost level. This factual error should be corrected, and it should be stated that the Sharpe advantage disappears at a </w:t>
      </w:r>
      <w:r>
        <w:rPr>
          <w:rFonts w:ascii="Times New Roman" w:hAnsi="Times New Roman" w:cs="Times New Roman"/>
          <w:lang w:val="en-US"/>
        </w:rPr>
        <w:t>50-bps cost</w:t>
      </w:r>
      <w:r w:rsidRPr="00407CA7">
        <w:rPr>
          <w:rFonts w:ascii="Times New Roman" w:hAnsi="Times New Roman" w:cs="Times New Roman"/>
          <w:lang w:val="en-US"/>
        </w:rPr>
        <w:t>.</w:t>
      </w:r>
    </w:p>
    <w:p w:rsidR="00407CA7" w:rsidRPr="00407CA7" w:rsidP="00407CA7" w14:paraId="024A16FE" w14:textId="4B3EF6A5">
      <w:pPr>
        <w:spacing w:line="276" w:lineRule="auto"/>
        <w:jc w:val="both"/>
        <w:rPr>
          <w:rFonts w:ascii="Times New Roman" w:hAnsi="Times New Roman" w:cs="Times New Roman"/>
          <w:lang w:val="en-US"/>
        </w:rPr>
      </w:pPr>
      <w:r w:rsidRPr="00407CA7">
        <w:rPr>
          <w:rFonts w:ascii="Times New Roman" w:hAnsi="Times New Roman" w:cs="Times New Roman"/>
          <w:lang w:val="en-US"/>
        </w:rPr>
        <w:t>5. The decision support model states that the India VIX and Bank Nifty closing prices are traded simultaneously. Generating a trading signal before the closing prices are finalized creates look-ahead bias. The exact minute the signal is generated, whether execution is based on the next day</w:t>
      </w:r>
      <w:r>
        <w:rPr>
          <w:rFonts w:ascii="Times New Roman" w:hAnsi="Times New Roman" w:cs="Times New Roman"/>
          <w:lang w:val="en-US"/>
        </w:rPr>
        <w:t>’</w:t>
      </w:r>
      <w:r w:rsidRPr="00407CA7">
        <w:rPr>
          <w:rFonts w:ascii="Times New Roman" w:hAnsi="Times New Roman" w:cs="Times New Roman"/>
          <w:lang w:val="en-US"/>
        </w:rPr>
        <w:t>s opening or the same day</w:t>
      </w:r>
      <w:r>
        <w:rPr>
          <w:rFonts w:ascii="Times New Roman" w:hAnsi="Times New Roman" w:cs="Times New Roman"/>
          <w:lang w:val="en-US"/>
        </w:rPr>
        <w:t>’</w:t>
      </w:r>
      <w:r w:rsidRPr="00407CA7">
        <w:rPr>
          <w:rFonts w:ascii="Times New Roman" w:hAnsi="Times New Roman" w:cs="Times New Roman"/>
          <w:lang w:val="en-US"/>
        </w:rPr>
        <w:t>s closing, and how overlapping signals are managed in the portfolio should be clarified.</w:t>
      </w:r>
    </w:p>
    <w:p w:rsidR="00407CA7" w:rsidRPr="00407CA7" w:rsidP="00407CA7" w14:paraId="6C1889E4" w14:textId="356A04C9">
      <w:pPr>
        <w:spacing w:line="276" w:lineRule="auto"/>
        <w:jc w:val="both"/>
        <w:rPr>
          <w:rFonts w:ascii="Times New Roman" w:hAnsi="Times New Roman" w:cs="Times New Roman"/>
          <w:lang w:val="en-US"/>
        </w:rPr>
      </w:pPr>
      <w:r w:rsidRPr="00407CA7">
        <w:rPr>
          <w:rFonts w:ascii="Times New Roman" w:hAnsi="Times New Roman" w:cs="Times New Roman"/>
          <w:lang w:val="en-US"/>
        </w:rPr>
        <w:t xml:space="preserve">6. In the test set, the unconditioned </w:t>
      </w:r>
      <w:r>
        <w:rPr>
          <w:rFonts w:ascii="Times New Roman" w:hAnsi="Times New Roman" w:cs="Times New Roman"/>
          <w:lang w:val="en-US"/>
        </w:rPr>
        <w:t>model’s</w:t>
      </w:r>
      <w:r w:rsidRPr="00407CA7">
        <w:rPr>
          <w:rFonts w:ascii="Times New Roman" w:hAnsi="Times New Roman" w:cs="Times New Roman"/>
          <w:lang w:val="en-US"/>
        </w:rPr>
        <w:t xml:space="preserve"> success (61.01%) is significantly lower than the naive majority baseline (68.95%) due to the strong bullish trend. To assess the quality of the high success rate of 84.5% in the high-VIX regime, the majority rate in this subset, along with the model</w:t>
      </w:r>
      <w:r>
        <w:rPr>
          <w:rFonts w:ascii="Times New Roman" w:hAnsi="Times New Roman" w:cs="Times New Roman"/>
          <w:lang w:val="en-US"/>
        </w:rPr>
        <w:t>’</w:t>
      </w:r>
      <w:r w:rsidRPr="00407CA7">
        <w:rPr>
          <w:rFonts w:ascii="Times New Roman" w:hAnsi="Times New Roman" w:cs="Times New Roman"/>
          <w:lang w:val="en-US"/>
        </w:rPr>
        <w:t>s precision and recall values, should be presented as class-stratified metrics. Otherwise, it is unclear whether the success is due to directional predictive power or a local class imbalance.</w:t>
      </w:r>
    </w:p>
    <w:p w:rsidR="00407CA7" w:rsidRPr="00D7325E" w:rsidP="005947D4" w14:paraId="1542C64A" w14:textId="4988F3BA">
      <w:pPr>
        <w:spacing w:line="276" w:lineRule="auto"/>
        <w:jc w:val="both"/>
        <w:rPr>
          <w:rFonts w:ascii="Times New Roman" w:hAnsi="Times New Roman" w:cs="Times New Roman"/>
          <w:lang w:val="en-US"/>
        </w:rPr>
      </w:pPr>
      <w:r w:rsidRPr="00407CA7">
        <w:rPr>
          <w:rFonts w:ascii="Times New Roman" w:hAnsi="Times New Roman" w:cs="Times New Roman"/>
          <w:lang w:val="en-US"/>
        </w:rPr>
        <w:t xml:space="preserve">7. The final parameter sets, time series cross-validation fold structures, and chronological details of out-of-fold probability generation for </w:t>
      </w:r>
      <w:r w:rsidRPr="00407CA7">
        <w:rPr>
          <w:rFonts w:ascii="Times New Roman" w:hAnsi="Times New Roman" w:cs="Times New Roman"/>
          <w:lang w:val="en-US"/>
        </w:rPr>
        <w:t>Optuna</w:t>
      </w:r>
      <w:r w:rsidRPr="00407CA7">
        <w:rPr>
          <w:rFonts w:ascii="Times New Roman" w:hAnsi="Times New Roman" w:cs="Times New Roman"/>
          <w:lang w:val="en-US"/>
        </w:rPr>
        <w:t>-based hyperparameter optimization are missing. Furthermore, the reference list contains completely incorrect or irrelevant DOI addresses for critical sources such as Hamilton (1989) and Lundberg &amp; Lee (2017). These academic shortcomings should be addressed.</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A2"/>
    <w:family w:val="swiss"/>
    <w:pitch w:val="variable"/>
    <w:sig w:usb0="E0002EFF" w:usb1="C000785B" w:usb2="00000009" w:usb3="00000000" w:csb0="000001FF" w:csb1="00000000"/>
  </w:font>
  <w:font w:name="DengXian-Bold">
    <w:altName w:val="DengXi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26C2550"/>
    <w:multiLevelType w:val="multilevel"/>
    <w:tmpl w:val="5D9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E66"/>
    <w:multiLevelType w:val="multilevel"/>
    <w:tmpl w:val="AEE63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4B49"/>
    <w:multiLevelType w:val="multilevel"/>
    <w:tmpl w:val="CEFE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7275"/>
    <w:multiLevelType w:val="multilevel"/>
    <w:tmpl w:val="9E4A1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72CB"/>
    <w:multiLevelType w:val="multilevel"/>
    <w:tmpl w:val="58D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02384"/>
    <w:multiLevelType w:val="hybridMultilevel"/>
    <w:tmpl w:val="8F22A53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D3A0F13"/>
    <w:multiLevelType w:val="multilevel"/>
    <w:tmpl w:val="0C7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621ED"/>
    <w:multiLevelType w:val="hybridMultilevel"/>
    <w:tmpl w:val="E20681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124515F"/>
    <w:multiLevelType w:val="multilevel"/>
    <w:tmpl w:val="FDE26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63613"/>
    <w:multiLevelType w:val="multilevel"/>
    <w:tmpl w:val="7E561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E6E07"/>
    <w:multiLevelType w:val="multilevel"/>
    <w:tmpl w:val="8F2C1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6650A"/>
    <w:multiLevelType w:val="multilevel"/>
    <w:tmpl w:val="00F6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D02FF"/>
    <w:multiLevelType w:val="multilevel"/>
    <w:tmpl w:val="56A8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B58E2"/>
    <w:multiLevelType w:val="multilevel"/>
    <w:tmpl w:val="17F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D49E7"/>
    <w:multiLevelType w:val="multilevel"/>
    <w:tmpl w:val="AAD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C41D1"/>
    <w:multiLevelType w:val="multilevel"/>
    <w:tmpl w:val="783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F366A"/>
    <w:multiLevelType w:val="hybridMultilevel"/>
    <w:tmpl w:val="C57800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1FC66B7"/>
    <w:multiLevelType w:val="multilevel"/>
    <w:tmpl w:val="8DDE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831D3"/>
    <w:multiLevelType w:val="multilevel"/>
    <w:tmpl w:val="5C06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D31B0"/>
    <w:multiLevelType w:val="multilevel"/>
    <w:tmpl w:val="D564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F1A64"/>
    <w:multiLevelType w:val="multilevel"/>
    <w:tmpl w:val="4126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31488"/>
    <w:multiLevelType w:val="multilevel"/>
    <w:tmpl w:val="C460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D26D2"/>
    <w:multiLevelType w:val="multilevel"/>
    <w:tmpl w:val="20E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D261B"/>
    <w:multiLevelType w:val="multilevel"/>
    <w:tmpl w:val="157C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C1937"/>
    <w:multiLevelType w:val="multilevel"/>
    <w:tmpl w:val="26667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E1A78"/>
    <w:multiLevelType w:val="multilevel"/>
    <w:tmpl w:val="31EE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839BB"/>
    <w:multiLevelType w:val="multilevel"/>
    <w:tmpl w:val="178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D196F"/>
    <w:multiLevelType w:val="multilevel"/>
    <w:tmpl w:val="D906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B0146"/>
    <w:multiLevelType w:val="multilevel"/>
    <w:tmpl w:val="255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B506A"/>
    <w:multiLevelType w:val="multilevel"/>
    <w:tmpl w:val="6F1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B15F1"/>
    <w:multiLevelType w:val="multilevel"/>
    <w:tmpl w:val="E8D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C26F4"/>
    <w:multiLevelType w:val="multilevel"/>
    <w:tmpl w:val="107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25614"/>
    <w:multiLevelType w:val="multilevel"/>
    <w:tmpl w:val="1D92E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C50E9"/>
    <w:multiLevelType w:val="multilevel"/>
    <w:tmpl w:val="9804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860A2"/>
    <w:multiLevelType w:val="multilevel"/>
    <w:tmpl w:val="DFC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B7B89"/>
    <w:multiLevelType w:val="multilevel"/>
    <w:tmpl w:val="39D07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40C7E"/>
    <w:multiLevelType w:val="multilevel"/>
    <w:tmpl w:val="FBDC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AE5311"/>
    <w:multiLevelType w:val="multilevel"/>
    <w:tmpl w:val="D22EE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CE0B28"/>
    <w:multiLevelType w:val="multilevel"/>
    <w:tmpl w:val="579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949A1"/>
    <w:multiLevelType w:val="multilevel"/>
    <w:tmpl w:val="E6D87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C61B4"/>
    <w:multiLevelType w:val="multilevel"/>
    <w:tmpl w:val="F33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74294"/>
    <w:multiLevelType w:val="multilevel"/>
    <w:tmpl w:val="C8B0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06C47"/>
    <w:multiLevelType w:val="multilevel"/>
    <w:tmpl w:val="7E6C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D73AF"/>
    <w:multiLevelType w:val="multilevel"/>
    <w:tmpl w:val="C8C6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90DCC"/>
    <w:multiLevelType w:val="multilevel"/>
    <w:tmpl w:val="EB72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93421"/>
    <w:multiLevelType w:val="multilevel"/>
    <w:tmpl w:val="0D26E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8B5013"/>
    <w:multiLevelType w:val="multilevel"/>
    <w:tmpl w:val="582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667842">
    <w:abstractNumId w:val="38"/>
  </w:num>
  <w:num w:numId="2" w16cid:durableId="1604915972">
    <w:abstractNumId w:val="11"/>
  </w:num>
  <w:num w:numId="3" w16cid:durableId="476533278">
    <w:abstractNumId w:val="22"/>
  </w:num>
  <w:num w:numId="4" w16cid:durableId="269121117">
    <w:abstractNumId w:val="13"/>
  </w:num>
  <w:num w:numId="5" w16cid:durableId="1122381396">
    <w:abstractNumId w:val="5"/>
  </w:num>
  <w:num w:numId="6" w16cid:durableId="1647664495">
    <w:abstractNumId w:val="12"/>
  </w:num>
  <w:num w:numId="7" w16cid:durableId="627706229">
    <w:abstractNumId w:val="45"/>
  </w:num>
  <w:num w:numId="8" w16cid:durableId="932740575">
    <w:abstractNumId w:val="39"/>
  </w:num>
  <w:num w:numId="9" w16cid:durableId="248344330">
    <w:abstractNumId w:val="17"/>
  </w:num>
  <w:num w:numId="10" w16cid:durableId="1450398246">
    <w:abstractNumId w:val="18"/>
  </w:num>
  <w:num w:numId="11" w16cid:durableId="1409035946">
    <w:abstractNumId w:val="23"/>
  </w:num>
  <w:num w:numId="12" w16cid:durableId="1664704054">
    <w:abstractNumId w:val="36"/>
  </w:num>
  <w:num w:numId="13" w16cid:durableId="1299186026">
    <w:abstractNumId w:val="7"/>
  </w:num>
  <w:num w:numId="14" w16cid:durableId="32120250">
    <w:abstractNumId w:val="16"/>
  </w:num>
  <w:num w:numId="15" w16cid:durableId="1578519546">
    <w:abstractNumId w:val="35"/>
  </w:num>
  <w:num w:numId="16" w16cid:durableId="1896772557">
    <w:abstractNumId w:val="43"/>
  </w:num>
  <w:num w:numId="17" w16cid:durableId="1869101191">
    <w:abstractNumId w:val="33"/>
  </w:num>
  <w:num w:numId="18" w16cid:durableId="5209235">
    <w:abstractNumId w:val="32"/>
  </w:num>
  <w:num w:numId="19" w16cid:durableId="1220290937">
    <w:abstractNumId w:val="41"/>
  </w:num>
  <w:num w:numId="20" w16cid:durableId="1915815866">
    <w:abstractNumId w:val="21"/>
  </w:num>
  <w:num w:numId="21" w16cid:durableId="1607422590">
    <w:abstractNumId w:val="8"/>
  </w:num>
  <w:num w:numId="22" w16cid:durableId="1226799808">
    <w:abstractNumId w:val="1"/>
  </w:num>
  <w:num w:numId="23" w16cid:durableId="2041122697">
    <w:abstractNumId w:val="2"/>
  </w:num>
  <w:num w:numId="24" w16cid:durableId="1894197119">
    <w:abstractNumId w:val="24"/>
  </w:num>
  <w:num w:numId="25" w16cid:durableId="280235592">
    <w:abstractNumId w:val="44"/>
  </w:num>
  <w:num w:numId="26" w16cid:durableId="1760633733">
    <w:abstractNumId w:val="3"/>
  </w:num>
  <w:num w:numId="27" w16cid:durableId="1562329143">
    <w:abstractNumId w:val="42"/>
  </w:num>
  <w:num w:numId="28" w16cid:durableId="1913586268">
    <w:abstractNumId w:val="27"/>
  </w:num>
  <w:num w:numId="29" w16cid:durableId="1822193647">
    <w:abstractNumId w:val="20"/>
  </w:num>
  <w:num w:numId="30" w16cid:durableId="614950334">
    <w:abstractNumId w:val="14"/>
  </w:num>
  <w:num w:numId="31" w16cid:durableId="1405910356">
    <w:abstractNumId w:val="4"/>
  </w:num>
  <w:num w:numId="32" w16cid:durableId="2021421502">
    <w:abstractNumId w:val="40"/>
  </w:num>
  <w:num w:numId="33" w16cid:durableId="1792244152">
    <w:abstractNumId w:val="30"/>
  </w:num>
  <w:num w:numId="34" w16cid:durableId="1093893253">
    <w:abstractNumId w:val="34"/>
  </w:num>
  <w:num w:numId="35" w16cid:durableId="1589273367">
    <w:abstractNumId w:val="31"/>
  </w:num>
  <w:num w:numId="36" w16cid:durableId="1587029525">
    <w:abstractNumId w:val="26"/>
  </w:num>
  <w:num w:numId="37" w16cid:durableId="1217352030">
    <w:abstractNumId w:val="15"/>
  </w:num>
  <w:num w:numId="38" w16cid:durableId="1221787795">
    <w:abstractNumId w:val="29"/>
  </w:num>
  <w:num w:numId="39" w16cid:durableId="679041343">
    <w:abstractNumId w:val="28"/>
  </w:num>
  <w:num w:numId="40" w16cid:durableId="1302229489">
    <w:abstractNumId w:val="46"/>
  </w:num>
  <w:num w:numId="41" w16cid:durableId="1117213946">
    <w:abstractNumId w:val="6"/>
  </w:num>
  <w:num w:numId="42" w16cid:durableId="1531063812">
    <w:abstractNumId w:val="25"/>
  </w:num>
  <w:num w:numId="43" w16cid:durableId="1375082080">
    <w:abstractNumId w:val="0"/>
  </w:num>
  <w:num w:numId="44" w16cid:durableId="897521209">
    <w:abstractNumId w:val="9"/>
  </w:num>
  <w:num w:numId="45" w16cid:durableId="1436635661">
    <w:abstractNumId w:val="19"/>
  </w:num>
  <w:num w:numId="46" w16cid:durableId="448937788">
    <w:abstractNumId w:val="37"/>
  </w:num>
  <w:num w:numId="47" w16cid:durableId="8848025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PersonalInformation/>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8F"/>
    <w:rsid w:val="00003335"/>
    <w:rsid w:val="00014B70"/>
    <w:rsid w:val="00022421"/>
    <w:rsid w:val="000379B8"/>
    <w:rsid w:val="00046652"/>
    <w:rsid w:val="00051482"/>
    <w:rsid w:val="0006130B"/>
    <w:rsid w:val="00094B0A"/>
    <w:rsid w:val="000B2E65"/>
    <w:rsid w:val="000C31F8"/>
    <w:rsid w:val="000F5A42"/>
    <w:rsid w:val="00144410"/>
    <w:rsid w:val="00153994"/>
    <w:rsid w:val="0015717A"/>
    <w:rsid w:val="001A2B9E"/>
    <w:rsid w:val="001D06DF"/>
    <w:rsid w:val="00206438"/>
    <w:rsid w:val="002234FB"/>
    <w:rsid w:val="002862AB"/>
    <w:rsid w:val="002A475D"/>
    <w:rsid w:val="002D127D"/>
    <w:rsid w:val="002F1C25"/>
    <w:rsid w:val="002F3CD8"/>
    <w:rsid w:val="002F6325"/>
    <w:rsid w:val="0035502C"/>
    <w:rsid w:val="00365F30"/>
    <w:rsid w:val="0037298F"/>
    <w:rsid w:val="003D3464"/>
    <w:rsid w:val="00407CA7"/>
    <w:rsid w:val="00421B09"/>
    <w:rsid w:val="00471F36"/>
    <w:rsid w:val="00473A3B"/>
    <w:rsid w:val="00483E71"/>
    <w:rsid w:val="00497860"/>
    <w:rsid w:val="004A6757"/>
    <w:rsid w:val="004E546A"/>
    <w:rsid w:val="004F5279"/>
    <w:rsid w:val="005018CE"/>
    <w:rsid w:val="0055516E"/>
    <w:rsid w:val="0056449E"/>
    <w:rsid w:val="005947D4"/>
    <w:rsid w:val="005C70A0"/>
    <w:rsid w:val="00611F1A"/>
    <w:rsid w:val="00620FDC"/>
    <w:rsid w:val="006675D7"/>
    <w:rsid w:val="006C0B3C"/>
    <w:rsid w:val="006C49D6"/>
    <w:rsid w:val="006F0ABA"/>
    <w:rsid w:val="006F3C96"/>
    <w:rsid w:val="00742A9E"/>
    <w:rsid w:val="0074682A"/>
    <w:rsid w:val="00750EC1"/>
    <w:rsid w:val="00780A9B"/>
    <w:rsid w:val="00784708"/>
    <w:rsid w:val="00796E63"/>
    <w:rsid w:val="007B06F0"/>
    <w:rsid w:val="007B60AA"/>
    <w:rsid w:val="007D77F6"/>
    <w:rsid w:val="008159DD"/>
    <w:rsid w:val="008232F9"/>
    <w:rsid w:val="00826955"/>
    <w:rsid w:val="008B4479"/>
    <w:rsid w:val="008D2020"/>
    <w:rsid w:val="008F44B0"/>
    <w:rsid w:val="00911EC7"/>
    <w:rsid w:val="00923C01"/>
    <w:rsid w:val="00945543"/>
    <w:rsid w:val="00974514"/>
    <w:rsid w:val="0098423D"/>
    <w:rsid w:val="009C50F7"/>
    <w:rsid w:val="00A345D2"/>
    <w:rsid w:val="00A53AD8"/>
    <w:rsid w:val="00AE52E4"/>
    <w:rsid w:val="00AE68F2"/>
    <w:rsid w:val="00B06703"/>
    <w:rsid w:val="00B10904"/>
    <w:rsid w:val="00B50744"/>
    <w:rsid w:val="00B7172F"/>
    <w:rsid w:val="00B71AAF"/>
    <w:rsid w:val="00B91DB3"/>
    <w:rsid w:val="00BB1205"/>
    <w:rsid w:val="00C27F77"/>
    <w:rsid w:val="00C936B6"/>
    <w:rsid w:val="00CC7FDC"/>
    <w:rsid w:val="00CD2B41"/>
    <w:rsid w:val="00D107F9"/>
    <w:rsid w:val="00D2617F"/>
    <w:rsid w:val="00D7244B"/>
    <w:rsid w:val="00D7325E"/>
    <w:rsid w:val="00D85EE1"/>
    <w:rsid w:val="00D85F42"/>
    <w:rsid w:val="00E06D3C"/>
    <w:rsid w:val="00E26667"/>
    <w:rsid w:val="00E30637"/>
    <w:rsid w:val="00E630F2"/>
    <w:rsid w:val="00E76EA7"/>
    <w:rsid w:val="00E915D3"/>
    <w:rsid w:val="00EC548D"/>
    <w:rsid w:val="00ED0962"/>
    <w:rsid w:val="00EF6146"/>
    <w:rsid w:val="00F16EDF"/>
    <w:rsid w:val="00F66038"/>
    <w:rsid w:val="00F82EC6"/>
    <w:rsid w:val="00FC2E1F"/>
  </w:rsids>
  <w:docVars>
    <w:docVar w:name="__Grammarly_42___1" w:val="H4sIAAAAAAAEAKtWcslP9kxRslIyNDY2N7SwNLcwMjAxMTEyMjFQ0lEKTi0uzszPAykwNKwFAF4teUMtAAAA"/>
    <w:docVar w:name="__Grammarly_42____i" w:val="H4sIAAAAAAAEAKtWckksSQxILCpxzi/NK1GyMqwFAAEhoTITAAAA"/>
  </w:docVar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14:docId w14:val="7D462A57"/>
  <w15:chartTrackingRefBased/>
  <w15:docId w15:val="{BAA5CB5E-B670-42F8-9836-878310DA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Balk1Char"/>
    <w:uiPriority w:val="9"/>
    <w:qFormat/>
    <w:rsid w:val="00372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Balk2Char"/>
    <w:uiPriority w:val="9"/>
    <w:semiHidden/>
    <w:unhideWhenUsed/>
    <w:qFormat/>
    <w:rsid w:val="00372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Balk3Char"/>
    <w:uiPriority w:val="9"/>
    <w:unhideWhenUsed/>
    <w:qFormat/>
    <w:rsid w:val="00372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Balk4Char"/>
    <w:uiPriority w:val="9"/>
    <w:semiHidden/>
    <w:unhideWhenUsed/>
    <w:qFormat/>
    <w:rsid w:val="00372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Balk5Char"/>
    <w:uiPriority w:val="9"/>
    <w:semiHidden/>
    <w:unhideWhenUsed/>
    <w:qFormat/>
    <w:rsid w:val="00372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Balk6Char"/>
    <w:uiPriority w:val="9"/>
    <w:semiHidden/>
    <w:unhideWhenUsed/>
    <w:qFormat/>
    <w:rsid w:val="00372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Balk7Char"/>
    <w:uiPriority w:val="9"/>
    <w:semiHidden/>
    <w:unhideWhenUsed/>
    <w:qFormat/>
    <w:rsid w:val="00372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Balk8Char"/>
    <w:uiPriority w:val="9"/>
    <w:semiHidden/>
    <w:unhideWhenUsed/>
    <w:qFormat/>
    <w:rsid w:val="00372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Balk9Char"/>
    <w:uiPriority w:val="9"/>
    <w:semiHidden/>
    <w:unhideWhenUsed/>
    <w:qFormat/>
    <w:rsid w:val="00372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k1Char">
    <w:name w:val="Başlık 1 Char"/>
    <w:basedOn w:val="DefaultParagraphFont"/>
    <w:link w:val="Heading1"/>
    <w:uiPriority w:val="9"/>
    <w:rsid w:val="003729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DefaultParagraphFont"/>
    <w:link w:val="Heading2"/>
    <w:uiPriority w:val="9"/>
    <w:semiHidden/>
    <w:rsid w:val="003729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DefaultParagraphFont"/>
    <w:link w:val="Heading3"/>
    <w:uiPriority w:val="9"/>
    <w:rsid w:val="0037298F"/>
    <w:rPr>
      <w:rFonts w:eastAsiaTheme="majorEastAsia" w:cstheme="majorBidi"/>
      <w:color w:val="0F4761" w:themeColor="accent1" w:themeShade="BF"/>
      <w:sz w:val="28"/>
      <w:szCs w:val="28"/>
    </w:rPr>
  </w:style>
  <w:style w:type="character" w:customStyle="1" w:styleId="Balk4Char">
    <w:name w:val="Başlık 4 Char"/>
    <w:basedOn w:val="DefaultParagraphFont"/>
    <w:link w:val="Heading4"/>
    <w:uiPriority w:val="9"/>
    <w:semiHidden/>
    <w:rsid w:val="0037298F"/>
    <w:rPr>
      <w:rFonts w:eastAsiaTheme="majorEastAsia" w:cstheme="majorBidi"/>
      <w:i/>
      <w:iCs/>
      <w:color w:val="0F4761" w:themeColor="accent1" w:themeShade="BF"/>
    </w:rPr>
  </w:style>
  <w:style w:type="character" w:customStyle="1" w:styleId="Balk5Char">
    <w:name w:val="Başlık 5 Char"/>
    <w:basedOn w:val="DefaultParagraphFont"/>
    <w:link w:val="Heading5"/>
    <w:uiPriority w:val="9"/>
    <w:semiHidden/>
    <w:rsid w:val="0037298F"/>
    <w:rPr>
      <w:rFonts w:eastAsiaTheme="majorEastAsia" w:cstheme="majorBidi"/>
      <w:color w:val="0F4761" w:themeColor="accent1" w:themeShade="BF"/>
    </w:rPr>
  </w:style>
  <w:style w:type="character" w:customStyle="1" w:styleId="Balk6Char">
    <w:name w:val="Başlık 6 Char"/>
    <w:basedOn w:val="DefaultParagraphFont"/>
    <w:link w:val="Heading6"/>
    <w:uiPriority w:val="9"/>
    <w:semiHidden/>
    <w:rsid w:val="0037298F"/>
    <w:rPr>
      <w:rFonts w:eastAsiaTheme="majorEastAsia" w:cstheme="majorBidi"/>
      <w:i/>
      <w:iCs/>
      <w:color w:val="595959" w:themeColor="text1" w:themeTint="A6"/>
    </w:rPr>
  </w:style>
  <w:style w:type="character" w:customStyle="1" w:styleId="Balk7Char">
    <w:name w:val="Başlık 7 Char"/>
    <w:basedOn w:val="DefaultParagraphFont"/>
    <w:link w:val="Heading7"/>
    <w:uiPriority w:val="9"/>
    <w:semiHidden/>
    <w:rsid w:val="0037298F"/>
    <w:rPr>
      <w:rFonts w:eastAsiaTheme="majorEastAsia" w:cstheme="majorBidi"/>
      <w:color w:val="595959" w:themeColor="text1" w:themeTint="A6"/>
    </w:rPr>
  </w:style>
  <w:style w:type="character" w:customStyle="1" w:styleId="Balk8Char">
    <w:name w:val="Başlık 8 Char"/>
    <w:basedOn w:val="DefaultParagraphFont"/>
    <w:link w:val="Heading8"/>
    <w:uiPriority w:val="9"/>
    <w:semiHidden/>
    <w:rsid w:val="0037298F"/>
    <w:rPr>
      <w:rFonts w:eastAsiaTheme="majorEastAsia" w:cstheme="majorBidi"/>
      <w:i/>
      <w:iCs/>
      <w:color w:val="272727" w:themeColor="text1" w:themeTint="D8"/>
    </w:rPr>
  </w:style>
  <w:style w:type="character" w:customStyle="1" w:styleId="Balk9Char">
    <w:name w:val="Başlık 9 Char"/>
    <w:basedOn w:val="DefaultParagraphFont"/>
    <w:link w:val="Heading9"/>
    <w:uiPriority w:val="9"/>
    <w:semiHidden/>
    <w:rsid w:val="0037298F"/>
    <w:rPr>
      <w:rFonts w:eastAsiaTheme="majorEastAsia" w:cstheme="majorBidi"/>
      <w:color w:val="272727" w:themeColor="text1" w:themeTint="D8"/>
    </w:rPr>
  </w:style>
  <w:style w:type="paragraph" w:styleId="Title">
    <w:name w:val="Title"/>
    <w:basedOn w:val="Normal"/>
    <w:next w:val="Normal"/>
    <w:link w:val="KonuBalChar"/>
    <w:uiPriority w:val="10"/>
    <w:qFormat/>
    <w:rsid w:val="00372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DefaultParagraphFont"/>
    <w:link w:val="Title"/>
    <w:uiPriority w:val="10"/>
    <w:rsid w:val="0037298F"/>
    <w:rPr>
      <w:rFonts w:asciiTheme="majorHAnsi" w:eastAsiaTheme="majorEastAsia" w:hAnsiTheme="majorHAnsi" w:cstheme="majorBidi"/>
      <w:spacing w:val="-10"/>
      <w:kern w:val="28"/>
      <w:sz w:val="56"/>
      <w:szCs w:val="56"/>
    </w:rPr>
  </w:style>
  <w:style w:type="paragraph" w:styleId="Subtitle">
    <w:name w:val="Subtitle"/>
    <w:basedOn w:val="Normal"/>
    <w:next w:val="Normal"/>
    <w:link w:val="AltyazChar"/>
    <w:uiPriority w:val="11"/>
    <w:qFormat/>
    <w:rsid w:val="003729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DefaultParagraphFont"/>
    <w:link w:val="Subtitle"/>
    <w:uiPriority w:val="11"/>
    <w:rsid w:val="0037298F"/>
    <w:rPr>
      <w:rFonts w:eastAsiaTheme="majorEastAsia" w:cstheme="majorBidi"/>
      <w:color w:val="595959" w:themeColor="text1" w:themeTint="A6"/>
      <w:spacing w:val="15"/>
      <w:sz w:val="28"/>
      <w:szCs w:val="28"/>
    </w:rPr>
  </w:style>
  <w:style w:type="paragraph" w:styleId="Quote">
    <w:name w:val="Quote"/>
    <w:basedOn w:val="Normal"/>
    <w:next w:val="Normal"/>
    <w:link w:val="AlntChar"/>
    <w:uiPriority w:val="29"/>
    <w:qFormat/>
    <w:rsid w:val="0037298F"/>
    <w:pPr>
      <w:spacing w:before="160"/>
      <w:jc w:val="center"/>
    </w:pPr>
    <w:rPr>
      <w:i/>
      <w:iCs/>
      <w:color w:val="404040" w:themeColor="text1" w:themeTint="BF"/>
    </w:rPr>
  </w:style>
  <w:style w:type="character" w:customStyle="1" w:styleId="AlntChar">
    <w:name w:val="Alıntı Char"/>
    <w:basedOn w:val="DefaultParagraphFont"/>
    <w:link w:val="Quote"/>
    <w:uiPriority w:val="29"/>
    <w:rsid w:val="0037298F"/>
    <w:rPr>
      <w:i/>
      <w:iCs/>
      <w:color w:val="404040" w:themeColor="text1" w:themeTint="BF"/>
    </w:rPr>
  </w:style>
  <w:style w:type="paragraph" w:styleId="ListParagraph">
    <w:name w:val="List Paragraph"/>
    <w:basedOn w:val="Normal"/>
    <w:uiPriority w:val="34"/>
    <w:qFormat/>
    <w:rsid w:val="0037298F"/>
    <w:pPr>
      <w:ind w:left="720"/>
      <w:contextualSpacing/>
    </w:pPr>
  </w:style>
  <w:style w:type="character" w:styleId="IntenseEmphasis">
    <w:name w:val="Intense Emphasis"/>
    <w:basedOn w:val="DefaultParagraphFont"/>
    <w:uiPriority w:val="21"/>
    <w:qFormat/>
    <w:rsid w:val="0037298F"/>
    <w:rPr>
      <w:i/>
      <w:iCs/>
      <w:color w:val="0F4761" w:themeColor="accent1" w:themeShade="BF"/>
    </w:rPr>
  </w:style>
  <w:style w:type="paragraph" w:styleId="IntenseQuote">
    <w:name w:val="Intense Quote"/>
    <w:basedOn w:val="Normal"/>
    <w:next w:val="Normal"/>
    <w:link w:val="GlAlntChar"/>
    <w:uiPriority w:val="30"/>
    <w:qFormat/>
    <w:rsid w:val="00372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DefaultParagraphFont"/>
    <w:link w:val="IntenseQuote"/>
    <w:uiPriority w:val="30"/>
    <w:rsid w:val="0037298F"/>
    <w:rPr>
      <w:i/>
      <w:iCs/>
      <w:color w:val="0F4761" w:themeColor="accent1" w:themeShade="BF"/>
    </w:rPr>
  </w:style>
  <w:style w:type="character" w:styleId="IntenseReference">
    <w:name w:val="Intense Reference"/>
    <w:basedOn w:val="DefaultParagraphFont"/>
    <w:uiPriority w:val="32"/>
    <w:qFormat/>
    <w:rsid w:val="0037298F"/>
    <w:rPr>
      <w:b/>
      <w:bCs/>
      <w:smallCaps/>
      <w:color w:val="0F4761" w:themeColor="accent1" w:themeShade="BF"/>
      <w:spacing w:val="5"/>
    </w:rPr>
  </w:style>
  <w:style w:type="character" w:customStyle="1" w:styleId="fontstyle01">
    <w:name w:val="fontstyle01"/>
    <w:basedOn w:val="DefaultParagraphFont"/>
    <w:rsid w:val="002862AB"/>
    <w:rPr>
      <w:rFonts w:ascii="Helvetica" w:hAnsi="Helvetica" w:cs="Helvetica" w:hint="default"/>
      <w:b/>
      <w:bCs/>
      <w:i/>
      <w:iCs/>
      <w:color w:val="007367"/>
      <w:sz w:val="18"/>
      <w:szCs w:val="18"/>
    </w:rPr>
  </w:style>
  <w:style w:type="character" w:customStyle="1" w:styleId="fontstyle11">
    <w:name w:val="fontstyle11"/>
    <w:basedOn w:val="DefaultParagraphFont"/>
    <w:rsid w:val="002862AB"/>
    <w:rPr>
      <w:rFonts w:ascii="Helvetica" w:hAnsi="Helvetica" w:cs="Helvetica" w:hint="default"/>
      <w:b/>
      <w:bCs/>
      <w:i w:val="0"/>
      <w:iCs w:val="0"/>
      <w:color w:val="007367"/>
      <w:sz w:val="18"/>
      <w:szCs w:val="18"/>
    </w:rPr>
  </w:style>
  <w:style w:type="character" w:customStyle="1" w:styleId="fontstyle21">
    <w:name w:val="fontstyle21"/>
    <w:basedOn w:val="DefaultParagraphFont"/>
    <w:rsid w:val="00B7172F"/>
    <w:rPr>
      <w:rFonts w:ascii="DengXian-Bold" w:hAnsi="DengXian-Bold" w:hint="default"/>
      <w:b/>
      <w:bCs/>
      <w:i w:val="0"/>
      <w:iCs w:val="0"/>
      <w:color w:val="000000"/>
      <w:sz w:val="18"/>
      <w:szCs w:val="18"/>
    </w:rPr>
  </w:style>
  <w:style w:type="character" w:customStyle="1" w:styleId="fontstyle31">
    <w:name w:val="fontstyle31"/>
    <w:basedOn w:val="DefaultParagraphFont"/>
    <w:rsid w:val="00B7172F"/>
    <w:rPr>
      <w:rFonts w:ascii="TimesNewRomanPSMT" w:hAnsi="TimesNewRomanPSMT" w:hint="default"/>
      <w:b w:val="0"/>
      <w:bCs w:val="0"/>
      <w:i w:val="0"/>
      <w:iCs w:val="0"/>
      <w:color w:val="000000"/>
      <w:sz w:val="20"/>
      <w:szCs w:val="20"/>
    </w:rPr>
  </w:style>
  <w:style w:type="paragraph" w:styleId="NormalWeb">
    <w:name w:val="Normal (Web)"/>
    <w:basedOn w:val="Normal"/>
    <w:uiPriority w:val="99"/>
    <w:semiHidden/>
    <w:unhideWhenUsed/>
    <w:rsid w:val="00E915D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E915D3"/>
    <w:rPr>
      <w:b/>
      <w:bCs/>
    </w:rPr>
  </w:style>
  <w:style w:type="character" w:styleId="Emphasis">
    <w:name w:val="Emphasis"/>
    <w:basedOn w:val="DefaultParagraphFont"/>
    <w:uiPriority w:val="20"/>
    <w:qFormat/>
    <w:rsid w:val="00AE68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