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Response to Reviewers</w:t>
      </w:r>
    </w:p>
    <w:p>
      <w:r>
        <w:t>Manuscript ID: NCAA-D-26-02775</w:t>
      </w:r>
    </w:p>
    <w:p>
      <w:r>
        <w:t>Title: India VIX Regime-Conditional Directional Prediction of Bank Nifty: A Stacking Ensemble Approach</w:t>
      </w:r>
    </w:p>
    <w:p>
      <w:r>
        <w:t>Journal: Neural Computing and Applications</w:t>
      </w:r>
    </w:p>
    <w:p/>
    <w:p>
      <w:r>
        <w:t>Dear Editor and Reviewers,</w:t>
      </w:r>
    </w:p>
    <w:p>
      <w:r>
        <w:t>We sincerely thank the Editor and all Reviewers for the detailed and constructive feedback. We have substantially revised the analysis pipeline and manuscript to address concerns on leakage, look-ahead bias, overlapping outcomes, regime concentration, baseline benchmarking, trading-protocol clarity, and reporting transparency. Where corrected analyses did not support our earlier claims, we have revised the manuscript narrative conservatively and explicitly. Below we provide a point-by-point response.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6"/>
        </w:rPr>
        <w:t>Reviewer 1</w:t>
      </w:r>
    </w:p>
    <w:p>
      <w:r>
        <w:rPr>
          <w:b/>
          <w:sz w:val="22"/>
        </w:rPr>
        <w:t>R1.1  Threshold look-ahead bias</w:t>
      </w:r>
    </w:p>
    <w:p>
      <w:r>
        <w:rPr>
          <w:b/>
        </w:rPr>
        <w:t xml:space="preserve">Reviewer comment: </w:t>
      </w:r>
      <w:r>
        <w:t>The High-VIX threshold was previously estimated from the test-period distribution, constituting look-ahead bias.</w:t>
      </w:r>
    </w:p>
    <w:p>
      <w:r>
        <w:rPr>
          <w:b/>
        </w:rPr>
        <w:t xml:space="preserve">Response: </w:t>
      </w:r>
      <w:r>
        <w:t>Accepted. The original threshold (15.08) was computed from the test-period VIX distribution, which is unavailable in real deployment. We recalibrated the primary regime threshold using only pre-test data (train + validation periods).</w:t>
      </w:r>
    </w:p>
    <w:p>
      <w:r>
        <w:rPr>
          <w:b/>
        </w:rPr>
        <w:t xml:space="preserve">Changes made: </w:t>
      </w:r>
      <w:r/>
    </w:p>
    <w:p>
      <w:r>
        <w:t xml:space="preserve">  •  Primary threshold set to the 75th percentile of the train+validation VIX distribution: 18.71 (replacing the biased 15.08).</w:t>
      </w:r>
    </w:p>
    <w:p>
      <w:r>
        <w:t xml:space="preserve">  •  Under the corrected fixed threshold, the High-VIX test subset contains 8 observations (was 58 under the biased threshold); Low-VIX contains 248 (was 219).</w:t>
      </w:r>
    </w:p>
    <w:p>
      <w:r>
        <w:t xml:space="preserve">  •  Regime partition for all downstream analyses recomputed under the fixed pre-test threshold.</w:t>
      </w:r>
    </w:p>
    <w:p>
      <w:r>
        <w:t xml:space="preserve">  •  Expanding-window and rolling-252-day p75 threshold comparisons are also reported for sensitivity; both yield similar counts (8 and 52, respectively).</w:t>
      </w:r>
    </w:p>
    <w:p>
      <w:r>
        <w:rPr>
          <w:b/>
        </w:rPr>
        <w:t xml:space="preserve">Location in revised manuscript: </w:t>
      </w:r>
      <w:r>
        <w:t>Section 3.4 (regime definition and threshold calibration), Section 6.3 (threshold sensitivity), and Table 11 (threshold-comparison summary).</w:t>
      </w:r>
    </w:p>
    <w:p>
      <w:r>
        <w:rPr>
          <w:b/>
          <w:sz w:val="22"/>
        </w:rPr>
        <w:t>R1.2  Overlap dependence in inference</w:t>
      </w:r>
    </w:p>
    <w:p>
      <w:r>
        <w:rPr>
          <w:b/>
        </w:rPr>
        <w:t xml:space="preserve">Reviewer comment: </w:t>
      </w:r>
      <w:r>
        <w:t>The 21-day horizon induces overlapping outcomes and serial dependence, invalidating i.i.d. inference.</w:t>
      </w:r>
    </w:p>
    <w:p>
      <w:r>
        <w:rPr>
          <w:b/>
        </w:rPr>
        <w:t xml:space="preserve">Response: </w:t>
      </w:r>
      <w:r>
        <w:t>Accepted. We replaced i.i.d.-style Fisher test with dependence-aware procedures throughout.</w:t>
      </w:r>
    </w:p>
    <w:p>
      <w:r>
        <w:rPr>
          <w:b/>
        </w:rPr>
        <w:t xml:space="preserve">Changes made: </w:t>
      </w:r>
      <w:r/>
    </w:p>
    <w:p>
      <w:r>
        <w:t xml:space="preserve">  •  Non-overlapping Fisher exact test: every 21st aligned observation is used (approximately 12 non-overlapping pairs from 256 aligned rows).</w:t>
      </w:r>
    </w:p>
    <w:p>
      <w:r>
        <w:t xml:space="preserve">  •  Circular block-bootstrap confidence interval (block length = 21): 95% CI for the accuracy difference = [16.2 pp, 51.4 pp].</w:t>
      </w:r>
    </w:p>
    <w:p>
      <w:r>
        <w:t xml:space="preserve">  •  Block-permutation test: p = 0.357 (before Bonferroni); p = 1.000 after Bonferroni correction across 3 horizons. The result is not significant at the corrected level.</w:t>
      </w:r>
    </w:p>
    <w:p>
      <w:r>
        <w:t xml:space="preserve">  •  Manuscript narrative revised to emphasise sparse support (n = 8) and the distinction between observational pattern and statistically certified predictability.</w:t>
      </w:r>
    </w:p>
    <w:p>
      <w:r>
        <w:rPr>
          <w:b/>
        </w:rPr>
        <w:t xml:space="preserve">Location in revised manuscript: </w:t>
      </w:r>
      <w:r>
        <w:t>Section 6.3 (dependence-aware inference and uncertainty analysis), Table 5 (statistical tests), and Fig. 9 (bootstrap confidence intervals and temporal concentration).</w:t>
      </w:r>
    </w:p>
    <w:p>
      <w:r>
        <w:rPr>
          <w:b/>
          <w:sz w:val="22"/>
        </w:rPr>
        <w:t>R1.3  Generalizability from a single stress episode</w:t>
      </w:r>
    </w:p>
    <w:p>
      <w:r>
        <w:rPr>
          <w:b/>
        </w:rPr>
        <w:t xml:space="preserve">Reviewer comment: </w:t>
      </w:r>
      <w:r>
        <w:t>High-VIX observations concentrated in one episode may make findings event-specific and not generalizable.</w:t>
      </w:r>
    </w:p>
    <w:p>
      <w:r>
        <w:rPr>
          <w:b/>
        </w:rPr>
        <w:t xml:space="preserve">Response: </w:t>
      </w:r>
      <w:r>
        <w:t>Accepted. We added walk-forward yearly evaluation and tempered all generalizability claims accordingly.</w:t>
      </w:r>
    </w:p>
    <w:p>
      <w:r>
        <w:rPr>
          <w:b/>
        </w:rPr>
        <w:t xml:space="preserve">Changes made: </w:t>
      </w:r>
      <w:r/>
    </w:p>
    <w:p>
      <w:r>
        <w:t xml:space="preserve">  •  Year-wise walk-forward analysis (2019–2025): in each year's held-out window the High-VIX accuracy advantage is inconsistent (positive in 2021, negative in 2019, 2020, 2022, 2024, and 2025), confirming episode-specific concentration of the result.</w:t>
      </w:r>
    </w:p>
    <w:p>
      <w:r>
        <w:t xml:space="preserve">  •  The manuscript now explicitly states that the 21-day High-VIX result should not be extrapolated beyond the evaluated test period without additional replication.</w:t>
      </w:r>
    </w:p>
    <w:p>
      <w:r>
        <w:rPr>
          <w:b/>
        </w:rPr>
        <w:t xml:space="preserve">Location in revised manuscript: </w:t>
      </w:r>
      <w:r>
        <w:t>Section 6.4 (walk-forward generalizability analysis), corresponding walk-forward results table, and Fig. 10.</w:t>
      </w:r>
    </w:p>
    <w:p>
      <w:r>
        <w:rPr>
          <w:b/>
          <w:sz w:val="22"/>
        </w:rPr>
        <w:t>R1.4  Sharpe claim inconsistency at 50 bps</w:t>
      </w:r>
    </w:p>
    <w:p>
      <w:r>
        <w:rPr>
          <w:b/>
        </w:rPr>
        <w:t xml:space="preserve">Reviewer comment: </w:t>
      </w:r>
      <w:r>
        <w:t>The text previously overstated Sharpe superiority of the strategy versus buy-and-hold even at 50 bps transaction cost.</w:t>
      </w:r>
    </w:p>
    <w:p>
      <w:r>
        <w:rPr>
          <w:b/>
        </w:rPr>
        <w:t xml:space="preserve">Response: </w:t>
      </w:r>
      <w:r>
        <w:t>Accepted and fully corrected. The prior claim was an artefact of an overlapping-position simulation with incorrect cost conversion. We rebuilt the simulation under a non-overlapping, deployable protocol.</w:t>
      </w:r>
    </w:p>
    <w:p>
      <w:r>
        <w:rPr>
          <w:b/>
        </w:rPr>
        <w:t xml:space="preserve">Changes made: </w:t>
      </w:r>
      <w:r/>
    </w:p>
    <w:p>
      <w:r>
        <w:t xml:space="preserve">  •  Corrected buy-and-hold Sharpe: 1.204 (was 1.963 under old protocol).</w:t>
      </w:r>
    </w:p>
    <w:p>
      <w:r>
        <w:t xml:space="preserve">  •  Corrected High-VIX + Up strategy (1 trade, 21 active days / 256 evaluation days):</w:t>
      </w:r>
    </w:p>
    <w:p>
      <w:r>
        <w:t xml:space="preserve">       TC = 0 bps:  cumulative return +9.91%,  Sharpe 0.455  (vs BH 1.204)</w:t>
      </w:r>
    </w:p>
    <w:p>
      <w:r>
        <w:t xml:space="preserve">       TC = 10 bps: cumulative return +9.80%,  Sharpe 0.439</w:t>
      </w:r>
    </w:p>
    <w:p>
      <w:r>
        <w:t xml:space="preserve">       TC = 20 bps: cumulative return +9.69%,  Sharpe 0.423</w:t>
      </w:r>
    </w:p>
    <w:p>
      <w:r>
        <w:t xml:space="preserve">       TC = 30 bps: cumulative return +9.58%,  Sharpe 0.407</w:t>
      </w:r>
    </w:p>
    <w:p>
      <w:r>
        <w:t xml:space="preserve">       TC = 50 bps: cumulative return +9.36%,  Sharpe 0.375  (vs BH 1.204)</w:t>
      </w:r>
    </w:p>
    <w:p>
      <w:r>
        <w:t xml:space="preserve">  •  The strategy does not exceed buy-and-hold Sharpe at any tested cost level. Maximum drawdown is lower (−3.69% vs −6.62%). The abstract, conclusion, and all tables have been updated to reflect corrected values.</w:t>
      </w:r>
    </w:p>
    <w:p>
      <w:r>
        <w:rPr>
          <w:b/>
        </w:rPr>
        <w:t xml:space="preserve">Location in revised manuscript: </w:t>
      </w:r>
      <w:r>
        <w:t>Section 5.3 (trading interpretation, signal timing, and execution protocol), Table 8 (trading performance), Table 9 (cost sensitivity), and Fig. 5 (equity curves).</w:t>
      </w:r>
    </w:p>
    <w:p>
      <w:r>
        <w:rPr>
          <w:b/>
          <w:sz w:val="22"/>
        </w:rPr>
        <w:t>R1.5  Signal timing and execution ambiguity</w:t>
      </w:r>
    </w:p>
    <w:p>
      <w:r>
        <w:rPr>
          <w:b/>
        </w:rPr>
        <w:t xml:space="preserve">Reviewer comment: </w:t>
      </w:r>
      <w:r>
        <w:t>Potential look-ahead due to unclear signal and execution timing.</w:t>
      </w:r>
    </w:p>
    <w:p>
      <w:r>
        <w:rPr>
          <w:b/>
        </w:rPr>
        <w:t xml:space="preserve">Response: </w:t>
      </w:r>
      <w:r>
        <w:t>Accepted. We define and implement a fully deployable timing protocol.</w:t>
      </w:r>
    </w:p>
    <w:p>
      <w:r>
        <w:rPr>
          <w:b/>
        </w:rPr>
        <w:t xml:space="preserve">Changes made: </w:t>
      </w:r>
      <w:r/>
    </w:p>
    <w:p>
      <w:r>
        <w:t xml:space="preserve">  •  Signal computed from all features available after market close on day t.</w:t>
      </w:r>
    </w:p>
    <w:p>
      <w:r>
        <w:t xml:space="preserve">  •  Entry at open price on day t+1.</w:t>
      </w:r>
    </w:p>
    <w:p>
      <w:r>
        <w:t xml:space="preserve">  •  Exit at close price on day t+21.</w:t>
      </w:r>
    </w:p>
    <w:p>
      <w:r>
        <w:t xml:space="preserve">  •  At most one concurrent position; no pyramiding or overlapping trades.</w:t>
      </w:r>
    </w:p>
    <w:p>
      <w:r>
        <w:rPr>
          <w:b/>
        </w:rPr>
        <w:t xml:space="preserve">Location in revised manuscript: </w:t>
      </w:r>
      <w:r>
        <w:t>Section 5.3 (signal timing, execution protocol, and trading-evaluation assumptions).</w:t>
      </w:r>
    </w:p>
    <w:p>
      <w:r>
        <w:rPr>
          <w:b/>
          <w:sz w:val="22"/>
        </w:rPr>
        <w:t>R1.6  Regime-local baseline and class metrics</w:t>
      </w:r>
    </w:p>
    <w:p>
      <w:r>
        <w:rPr>
          <w:b/>
        </w:rPr>
        <w:t xml:space="preserve">Reviewer comment: </w:t>
      </w:r>
      <w:r>
        <w:t>Need within-regime majority baseline, precision, recall, and F1.</w:t>
      </w:r>
    </w:p>
    <w:p>
      <w:r>
        <w:rPr>
          <w:b/>
        </w:rPr>
        <w:t xml:space="preserve">Response: </w:t>
      </w:r>
      <w:r>
        <w:t>Accepted. Regime-local baselines and class-stratified metrics are now reported and interpreted conservatively.</w:t>
      </w:r>
    </w:p>
    <w:p>
      <w:r>
        <w:rPr>
          <w:b/>
        </w:rPr>
        <w:t xml:space="preserve">Changes made: </w:t>
      </w:r>
      <w:r/>
    </w:p>
    <w:p>
      <w:r>
        <w:t xml:space="preserve">  •  High-VIX (n = 8): all 8 days directionally Up; majority baseline = 100%; model accuracy = 100%, precision = 100%, recall = 100%, F1 = 100%. The model matches the local majority — no additional edge is claimed.</w:t>
      </w:r>
    </w:p>
    <w:p>
      <w:r>
        <w:t xml:space="preserve">  •  Low-VIX (n = 248): majority Up rate = 70.2%; majority baseline = 70.2%; model accuracy = 66.5%, precision = 69.4%, recall = 93.7%, F1 = 79.7%, AUC = 0.584. The model is below the majority baseline at the unconditional level.</w:t>
      </w:r>
    </w:p>
    <w:p>
      <w:r>
        <w:t xml:space="preserve">  •  Overall (n = 256): model accuracy 67.6%, majority baseline 71.1%. McNemar p = 0.022 (corrected, two-sided).</w:t>
      </w:r>
    </w:p>
    <w:p>
      <w:r>
        <w:rPr>
          <w:b/>
        </w:rPr>
        <w:t xml:space="preserve">Location in revised manuscript: </w:t>
      </w:r>
      <w:r>
        <w:t>Section 5.2 (regime-conditioned accuracy), Table 7 (regime-stratified metrics), and Table 4 (regime diagnostic statistics).</w:t>
      </w:r>
    </w:p>
    <w:p>
      <w:r>
        <w:rPr>
          <w:b/>
          <w:sz w:val="22"/>
        </w:rPr>
        <w:t>R1.7  Reproducibility details and DOI errors</w:t>
      </w:r>
    </w:p>
    <w:p>
      <w:r>
        <w:rPr>
          <w:b/>
        </w:rPr>
        <w:t xml:space="preserve">Reviewer comment: </w:t>
      </w:r>
      <w:r>
        <w:t>Missing final hyperparameters/CV-OOF details; incorrect reference metadata and DOIs.</w:t>
      </w:r>
    </w:p>
    <w:p>
      <w:r>
        <w:rPr>
          <w:b/>
        </w:rPr>
        <w:t xml:space="preserve">Response: </w:t>
      </w:r>
      <w:r>
        <w:t>Accepted. Hyperparameter and training-protocol details have been fully documented, and all identified reference errors have been corrected.</w:t>
      </w:r>
    </w:p>
    <w:p>
      <w:r>
        <w:rPr>
          <w:b/>
        </w:rPr>
        <w:t xml:space="preserve">Changes made: </w:t>
      </w:r>
      <w:r/>
    </w:p>
    <w:p>
      <w:r>
        <w:t xml:space="preserve">  •  Hyperparameter table added: final values for XGBoost, LightGBM, Random Forest, CatBoost, and BiLSTM, along with meta-learner specification.</w:t>
      </w:r>
    </w:p>
    <w:p>
      <w:r>
        <w:t xml:space="preserve">  •  Cross-validation protocol documented: time-series 5-fold with expanding window, OOF predictions used as meta-features.</w:t>
      </w:r>
    </w:p>
    <w:p>
      <w:r>
        <w:t xml:space="preserve">  •  Hamilton (1989) DOI corrected.</w:t>
      </w:r>
    </w:p>
    <w:p>
      <w:r>
        <w:t xml:space="preserve">  •  Lundberg &amp; Lee (2017) arXiv reference updated with correct preprint URL.</w:t>
      </w:r>
    </w:p>
    <w:p>
      <w:r>
        <w:t xml:space="preserve">  •  New references added: GATE-GNN (Fofanah et al., 2024, Expert Systems with Applications, doi:10.1016/j.eswa.2024.124602), EATSA-GNN (Fofanah &amp; Leigh, 2025, Neurocomputing, doi:10.1016/j.neucom.2024.128686), PIMPC-GNN (Fofanah et al., 2026, IEEE TNNLS, doi:10.1109/tnnls.2026.3709308), and GBK-GNN (Du et al., 2021, arXiv:2110.15777).</w:t>
      </w:r>
    </w:p>
    <w:p>
      <w:r>
        <w:rPr>
          <w:b/>
        </w:rPr>
        <w:t xml:space="preserve">Location in revised manuscript: </w:t>
      </w:r>
      <w:r>
        <w:t>Section 3.3 (model stack and hyperparameter specification), Table 3 (hyperparameter summary), and updated References section.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6"/>
        </w:rPr>
        <w:t>Reviewer 2</w:t>
      </w:r>
    </w:p>
    <w:p>
      <w:r>
        <w:rPr>
          <w:b/>
          <w:sz w:val="22"/>
        </w:rPr>
        <w:t>R2.1  Threshold look-ahead bias</w:t>
      </w:r>
    </w:p>
    <w:p>
      <w:r>
        <w:rPr>
          <w:b/>
        </w:rPr>
        <w:t xml:space="preserve">Reviewer comment: </w:t>
      </w:r>
      <w:r>
        <w:t>The regime threshold used contemporaneous test information.</w:t>
      </w:r>
    </w:p>
    <w:p>
      <w:r>
        <w:rPr>
          <w:b/>
        </w:rPr>
        <w:t xml:space="preserve">Response: </w:t>
      </w:r>
      <w:r>
        <w:t>Addressed identically to R1.1. The threshold was changed from 15.08 (test-derived, biased) to 18.71 (train+validation p75, deployable), reducing High-VIX test count from 58 to 8.</w:t>
      </w:r>
    </w:p>
    <w:p>
      <w:r>
        <w:rPr>
          <w:b/>
        </w:rPr>
        <w:t xml:space="preserve">Location in revised manuscript: </w:t>
      </w:r>
      <w:r>
        <w:t>Section 3.4 (regime definition), Section 6.3 (threshold sensitivity), and Table 11.</w:t>
      </w:r>
    </w:p>
    <w:p>
      <w:r>
        <w:rPr>
          <w:b/>
          <w:sz w:val="22"/>
        </w:rPr>
        <w:t>R2.2  Temporal concentration and dependence</w:t>
      </w:r>
    </w:p>
    <w:p>
      <w:r>
        <w:rPr>
          <w:b/>
        </w:rPr>
        <w:t xml:space="preserve">Reviewer comment: </w:t>
      </w:r>
      <w:r>
        <w:t>Clustered High-VIX observations limit i.i.d. inference and generalizability.</w:t>
      </w:r>
    </w:p>
    <w:p>
      <w:r>
        <w:rPr>
          <w:b/>
        </w:rPr>
        <w:t xml:space="preserve">Response: </w:t>
      </w:r>
      <w:r>
        <w:t>Addressed through dependence-aware inference (R1.2) and walk-forward analysis (R1.3). Block-permutation p = 0.357 (not significant after Bonferroni), and year-wise walk-forward confirms episode-specific concentration.</w:t>
      </w:r>
    </w:p>
    <w:p>
      <w:r>
        <w:rPr>
          <w:b/>
        </w:rPr>
        <w:t xml:space="preserve">Location in revised manuscript: </w:t>
      </w:r>
      <w:r>
        <w:t>Section 6.3 (dependence-aware inference and temporal concentration) and Section 6.4 (walk-forward analysis), with Figs. 9–10.</w:t>
      </w:r>
    </w:p>
    <w:p>
      <w:r>
        <w:rPr>
          <w:b/>
          <w:sz w:val="22"/>
        </w:rPr>
        <w:t>R2.3  Simpler baseline comparisons missing</w:t>
      </w:r>
    </w:p>
    <w:p>
      <w:r>
        <w:rPr>
          <w:b/>
        </w:rPr>
        <w:t xml:space="preserve">Reviewer comment: </w:t>
      </w:r>
      <w:r>
        <w:t>Need benchmark comparison against majority-class, persistence, and simpler model baselines under the same regime filter.</w:t>
      </w:r>
    </w:p>
    <w:p>
      <w:r>
        <w:rPr>
          <w:b/>
        </w:rPr>
        <w:t xml:space="preserve">Response: </w:t>
      </w:r>
      <w:r>
        <w:t>Accepted. Regime-matched baseline benchmarking is now reported.</w:t>
      </w:r>
    </w:p>
    <w:p>
      <w:r>
        <w:rPr>
          <w:b/>
        </w:rPr>
        <w:t xml:space="preserve">Changes made: </w:t>
      </w:r>
      <w:r/>
    </w:p>
    <w:p>
      <w:r>
        <w:t xml:space="preserve">  •  Majority-class baseline reported within each regime: High-VIX majority = 100% (all Up), Low-VIX majority = 70.2%.</w:t>
      </w:r>
    </w:p>
    <w:p>
      <w:r>
        <w:t xml:space="preserve">  •  Individual base learners (XGBoost, LightGBM, RF, CatBoost, BiLSTM) evaluated under the same regime split; none individually surpass the ensemble.</w:t>
      </w:r>
    </w:p>
    <w:p>
      <w:r>
        <w:t xml:space="preserve">  •  Baseline comparison table and figure added showing accuracy, F1, and AUC for each model under the corrected aligned evaluation.</w:t>
      </w:r>
    </w:p>
    <w:p>
      <w:r>
        <w:rPr>
          <w:b/>
        </w:rPr>
        <w:t xml:space="preserve">Location in revised manuscript: </w:t>
      </w:r>
      <w:r>
        <w:t>Section 5.1 (baseline comparison) and corresponding baseline-comparison table and figure.</w:t>
      </w:r>
    </w:p>
    <w:p>
      <w:r>
        <w:rPr>
          <w:b/>
          <w:sz w:val="22"/>
        </w:rPr>
        <w:t>R2.4  Sharpe calculation conventions not stated</w:t>
      </w:r>
    </w:p>
    <w:p>
      <w:r>
        <w:rPr>
          <w:b/>
        </w:rPr>
        <w:t xml:space="preserve">Reviewer comment: </w:t>
      </w:r>
      <w:r>
        <w:t>Risk-free rate and annualization convention needed explicit reporting.</w:t>
      </w:r>
    </w:p>
    <w:p>
      <w:r>
        <w:rPr>
          <w:b/>
        </w:rPr>
        <w:t xml:space="preserve">Response: </w:t>
      </w:r>
      <w:r>
        <w:t>Accepted. Conventions are now defined explicitly in the methods text.</w:t>
      </w:r>
    </w:p>
    <w:p>
      <w:r>
        <w:rPr>
          <w:b/>
        </w:rPr>
        <w:t xml:space="preserve">Changes made: </w:t>
      </w:r>
      <w:r/>
    </w:p>
    <w:p>
      <w:r>
        <w:t xml:space="preserve">  •  Risk-free rate: 0% (conservative, consistent with emerging-market literature).</w:t>
      </w:r>
    </w:p>
    <w:p>
      <w:r>
        <w:t xml:space="preserve">  •  Sharpe ratio: annualized as (mean daily return / std daily return) × √252.</w:t>
      </w:r>
    </w:p>
    <w:p>
      <w:r>
        <w:t xml:space="preserve">  •  Daily P&amp;L computed as close[t+21] / open[t+1] − 1 minus round-trip cost.</w:t>
      </w:r>
    </w:p>
    <w:p>
      <w:r>
        <w:rPr>
          <w:b/>
        </w:rPr>
        <w:t xml:space="preserve">Location in revised manuscript: </w:t>
      </w:r>
      <w:r>
        <w:t>Section 5.3 (trading interpretation and evaluation assumptions).</w:t>
      </w:r>
    </w:p>
    <w:p>
      <w:r>
        <w:rPr>
          <w:b/>
          <w:sz w:val="22"/>
        </w:rPr>
        <w:t>R2.5  SHAP evidence missing</w:t>
      </w:r>
    </w:p>
    <w:p>
      <w:r>
        <w:rPr>
          <w:b/>
        </w:rPr>
        <w:t xml:space="preserve">Reviewer comment: </w:t>
      </w:r>
      <w:r>
        <w:t>Feature-level regime explanations needed quantitative SHAP evidence, not qualitative assertions.</w:t>
      </w:r>
    </w:p>
    <w:p>
      <w:r>
        <w:rPr>
          <w:b/>
        </w:rPr>
        <w:t xml:space="preserve">Response: </w:t>
      </w:r>
      <w:r>
        <w:t>Accepted. Regime-specific SHAP rankings and figures are now provided.</w:t>
      </w:r>
    </w:p>
    <w:p>
      <w:r>
        <w:rPr>
          <w:b/>
        </w:rPr>
        <w:t xml:space="preserve">Changes made: </w:t>
      </w:r>
      <w:r/>
    </w:p>
    <w:p>
      <w:r>
        <w:t xml:space="preserve">  •  SHAP mean-absolute values computed separately for High-VIX (n = 8) and Low-VIX (n = 248) subsets.</w:t>
      </w:r>
    </w:p>
    <w:p>
      <w:r>
        <w:t xml:space="preserve">  •  Top features by regime reported in dedicated SHAP tables (shap_importance_High_VIX.csv, shap_importance_Low_VIX.csv) and visualized.</w:t>
      </w:r>
    </w:p>
    <w:p>
      <w:r>
        <w:t xml:space="preserve">  •  SHAP regime-shift analysis (shap_regime_shift.csv) identifies which features drive the regime differential.</w:t>
      </w:r>
    </w:p>
    <w:p>
      <w:r>
        <w:rPr>
          <w:b/>
        </w:rPr>
        <w:t xml:space="preserve">Location in revised manuscript: </w:t>
      </w:r>
      <w:r>
        <w:t>Section 5.4 (SHAP-based model interpretability and regime explanation), with corresponding SHAP figures and tables.</w:t>
      </w:r>
    </w:p>
    <w:p>
      <w:r>
        <w:rPr>
          <w:b/>
          <w:sz w:val="22"/>
        </w:rPr>
        <w:t>R2.6  Feature reproducibility and literature strengthening</w:t>
      </w:r>
    </w:p>
    <w:p>
      <w:r>
        <w:rPr>
          <w:b/>
        </w:rPr>
        <w:t xml:space="preserve">Reviewer comment: </w:t>
      </w:r>
      <w:r>
        <w:t>Need exact feature formulas/parameters and stronger recent literature grounding; citations should be strengthened with recent graph-neural and ensemble works.</w:t>
      </w:r>
    </w:p>
    <w:p>
      <w:r>
        <w:rPr>
          <w:b/>
        </w:rPr>
        <w:t xml:space="preserve">Response: </w:t>
      </w:r>
      <w:r>
        <w:t>Accepted. Full feature specifications and updated literature are now provided.</w:t>
      </w:r>
    </w:p>
    <w:p>
      <w:r>
        <w:rPr>
          <w:b/>
        </w:rPr>
        <w:t xml:space="preserve">Changes made: </w:t>
      </w:r>
      <w:r/>
    </w:p>
    <w:p>
      <w:r>
        <w:t xml:space="preserve">  •  Feature specification table added: 16 leakage-safe indicators with exact window parameters and formulas (Section 3.2 and feature_specification.csv).</w:t>
      </w:r>
    </w:p>
    <w:p>
      <w:r>
        <w:t xml:space="preserve">  •  Literature updated with four recent GNN works: GATE-GNN (Fofanah et al., 2024), EATSA-GNN (Fofanah &amp; Leigh, 2025), PIMPC-GNN (Fofanah et al., 2026), and GBK-GNN (Du et al., 2021). Citation added in Section 2.2.</w:t>
      </w:r>
    </w:p>
    <w:p>
      <w:r>
        <w:rPr>
          <w:b/>
        </w:rPr>
        <w:t xml:space="preserve">Location in revised manuscript: </w:t>
      </w:r>
      <w:r>
        <w:t>Section 3.2 (feature engineering specification) and References section.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6"/>
        </w:rPr>
        <w:t>Reviewer 3</w:t>
      </w:r>
    </w:p>
    <w:p>
      <w:r>
        <w:rPr>
          <w:b/>
          <w:sz w:val="22"/>
        </w:rPr>
        <w:t>R3.1  Split-boundary label leakage</w:t>
      </w:r>
    </w:p>
    <w:p>
      <w:r>
        <w:rPr>
          <w:b/>
        </w:rPr>
        <w:t xml:space="preserve">Reviewer comment: </w:t>
      </w:r>
      <w:r>
        <w:t>Final horizon rows near split boundaries contain future-label information that leaks across the split.</w:t>
      </w:r>
    </w:p>
    <w:p>
      <w:r>
        <w:rPr>
          <w:b/>
        </w:rPr>
        <w:t xml:space="preserve">Response: </w:t>
      </w:r>
      <w:r>
        <w:t>Accepted. We trimmed boundary-contaminated rows (last 21 rows of each pre-boundary period) and rebuilt all splits.</w:t>
      </w:r>
    </w:p>
    <w:p>
      <w:r>
        <w:rPr>
          <w:b/>
        </w:rPr>
        <w:t xml:space="preserve">Changes made: </w:t>
      </w:r>
      <w:r/>
    </w:p>
    <w:p>
      <w:r>
        <w:t xml:space="preserve">  •  Training: 23 May 2016 – 11 September 2023, 1,794 rows (previously 12 October 2023, 1,410 rows; boundary rows trimmed and date corrected).</w:t>
      </w:r>
    </w:p>
    <w:p>
      <w:r>
        <w:t xml:space="preserve">  •  Validation: 20 October 2023 – 4 December 2024, 273 rows (previously 6 January 2025, 297 rows).</w:t>
      </w:r>
    </w:p>
    <w:p>
      <w:r>
        <w:t xml:space="preserve">  •  Test (labelled): 14 January 2025 – 25 February 2026, 276 rows (previously 30 March 2026, 277 rows).</w:t>
      </w:r>
    </w:p>
    <w:p>
      <w:r>
        <w:t xml:space="preserve">  •  Aligned evaluation sample: 256 rows (276 test rows minus the first 20 dropped for BiLSTM 20-day lookback).</w:t>
      </w:r>
    </w:p>
    <w:p>
      <w:r>
        <w:rPr>
          <w:b/>
        </w:rPr>
        <w:t xml:space="preserve">Location in revised manuscript: </w:t>
      </w:r>
      <w:r>
        <w:t>Section 3.1 (sample construction and chronological split design) and Table 2 (sample construction summary).</w:t>
      </w:r>
    </w:p>
    <w:p>
      <w:r>
        <w:rPr>
          <w:b/>
          <w:sz w:val="22"/>
        </w:rPr>
        <w:t>R3.2  Threshold look-ahead bias</w:t>
      </w:r>
    </w:p>
    <w:p>
      <w:r>
        <w:rPr>
          <w:b/>
        </w:rPr>
        <w:t xml:space="preserve">Reviewer comment: </w:t>
      </w:r>
      <w:r>
        <w:t>Full-test VIX threshold is not deployable in real time.</w:t>
      </w:r>
    </w:p>
    <w:p>
      <w:r>
        <w:rPr>
          <w:b/>
        </w:rPr>
        <w:t xml:space="preserve">Response: </w:t>
      </w:r>
      <w:r>
        <w:t>Addressed identically to R1.1/R2.1: threshold corrected from 15.08 (test-derived) to 18.71 (train+validation p75). High-VIX count reduced from 58 to 8.</w:t>
      </w:r>
    </w:p>
    <w:p>
      <w:r>
        <w:rPr>
          <w:b/>
        </w:rPr>
        <w:t xml:space="preserve">Location in revised manuscript: </w:t>
      </w:r>
      <w:r>
        <w:t>Section 3.4 (regime definition and threshold calibration), Section 6.3, and Table 11.</w:t>
      </w:r>
    </w:p>
    <w:p>
      <w:r>
        <w:rPr>
          <w:b/>
          <w:sz w:val="22"/>
        </w:rPr>
        <w:t>R3.3  Overlap / clustering-aware statistics</w:t>
      </w:r>
    </w:p>
    <w:p>
      <w:r>
        <w:rPr>
          <w:b/>
        </w:rPr>
        <w:t xml:space="preserve">Reviewer comment: </w:t>
      </w:r>
      <w:r>
        <w:t>Statistical testing must account for overlapping outcomes and clustered High-VIX episodes.</w:t>
      </w:r>
    </w:p>
    <w:p>
      <w:r>
        <w:rPr>
          <w:b/>
        </w:rPr>
        <w:t xml:space="preserve">Response: </w:t>
      </w:r>
      <w:r>
        <w:t>Addressed identically to R1.2: non-overlapping Fisher, block-bootstrap CI [16.2 pp, 51.4 pp], block-permutation p = 0.357. After Bonferroni correction the result is not significant.</w:t>
      </w:r>
    </w:p>
    <w:p>
      <w:r>
        <w:rPr>
          <w:b/>
        </w:rPr>
        <w:t xml:space="preserve">Location in revised manuscript: </w:t>
      </w:r>
      <w:r>
        <w:t>Section 6.3 (dependence-aware inference), Table 5 (statistical tests), and Fig. 9.</w:t>
      </w:r>
    </w:p>
    <w:p>
      <w:r>
        <w:rPr>
          <w:b/>
          <w:sz w:val="22"/>
        </w:rPr>
        <w:t>R3.4  Ablation and model-component transparency</w:t>
      </w:r>
    </w:p>
    <w:p>
      <w:r>
        <w:rPr>
          <w:b/>
        </w:rPr>
        <w:t xml:space="preserve">Reviewer comment: </w:t>
      </w:r>
      <w:r>
        <w:t>Need component-level ablation (removing individual base learners and BiLSTM attention); parameterization must be explicit.</w:t>
      </w:r>
    </w:p>
    <w:p>
      <w:r>
        <w:rPr>
          <w:b/>
        </w:rPr>
        <w:t xml:space="preserve">Response: </w:t>
      </w:r>
      <w:r>
        <w:t>Accepted. A full ablation grid and transparent hyperparameter table are added.</w:t>
      </w:r>
    </w:p>
    <w:p>
      <w:r>
        <w:rPr>
          <w:b/>
        </w:rPr>
        <w:t xml:space="preserve">Changes made: </w:t>
      </w:r>
      <w:r/>
    </w:p>
    <w:p>
      <w:r>
        <w:t xml:space="preserve">  •  Ablation study: all subsets of base learners evaluated; removing BiLSTM degrades ensemble AUC most (ablation_results.csv).</w:t>
      </w:r>
    </w:p>
    <w:p>
      <w:r>
        <w:t xml:space="preserve">  •  BiLSTM attention vs no-attention ablation included.</w:t>
      </w:r>
    </w:p>
    <w:p>
      <w:r>
        <w:t xml:space="preserve">  •  Final hyperparameter table (all_best_params.json) and summary table added to manuscript.</w:t>
      </w:r>
    </w:p>
    <w:p>
      <w:r>
        <w:rPr>
          <w:b/>
        </w:rPr>
        <w:t xml:space="preserve">Location in revised manuscript: </w:t>
      </w:r>
      <w:r>
        <w:t>Section 4.4 (ablation study) and corresponding ablation table and figure.</w:t>
      </w:r>
    </w:p>
    <w:p>
      <w:r>
        <w:rPr>
          <w:b/>
          <w:sz w:val="22"/>
        </w:rPr>
        <w:t>R3.5  Literature recency and citation quality</w:t>
      </w:r>
    </w:p>
    <w:p>
      <w:r>
        <w:rPr>
          <w:b/>
        </w:rPr>
        <w:t xml:space="preserve">Reviewer comment: </w:t>
      </w:r>
      <w:r>
        <w:t>References should be modernized and citation metadata corrected.</w:t>
      </w:r>
    </w:p>
    <w:p>
      <w:r>
        <w:rPr>
          <w:b/>
        </w:rPr>
        <w:t xml:space="preserve">Response: </w:t>
      </w:r>
      <w:r>
        <w:t>Addressed identically to R1.7/R2.6: Hamilton DOI corrected, Lundberg &amp; Lee arXiv URL updated, four GNN references added (GATE-GNN 2024, EATSA-GNN 2025, PIMPC-GNN 2026, GBK-GNN 2021).</w:t>
      </w:r>
    </w:p>
    <w:p>
      <w:r>
        <w:rPr>
          <w:b/>
        </w:rPr>
        <w:t xml:space="preserve">Location in revised manuscript: </w:t>
      </w:r>
      <w:r>
        <w:t>References section and Section 2.2 (updated literature positioning).</w:t>
      </w:r>
    </w:p>
    <w:p>
      <w:r>
        <w:rPr>
          <w:b/>
          <w:sz w:val="22"/>
        </w:rPr>
        <w:t>R3.6  Regime-specific baselines and target-realization clarity</w:t>
      </w:r>
    </w:p>
    <w:p>
      <w:r>
        <w:rPr>
          <w:b/>
        </w:rPr>
        <w:t xml:space="preserve">Reviewer comment: </w:t>
      </w:r>
      <w:r>
        <w:t>Need explicit regime-local baselines and clear prediction target realization and execution timing.</w:t>
      </w:r>
    </w:p>
    <w:p>
      <w:r>
        <w:rPr>
          <w:b/>
        </w:rPr>
        <w:t xml:space="preserve">Response: </w:t>
      </w:r>
      <w:r>
        <w:t>Accepted. Regime-local baselines are explicitly reported and the prediction-to-execution timeline is defined.</w:t>
      </w:r>
    </w:p>
    <w:p>
      <w:r>
        <w:rPr>
          <w:b/>
        </w:rPr>
        <w:t xml:space="preserve">Changes made: </w:t>
      </w:r>
      <w:r/>
    </w:p>
    <w:p>
      <w:r>
        <w:t xml:space="preserve">  •  Regime-local majority baselines: High-VIX = 100%, Low-VIX = 70.2% (see R1.6).</w:t>
      </w:r>
    </w:p>
    <w:p>
      <w:r>
        <w:t xml:space="preserve">  •  Prediction target: direction of close[t+21] relative to close[t] (binary Up/Down label).</w:t>
      </w:r>
    </w:p>
    <w:p>
      <w:r>
        <w:t xml:space="preserve">  •  Prediction generated at close of day t; execution at open of day t+1; position closed at close of day t+21.</w:t>
      </w:r>
    </w:p>
    <w:p>
      <w:r>
        <w:rPr>
          <w:b/>
        </w:rPr>
        <w:t xml:space="preserve">Location in revised manuscript: </w:t>
      </w:r>
      <w:r>
        <w:t>Section 3.1 (target variable definition), Section 5.2 (regime-conditioned accuracy with local baselines), and Section 5.3 (execution timeline).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Summary of Revision Impact</w:t>
      </w:r>
    </w:p>
    <w:p>
      <w:r>
        <w:t xml:space="preserve">  •  Split-boundary label leakage removed: training boundary moved from 2023-10-12 (1,410 rows) to 2023-09-11 (1,794 rows); validation from 297 to 273 rows; test from 277 to 276 rows.</w:t>
      </w:r>
    </w:p>
    <w:p>
      <w:r>
        <w:t xml:space="preserve">  •  Threshold look-ahead bias eliminated: regime threshold changed from test-derived 15.08 to pre-test p75 = 18.71; High-VIX test count reduced from 58 to 8.</w:t>
      </w:r>
    </w:p>
    <w:p>
      <w:r>
        <w:t xml:space="preserve">  •  Trading simulation corrected: buy-and-hold Sharpe 1.204; strategy Sharpe 0.455 at TC = 0 bps declining to 0.375 at TC = 50 bps. Strategy does not exceed buy-and-hold in Sharpe.</w:t>
      </w:r>
    </w:p>
    <w:p>
      <w:r>
        <w:t xml:space="preserve">  •  Inference upgraded to dependence-aware procedures: non-overlapping Fisher, block-bootstrap CI [16.2 pp, 51.4 pp], block-permutation p = 0.357 (non-significant after Bonferroni).</w:t>
      </w:r>
    </w:p>
    <w:p>
      <w:r>
        <w:t xml:space="preserve">  •  Generalizability claims tempered: walk-forward analysis across 2019–2025 shows inconsistent High-VIX advantage across years.</w:t>
      </w:r>
    </w:p>
    <w:p>
      <w:r>
        <w:t xml:space="preserve">  •  Baselines, SHAP, and ablation fully reported: regime-local majority baselines, SHAP regime tables/figures, and full ablation grid added.</w:t>
      </w:r>
    </w:p>
    <w:p>
      <w:r>
        <w:t xml:space="preserve">  •  References corrected and updated: GATE-GNN, EATSA-GNN, PIMPC-GNN, GBK-GNN added; Hamilton and Lundberg &amp; Lee metadata corrected.</w:t>
      </w:r>
    </w:p>
    <w:p>
      <w:r>
        <w:t xml:space="preserve">  •  Reproducibility: hyperparameter table and feature specification table added.</w:t>
      </w:r>
    </w:p>
    <w:p/>
    <w:p>
      <w:r>
        <w:t>We thank the Reviewers again for the constructive guidance, which has substantially improved the rigour and transparency of the manuscript.</w:t>
      </w:r>
    </w:p>
    <w:p/>
    <w:p>
      <w:r>
        <w:t>Sincerely,</w:t>
      </w:r>
    </w:p>
    <w:p>
      <w:r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