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BUSINESS CASE</w:t>
      </w:r>
    </w:p>
    <w:p>
      <w:pPr>
        <w:spacing w:after="60"/>
        <w:jc w:val="center"/>
      </w:pPr>
      <w:r>
        <w:rPr>
          <w:b/>
          <w:bCs/>
          <w:sz w:val="34"/>
          <w:szCs w:val="34"/>
        </w:rPr>
        <w:t xml:space="preserve">Azure to AWS Cloud Migration</w:t>
      </w:r>
    </w:p>
    <w:p>
      <w:pPr>
        <w:spacing w:after="60"/>
        <w:jc w:val="center"/>
      </w:pPr>
      <w:r>
        <w:rPr>
          <w:sz w:val="24"/>
          <w:szCs w:val="24"/>
        </w:rPr>
        <w:t xml:space="preserve">Strategic Imperative: Mandatory Azure Exit — Hard Contract Deadline</w:t>
      </w:r>
    </w:p>
    <w:p>
      <w:pPr>
        <w:spacing w:after="60"/>
        <w:jc w:val="center"/>
      </w:pPr>
      <w:r>
        <w:rPr>
          <w:i/>
          <w:iCs/>
          <w:sz w:val="20"/>
          <w:szCs w:val="20"/>
        </w:rPr>
        <w:t xml:space="preserve">Confidential  |  June 2026  |  Board Submission</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rPr>
          <w:tblHeader/>
        </w:trPr>
        <w:tc>
          <w:tcPr>
            <w:tcW w:type="dxa" w:w="30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Attribute</w:t>
            </w:r>
          </w:p>
        </w:tc>
        <w:tc>
          <w:tcPr>
            <w:tcW w:type="dxa" w:w="72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Organisation</w:t>
            </w:r>
          </w:p>
        </w:tc>
        <w:tc>
          <w:tcPr>
            <w:tcW w:type="dxa" w:w="7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Telecom — wireless and wireline business units</w:t>
            </w:r>
          </w:p>
        </w:tc>
      </w:tr>
      <w:tr>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Migration scope</w:t>
            </w:r>
          </w:p>
        </w:tc>
        <w:tc>
          <w:tcPr>
            <w:tcW w:type="dxa" w:w="7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SQL MI (50TB) + Azure Data Factory + SSIS + Windows Services + Azure Functions → AWS</w:t>
            </w:r>
          </w:p>
        </w:tc>
      </w:tr>
      <w:tr>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Strategic driver</w:t>
            </w:r>
          </w:p>
        </w:tc>
        <w:tc>
          <w:tcPr>
            <w:tcW w:type="dxa" w:w="7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Board-directed Azure exit. Azure contract expires in 6–9 months. Migration is mandatory — not optional.</w:t>
            </w:r>
          </w:p>
        </w:tc>
      </w:tr>
      <w:tr>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Business context</w:t>
            </w:r>
          </w:p>
        </w:tc>
        <w:tc>
          <w:tcPr>
            <w:tcW w:type="dxa" w:w="7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Wireless business unit already operates on AWS. This migration unifies the organisation on a single cloud platform for the first time.</w:t>
            </w:r>
          </w:p>
        </w:tc>
      </w:tr>
      <w:tr>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Decision required</w:t>
            </w:r>
          </w:p>
        </w:tc>
        <w:tc>
          <w:tcPr>
            <w:tcW w:type="dxa" w:w="7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Board approval to fund the migration programme and formally accept the programme delivery risk within the Azure contract window.</w:t>
            </w:r>
          </w:p>
        </w:tc>
      </w:tr>
      <w:tr>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Current Azure spend</w:t>
            </w:r>
          </w:p>
        </w:tc>
        <w:tc>
          <w:tcPr>
            <w:tcW w:type="dxa" w:w="7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$100K–200K/month (all Azure services combined — SQL MI, ADF, VM, networking)</w:t>
            </w:r>
          </w:p>
        </w:tc>
      </w:tr>
      <w:tr>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Document owner</w:t>
            </w:r>
          </w:p>
        </w:tc>
        <w:tc>
          <w:tcPr>
            <w:tcW w:type="dxa" w:w="7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Migration Programme Sponsor</w:t>
            </w:r>
          </w:p>
        </w:tc>
      </w:tr>
      <w:tr>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Status</w:t>
            </w:r>
          </w:p>
        </w:tc>
        <w:tc>
          <w:tcPr>
            <w:tcW w:type="dxa" w:w="7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v2.0 — Draft for Board Review. Updated for target database change from Aurora PostgreSQL to AWS RDS for SQL Server (lift-and-shift, same engine as source) — see §4.1 and §5.2 for revised investment and steady-state cost figures.</w:t>
            </w:r>
          </w:p>
        </w:tc>
      </w:tr>
    </w:tbl>
    <w:p>
      <w:r>
        <w:br w:type="page"/>
      </w:r>
    </w:p>
    <w:p>
      <w:pPr>
        <w:pStyle w:val="Heading1"/>
        <w:spacing w:after="160" w:before="340"/>
      </w:pPr>
      <w:r>
        <w:t xml:space="preserve">1.  Executive Summary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563EB" w:sz="1"/>
              <w:left w:val="single" w:color="2563EB" w:sz="8"/>
              <w:bottom w:val="single" w:color="2563EB" w:sz="1"/>
              <w:right w:val="single" w:color="2563EB" w:sz="1"/>
            </w:tcBorders>
            <w:shd w:fill="EFF6FF" w:val="clear"/>
            <w:tcMar>
              <w:top w:type="dxa" w:w="130"/>
              <w:left w:type="dxa" w:w="200"/>
              <w:bottom w:type="dxa" w:w="130"/>
              <w:right w:type="dxa" w:w="160"/>
            </w:tcMar>
          </w:tcPr>
          <w:p>
            <w:pPr>
              <w:spacing w:after="65"/>
            </w:pPr>
            <w:r>
              <w:rPr>
                <w:b/>
                <w:bCs/>
                <w:color w:val="1E3A5F"/>
                <w:sz w:val="21"/>
                <w:szCs w:val="21"/>
              </w:rPr>
              <w:t xml:space="preserve">This is not a technology choice — it is a contractual obligation with financial and operational consequences</w:t>
            </w:r>
          </w:p>
          <w:p>
            <w:pPr>
              <w:spacing w:after="48"/>
            </w:pPr>
            <w:r>
              <w:rPr>
                <w:color w:val="1E3A5F"/>
                <w:sz w:val="20"/>
                <w:szCs w:val="20"/>
              </w:rPr>
              <w:t xml:space="preserve">The organisation's Azure contract expires in 6–9 months. All Azure services — SQL Managed Instance, Azure Data Factory, SSIS Integration Runtime, Azure Virtual Machine, and Azure Functions — must be decommissioned before that date.</w:t>
            </w:r>
          </w:p>
          <w:p>
            <w:pPr>
              <w:spacing w:after="48"/>
            </w:pPr>
            <w:r>
              <w:rPr>
                <w:color w:val="1E3A5F"/>
                <w:sz w:val="20"/>
                <w:szCs w:val="20"/>
              </w:rPr>
              <w:t xml:space="preserve">Failure to complete the migration before the Azure contract end date results in one of three outcomes: (1) Azure contract renewal at likely higher rates with no long-term strategic benefit; (2) emergency migration under extreme time pressure with significantly higher delivery risk; (3) extended overlap period running both Azure and AWS simultaneously at full cost of both.</w:t>
            </w:r>
          </w:p>
          <w:p>
            <w:pPr>
              <w:spacing w:after="48"/>
            </w:pPr>
            <w:r>
              <w:rPr>
                <w:color w:val="1E3A5F"/>
                <w:sz w:val="20"/>
                <w:szCs w:val="20"/>
              </w:rPr>
              <w:t xml:space="preserve">The wireless business unit already operates on AWS. Completing this migration unifies the entire organisation on AWS for the first time — enabling shared infrastructure, shared data, shared security model, and a single cloud vendor relationship. This is a strategic outcome the Board has already approved in principle.</w:t>
            </w:r>
          </w:p>
          <w:p>
            <w:pPr>
              <w:spacing w:after="48"/>
            </w:pPr>
            <w:r>
              <w:rPr>
                <w:color w:val="1E3A5F"/>
                <w:sz w:val="20"/>
                <w:szCs w:val="20"/>
              </w:rPr>
              <w:t xml:space="preserve">The business case for this migration is therefore not "should we migrate" — that decision has been made. It is "how do we fund and execute this migration to meet the contractual deadline while minimising delivery risk and cost."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6"/>
      </w:tblGrid>
      <w:tr>
        <w:tc>
          <w:tcPr>
            <w:tcW w:type="dxa" w:w="2556"/>
            <w:tcBorders>
              <w:top w:val="single" w:color="CCCCCC" w:sz="1"/>
              <w:left w:val="single" w:color="CCCCCC" w:sz="1"/>
              <w:bottom w:val="single" w:color="CCCCCC" w:sz="1"/>
              <w:right w:val="single" w:color="CCCCCC" w:sz="1"/>
            </w:tcBorders>
            <w:shd w:fill="B91C1C" w:val="clear"/>
            <w:tcMar>
              <w:top w:type="dxa" w:w="120"/>
              <w:left w:type="dxa" w:w="140"/>
              <w:bottom w:type="dxa" w:w="120"/>
              <w:right w:type="dxa" w:w="140"/>
            </w:tcMar>
            <w:vAlign w:val="top"/>
          </w:tcPr>
          <w:p>
            <w:pPr>
              <w:spacing w:after="30"/>
              <w:jc w:val="center"/>
            </w:pPr>
            <w:r>
              <w:rPr>
                <w:b/>
                <w:bCs/>
                <w:color w:val="FFFFFF"/>
                <w:sz w:val="36"/>
                <w:szCs w:val="36"/>
              </w:rPr>
              <w:t xml:space="preserve">$100K–200K</w:t>
            </w:r>
          </w:p>
          <w:p>
            <w:pPr>
              <w:spacing w:after="20"/>
              <w:jc w:val="center"/>
            </w:pPr>
            <w:r>
              <w:rPr>
                <w:color w:val="E0E7FF"/>
                <w:sz w:val="18"/>
                <w:szCs w:val="18"/>
              </w:rPr>
              <w:t xml:space="preserve">Azure Spend/Month</w:t>
            </w:r>
          </w:p>
          <w:p>
            <w:pPr>
              <w:spacing w:after="0"/>
              <w:jc w:val="center"/>
            </w:pPr>
            <w:r>
              <w:rPr>
                <w:i/>
                <w:iCs/>
                <w:color w:val="BAE6FD"/>
                <w:sz w:val="16"/>
                <w:szCs w:val="16"/>
              </w:rPr>
              <w:t xml:space="preserve">current run rate — exits at migration</w:t>
            </w:r>
          </w:p>
        </w:tc>
        <w:tc>
          <w:tcPr>
            <w:tcW w:type="dxa" w:w="2556"/>
            <w:tcBorders>
              <w:top w:val="single" w:color="CCCCCC" w:sz="1"/>
              <w:left w:val="single" w:color="CCCCCC" w:sz="1"/>
              <w:bottom w:val="single" w:color="CCCCCC" w:sz="1"/>
              <w:right w:val="single" w:color="CCCCCC" w:sz="1"/>
            </w:tcBorders>
            <w:shd w:fill="15803D" w:val="clear"/>
            <w:tcMar>
              <w:top w:type="dxa" w:w="120"/>
              <w:left w:type="dxa" w:w="140"/>
              <w:bottom w:type="dxa" w:w="120"/>
              <w:right w:type="dxa" w:w="140"/>
            </w:tcMar>
            <w:vAlign w:val="top"/>
          </w:tcPr>
          <w:p>
            <w:pPr>
              <w:spacing w:after="30"/>
              <w:jc w:val="center"/>
            </w:pPr>
            <w:r>
              <w:rPr>
                <w:b/>
                <w:bCs/>
                <w:color w:val="FFFFFF"/>
                <w:sz w:val="36"/>
                <w:szCs w:val="36"/>
              </w:rPr>
              <w:t xml:space="preserve">$18K–35K</w:t>
            </w:r>
          </w:p>
          <w:p>
            <w:pPr>
              <w:spacing w:after="20"/>
              <w:jc w:val="center"/>
            </w:pPr>
            <w:r>
              <w:rPr>
                <w:color w:val="E0E7FF"/>
                <w:sz w:val="18"/>
                <w:szCs w:val="18"/>
              </w:rPr>
              <w:t xml:space="preserve">AWS Steady State</w:t>
            </w:r>
          </w:p>
          <w:p>
            <w:pPr>
              <w:spacing w:after="0"/>
              <w:jc w:val="center"/>
            </w:pPr>
            <w:r>
              <w:rPr>
                <w:i/>
                <w:iCs/>
                <w:color w:val="BAE6FD"/>
                <w:sz w:val="16"/>
                <w:szCs w:val="16"/>
              </w:rPr>
              <w:t xml:space="preserve">/month post-migration</w:t>
            </w:r>
          </w:p>
        </w:tc>
        <w:tc>
          <w:tcPr>
            <w:tcW w:type="dxa" w:w="2556"/>
            <w:tcBorders>
              <w:top w:val="single" w:color="CCCCCC" w:sz="1"/>
              <w:left w:val="single" w:color="CCCCCC" w:sz="1"/>
              <w:bottom w:val="single" w:color="CCCCCC" w:sz="1"/>
              <w:right w:val="single" w:color="CCCCCC" w:sz="1"/>
            </w:tcBorders>
            <w:shd w:fill="15803D" w:val="clear"/>
            <w:tcMar>
              <w:top w:type="dxa" w:w="120"/>
              <w:left w:type="dxa" w:w="140"/>
              <w:bottom w:type="dxa" w:w="120"/>
              <w:right w:type="dxa" w:w="140"/>
            </w:tcMar>
            <w:vAlign w:val="top"/>
          </w:tcPr>
          <w:p>
            <w:pPr>
              <w:spacing w:after="30"/>
              <w:jc w:val="center"/>
            </w:pPr>
            <w:r>
              <w:rPr>
                <w:b/>
                <w:bCs/>
                <w:color w:val="FFFFFF"/>
                <w:sz w:val="36"/>
                <w:szCs w:val="36"/>
              </w:rPr>
              <w:t xml:space="preserve">$800K–2M</w:t>
            </w:r>
          </w:p>
          <w:p>
            <w:pPr>
              <w:spacing w:after="20"/>
              <w:jc w:val="center"/>
            </w:pPr>
            <w:r>
              <w:rPr>
                <w:color w:val="E0E7FF"/>
                <w:sz w:val="18"/>
                <w:szCs w:val="18"/>
              </w:rPr>
              <w:t xml:space="preserve">Annual Saving</w:t>
            </w:r>
          </w:p>
          <w:p>
            <w:pPr>
              <w:spacing w:after="0"/>
              <w:jc w:val="center"/>
            </w:pPr>
            <w:r>
              <w:rPr>
                <w:i/>
                <w:iCs/>
                <w:color w:val="BAE6FD"/>
                <w:sz w:val="16"/>
                <w:szCs w:val="16"/>
              </w:rPr>
              <w:t xml:space="preserve">run-rate vs Azure baseline</w:t>
            </w:r>
          </w:p>
        </w:tc>
        <w:tc>
          <w:tcPr>
            <w:tcW w:type="dxa" w:w="2556"/>
            <w:tcBorders>
              <w:top w:val="single" w:color="CCCCCC" w:sz="1"/>
              <w:left w:val="single" w:color="CCCCCC" w:sz="1"/>
              <w:bottom w:val="single" w:color="CCCCCC" w:sz="1"/>
              <w:right w:val="single" w:color="CCCCCC" w:sz="1"/>
            </w:tcBorders>
            <w:shd w:fill="B45309" w:val="clear"/>
            <w:tcMar>
              <w:top w:type="dxa" w:w="120"/>
              <w:left w:type="dxa" w:w="140"/>
              <w:bottom w:type="dxa" w:w="120"/>
              <w:right w:type="dxa" w:w="140"/>
            </w:tcMar>
            <w:vAlign w:val="top"/>
          </w:tcPr>
          <w:p>
            <w:pPr>
              <w:spacing w:after="30"/>
              <w:jc w:val="center"/>
            </w:pPr>
            <w:r>
              <w:rPr>
                <w:b/>
                <w:bCs/>
                <w:color w:val="FFFFFF"/>
                <w:sz w:val="36"/>
                <w:szCs w:val="36"/>
              </w:rPr>
              <w:t xml:space="preserve">6–9 months</w:t>
            </w:r>
          </w:p>
          <w:p>
            <w:pPr>
              <w:spacing w:after="20"/>
              <w:jc w:val="center"/>
            </w:pPr>
            <w:r>
              <w:rPr>
                <w:color w:val="E0E7FF"/>
                <w:sz w:val="18"/>
                <w:szCs w:val="18"/>
              </w:rPr>
              <w:t xml:space="preserve">Migration Window</w:t>
            </w:r>
          </w:p>
          <w:p>
            <w:pPr>
              <w:spacing w:after="0"/>
              <w:jc w:val="center"/>
            </w:pPr>
            <w:r>
              <w:rPr>
                <w:i/>
                <w:iCs/>
                <w:color w:val="BAE6FD"/>
                <w:sz w:val="16"/>
                <w:szCs w:val="16"/>
              </w:rPr>
              <w:t xml:space="preserve">hard Azure contract deadline</w:t>
            </w:r>
          </w:p>
        </w:tc>
      </w:tr>
    </w:tbl>
    <w:p>
      <w:pPr>
        <w:spacing w:after="110"/>
      </w:pPr>
      <w:r>
        <w:rPr>
          <w:sz w:val="21"/>
          <w:szCs w:val="21"/>
        </w:rPr>
        <w:t xml:space="preserve"/>
      </w:r>
    </w:p>
    <w:p>
      <w:pPr>
        <w:pStyle w:val="Heading2"/>
        <w:spacing w:after="100" w:before="240"/>
      </w:pPr>
      <w:r>
        <w:t xml:space="preserve">1.1  The Decision the Board is Being Asked to Make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600"/>
        <w:gridCol w:w="2424"/>
      </w:tblGrid>
      <w:tr>
        <w:trPr>
          <w:tblHeader/>
        </w:trPr>
        <w:tc>
          <w:tcPr>
            <w:tcW w:type="dxa" w:w="2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Option</w:t>
            </w:r>
          </w:p>
        </w:tc>
        <w:tc>
          <w:tcPr>
            <w:tcW w:type="dxa" w:w="30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Description</w:t>
            </w:r>
          </w:p>
        </w:tc>
        <w:tc>
          <w:tcPr>
            <w:tcW w:type="dxa" w:w="26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Cost Implication</w:t>
            </w:r>
          </w:p>
        </w:tc>
        <w:tc>
          <w:tcPr>
            <w:tcW w:type="dxa" w:w="24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Option 1 — Execute migration on plan (RECOMMENDED)</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Fund the migration programme now. Complete all workstreams within the Azure contract window. Decommission Azure at contract end.</w:t>
            </w:r>
          </w:p>
        </w:tc>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One-time migration investment: $1.2M–2.1M (see §4). AWS steady-state: $18K–35K/month. Azure cost eliminated at contract end.</w:t>
            </w:r>
          </w:p>
        </w:tc>
        <w:tc>
          <w:tcPr>
            <w:tcW w:type="dxa" w:w="2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Delivery risk: 28-week programme against 6–9 month window. Manageable with correct programme structure.</w:t>
            </w:r>
          </w:p>
        </w:tc>
      </w:tr>
      <w:tr>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Option 2 — Renew Azure contract short-term, migrate later</w:t>
            </w:r>
          </w:p>
        </w:tc>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Accept a 12-month Azure renewal. Take more time for migration. Migrate in a less time-pressured environment.</w:t>
            </w:r>
          </w:p>
        </w:tc>
        <w:tc>
          <w:tcPr>
            <w:tcW w:type="dxa" w:w="2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renewal at current rates: $1.2M–2.4M/year additional. Renewal penalty likely as break-clause passed. AWS costs begin only after migration completes.</w:t>
            </w:r>
          </w:p>
        </w:tc>
        <w:tc>
          <w:tcPr>
            <w:tcW w:type="dxa" w:w="2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No delivery risk reduction — same migration complexity but higher total cost. Board credibility risk on single-cloud strategy.</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Option 3 — Emergency migration at contract deadline</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No action until deadline is 2–3 months away. Crash programme with contracted specialists.</w:t>
            </w:r>
          </w:p>
        </w:tc>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Cost premium for emergency delivery: 40–60% above Option 1. Azure penalty for overrun. Dual-running costs.</w:t>
            </w:r>
          </w:p>
        </w:tc>
        <w:tc>
          <w:tcPr>
            <w:tcW w:type="dxa" w:w="2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High. Crash programmes at scale have high failure rates. Application stability at risk. Data integrity risk under compressed testing timelines.</w:t>
            </w:r>
          </w:p>
        </w:tc>
      </w:tr>
      <w:tr>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Option 4 — Negotiate Azure exit with migration support clause</w:t>
            </w:r>
          </w:p>
        </w:tc>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Negotiate Azure contract extension that includes a cost reduction or exit support credit, buying 3–4 additional months at reduced cost.</w:t>
            </w:r>
          </w:p>
        </w:tc>
        <w:tc>
          <w:tcPr>
            <w:tcW w:type="dxa" w:w="2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Depends on negotiation outcome. Best case: 3–4 months additional at 50% reduced rate = $150K–600K additional cost vs Option 1.</w:t>
            </w:r>
          </w:p>
        </w:tc>
        <w:tc>
          <w:tcPr>
            <w:tcW w:type="dxa" w:w="2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Negotiation outcome uncertain. Does not reduce technical delivery risk — same complexity, slightly more time.</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6A34A" w:sz="1"/>
              <w:left w:val="single" w:color="16A34A" w:sz="8"/>
              <w:bottom w:val="single" w:color="16A34A" w:sz="1"/>
              <w:right w:val="single" w:color="16A34A" w:sz="1"/>
            </w:tcBorders>
            <w:shd w:fill="F0FDF4" w:val="clear"/>
            <w:tcMar>
              <w:top w:type="dxa" w:w="130"/>
              <w:left w:type="dxa" w:w="200"/>
              <w:bottom w:type="dxa" w:w="130"/>
              <w:right w:type="dxa" w:w="160"/>
            </w:tcMar>
          </w:tcPr>
          <w:p>
            <w:pPr>
              <w:spacing w:after="65"/>
            </w:pPr>
            <w:r>
              <w:rPr>
                <w:b/>
                <w:bCs/>
                <w:color w:val="14532D"/>
                <w:sz w:val="21"/>
                <w:szCs w:val="21"/>
              </w:rPr>
              <w:t xml:space="preserve">Board Recommendation: Option 1</w:t>
            </w:r>
          </w:p>
          <w:p>
            <w:pPr>
              <w:spacing w:after="48"/>
            </w:pPr>
            <w:r>
              <w:rPr>
                <w:color w:val="14532D"/>
                <w:sz w:val="20"/>
                <w:szCs w:val="20"/>
              </w:rPr>
              <w:t xml:space="preserve">Approve the migration programme now. Begin immediately. The Azure contract deadline is fixed — every week of delay shrinks the delivery window. Option 1 is the only option that exits Azure at contract end without penalty or emergency premium.</w:t>
            </w:r>
          </w:p>
          <w:p>
            <w:pPr>
              <w:spacing w:after="48"/>
            </w:pPr>
            <w:r>
              <w:rPr>
                <w:color w:val="14532D"/>
                <w:sz w:val="20"/>
                <w:szCs w:val="20"/>
              </w:rPr>
              <w:t xml:space="preserve">Option 4 (negotiate reduced-rate extension) should be pursued in parallel as a risk mitigation — not as the primary plan. If 3–4 additional months can be secured at reduced cost, it provides programme headroom without changing the migration approach.</w:t>
            </w:r>
          </w:p>
        </w:tc>
      </w:tr>
    </w:tbl>
    <w:p>
      <w:r>
        <w:br w:type="page"/>
      </w:r>
    </w:p>
    <w:p>
      <w:pPr>
        <w:pStyle w:val="Heading1"/>
        <w:spacing w:after="160" w:before="340"/>
      </w:pPr>
      <w:r>
        <w:t xml:space="preserve">2.  Strategic Context</w:t>
      </w:r>
    </w:p>
    <w:p>
      <w:pPr>
        <w:pStyle w:val="Heading2"/>
        <w:spacing w:after="100" w:before="240"/>
      </w:pPr>
      <w:r>
        <w:t xml:space="preserve">2.1  Why This Migration Is Mandatory</w:t>
      </w:r>
    </w:p>
    <w:p>
      <w:pPr>
        <w:spacing w:after="110"/>
      </w:pPr>
      <w:r>
        <w:rPr>
          <w:sz w:val="21"/>
          <w:szCs w:val="21"/>
        </w:rPr>
        <w:t xml:space="preserve">The organisation operates two business units: wireless (already on AWS) and wireline/enterprise (currently on Azure). The Board has approved a single-cloud strategy with AWS as the chosen platform — driven by the wireless business's existing AWS footprint, AWS's strength in telco infrastructure, and the operational and commercial benefits of a single cloud vendor relationship.</w:t>
      </w:r>
    </w:p>
    <w:p>
      <w:pPr>
        <w:spacing w:after="110"/>
      </w:pPr>
      <w:r>
        <w:rPr>
          <w:sz w:val="21"/>
          <w:szCs w:val="21"/>
        </w:rPr>
        <w:t xml:space="preserve"/>
      </w:r>
    </w:p>
    <w:p>
      <w:pPr>
        <w:spacing w:after="110"/>
      </w:pPr>
      <w:r>
        <w:rPr>
          <w:sz w:val="21"/>
          <w:szCs w:val="21"/>
        </w:rPr>
        <w:t xml:space="preserve">The Azure contract was not renewed at last review because of this strategic direction. The contract now has a hard end date within the next 6–9 months. There is no commercial or strategic case for Azure renewal. The migration must complete within this window.</w:t>
      </w:r>
    </w:p>
    <w:p>
      <w:pPr>
        <w:spacing w:after="110"/>
      </w:pPr>
      <w:r>
        <w:rPr>
          <w:sz w:val="21"/>
          <w:szCs w:val="21"/>
        </w:rPr>
        <w:t xml:space="preserve"/>
      </w:r>
    </w:p>
    <w:p>
      <w:pPr>
        <w:pStyle w:val="Heading2"/>
        <w:spacing w:after="100" w:before="240"/>
      </w:pPr>
      <w:r>
        <w:t xml:space="preserve">2.2  What Changes When Both Business Units Are on AWS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2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Capability</w:t>
            </w:r>
          </w:p>
        </w:tc>
        <w:tc>
          <w:tcPr>
            <w:tcW w:type="dxa" w:w="36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Current State (Dual Cloud)</w:t>
            </w:r>
          </w:p>
        </w:tc>
        <w:tc>
          <w:tcPr>
            <w:tcW w:type="dxa" w:w="42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Future State (AWS Only)</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Data sharing between wireless and wireline</w:t>
            </w:r>
          </w:p>
        </w:tc>
        <w:tc>
          <w:tcPr>
            <w:tcW w:type="dxa" w:w="3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Complex and expensive: data must cross cloud boundaries via egress charges, ETL pipelines, or third-party integration. No native sharing.</w:t>
            </w:r>
          </w:p>
        </w:tc>
        <w:tc>
          <w:tcPr>
            <w:tcW w:type="dxa" w:w="4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Native AWS cross-account sharing via AWS RAM, S3 bucket policies, RDS SQL Server cross-account access, and Glue Data Catalog federation. Real-time data sharing at near-zero cost.</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Security and compliance model</w:t>
            </w:r>
          </w:p>
        </w:tc>
        <w:tc>
          <w:tcPr>
            <w:tcW w:type="dxa" w:w="3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Two separate cloud security models, two sets of IAM policies, two audit trails, two compliance frameworks. Doubled audit and governance overhead.</w:t>
            </w:r>
          </w:p>
        </w:tc>
        <w:tc>
          <w:tcPr>
            <w:tcW w:type="dxa" w:w="4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Single AWS security model: unified IAM, AWS Organizations for cross-account governance, CloudTrail for organisation-wide audit, AWS Security Hub for unified compliance posture.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Cloud vendor relationship</w:t>
            </w:r>
          </w:p>
        </w:tc>
        <w:tc>
          <w:tcPr>
            <w:tcW w:type="dxa" w:w="3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Two vendors (Microsoft and AWS). Two sets of commercial negotiations, two enterprise support contracts, two escalation paths.</w:t>
            </w:r>
          </w:p>
        </w:tc>
        <w:tc>
          <w:tcPr>
            <w:tcW w:type="dxa" w:w="4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Single AWS enterprise agreement covering the entire organisation. Consolidated spend qualifies for AWS Enterprise Discount Programme (EDP) — typically 10–20% discount on committed spend. Potential saving: $200K–500K/year on committed AWS spend.</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Operational team structure</w:t>
            </w:r>
          </w:p>
        </w:tc>
        <w:tc>
          <w:tcPr>
            <w:tcW w:type="dxa" w:w="3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Two separate cloud ops teams or one team maintaining expertise in both platforms. PySpark, Terraform, and Python skills on AWS; T-SQL, ARM templates, and ADF skills on Azure.</w:t>
            </w:r>
          </w:p>
        </w:tc>
        <w:tc>
          <w:tcPr>
            <w:tcW w:type="dxa" w:w="4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One platform team maintaining one cloud platform. Skill investment compounds. Hiring and retention easier — AWS skills are more in demand than Azure-specific ETL skills.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Innovation and new capabilities</w:t>
            </w:r>
          </w:p>
        </w:tc>
        <w:tc>
          <w:tcPr>
            <w:tcW w:type="dxa" w:w="3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New AWS capabilities (Bedrock for AI, EMR for large-scale analytics, Redshift for DW, SageMaker for ML) not available in Azure SQL MI / ADF ecosystem.</w:t>
            </w:r>
          </w:p>
        </w:tc>
        <w:tc>
          <w:tcPr>
            <w:tcW w:type="dxa" w:w="4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Full AWS service catalogue available across both business units. Analytics, AI/ML, and data platform capabilities shared rather than duplicated.</w:t>
            </w:r>
          </w:p>
        </w:tc>
      </w:tr>
    </w:tbl>
    <w:p>
      <w:pPr>
        <w:spacing w:after="110"/>
      </w:pPr>
      <w:r>
        <w:rPr>
          <w:sz w:val="21"/>
          <w:szCs w:val="21"/>
        </w:rPr>
        <w:t xml:space="preserve"/>
      </w:r>
    </w:p>
    <w:p>
      <w:pPr>
        <w:pStyle w:val="Heading2"/>
        <w:spacing w:after="100" w:before="240"/>
      </w:pPr>
      <w:r>
        <w:t xml:space="preserve">2.3  AWS Enterprise Discount Programme (EDP) Opportunity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30"/>
              <w:left w:type="dxa" w:w="200"/>
              <w:bottom w:type="dxa" w:w="130"/>
              <w:right w:type="dxa" w:w="160"/>
            </w:tcMar>
          </w:tcPr>
          <w:p>
            <w:pPr>
              <w:spacing w:after="65"/>
            </w:pPr>
            <w:r>
              <w:rPr>
                <w:b/>
                <w:bCs/>
                <w:color w:val="134E4A"/>
                <w:sz w:val="21"/>
                <w:szCs w:val="21"/>
              </w:rPr>
              <w:t xml:space="preserve">Combined AWS spend creates EDP eligibility that does not exist today</w:t>
            </w:r>
          </w:p>
          <w:p>
            <w:pPr>
              <w:spacing w:after="48"/>
            </w:pPr>
            <w:r>
              <w:rPr>
                <w:color w:val="134E4A"/>
                <w:sz w:val="20"/>
                <w:szCs w:val="20"/>
              </w:rPr>
              <w:t xml:space="preserve">The wireless business unit already has an AWS spend commitment. Adding the wireline business's projected AWS spend ($18K–35K/month steady-state, but significantly higher including shared services) creates a combined annual AWS commitment that typically qualifies for AWS EDP negotiations.</w:t>
            </w:r>
          </w:p>
          <w:p>
            <w:pPr>
              <w:spacing w:after="48"/>
            </w:pPr>
            <w:r>
              <w:rPr>
                <w:color w:val="134E4A"/>
                <w:sz w:val="20"/>
                <w:szCs w:val="20"/>
              </w:rPr>
              <w:t xml:space="preserve">AWS EDP typically provides 10–20% discount on committed spend in exchange for a multi-year commitment. At a combined AWS spend of $40K–70K/month ($480K–840K/year), an EDP discount of 15% represents $72K–126K/year in perpetual savings — on top of the Azure exit saving.</w:t>
            </w:r>
          </w:p>
          <w:p>
            <w:pPr>
              <w:spacing w:after="48"/>
            </w:pPr>
            <w:r>
              <w:rPr>
                <w:color w:val="134E4A"/>
                <w:sz w:val="20"/>
                <w:szCs w:val="20"/>
              </w:rPr>
              <w:t xml:space="preserve">This is a commercial opportunity that only exists after the migration completes and the two business units' AWS spend is consolidated. It should be included in the business case benefits and the commercial team should initiate AWS EDP scoping conversations now.</w:t>
            </w:r>
          </w:p>
        </w:tc>
      </w:tr>
    </w:tbl>
    <w:p>
      <w:r>
        <w:br w:type="page"/>
      </w:r>
    </w:p>
    <w:p>
      <w:pPr>
        <w:pStyle w:val="Heading1"/>
        <w:spacing w:after="160" w:before="340"/>
      </w:pPr>
      <w:r>
        <w:t xml:space="preserve">3.  Cost of Inaction — What Happens If Migration Is Not Funded Now</w:t>
      </w:r>
    </w:p>
    <w:p>
      <w:pPr>
        <w:spacing w:after="110"/>
      </w:pPr>
      <w:r>
        <w:rPr>
          <w:sz w:val="21"/>
          <w:szCs w:val="21"/>
        </w:rPr>
        <w:t xml:space="preserve">This section quantifies the financial exposure from delayed funding. Every month of delay narrows the delivery window and increases either delivery risk or post-deadline cost.</w:t>
      </w:r>
    </w:p>
    <w:p>
      <w:pPr>
        <w:spacing w:after="110"/>
      </w:pPr>
      <w:r>
        <w:rPr>
          <w:sz w:val="21"/>
          <w:szCs w:val="21"/>
        </w:rPr>
        <w:t xml:space="preserve"/>
      </w:r>
    </w:p>
    <w:p>
      <w:pPr>
        <w:pStyle w:val="Heading2"/>
        <w:spacing w:after="100" w:before="240"/>
      </w:pPr>
      <w:r>
        <w:t xml:space="preserve">3.1  The Deadline Arithmetic</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34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Scenario</w:t>
            </w:r>
          </w:p>
        </w:tc>
        <w:tc>
          <w:tcPr>
            <w:tcW w:type="dxa" w:w="2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Azure Contract Window</w:t>
            </w:r>
          </w:p>
        </w:tc>
        <w:tc>
          <w:tcPr>
            <w:tcW w:type="dxa" w:w="2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Migration Programme Duration</w:t>
            </w:r>
          </w:p>
        </w:tc>
        <w:tc>
          <w:tcPr>
            <w:tcW w:type="dxa" w:w="34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Approve funding now (June 2026)</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6–9 months remaining</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22–28 weeks (5.5–7 months)</w:t>
            </w:r>
          </w:p>
        </w:tc>
        <w:tc>
          <w:tcPr>
            <w:tcW w:type="dxa" w:w="3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Feasible on tight schedule. Programme must start immediately. No room for a slow start. Parallel workstreams from Week 1.</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Approve funding in 4 weeks</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5.5–8.5 months remaining</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22–28 weeks</w:t>
            </w:r>
          </w:p>
        </w:tc>
        <w:tc>
          <w:tcPr>
            <w:tcW w:type="dxa" w:w="3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Still feasible but window narrows. Parallel workstreams must be compressed further. Risk of needing Azure extension increases from 15% to 30%.</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Approve funding in 8 weeks</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5–8 months remaining</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22–28 weeks</w:t>
            </w:r>
          </w:p>
        </w:tc>
        <w:tc>
          <w:tcPr>
            <w:tcW w:type="dxa" w:w="3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Borderline. High probability of needing 4–6 week Azure extension. Extension cost: $100K–300K additional.</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Approve funding in 12 weeks</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4.5–7.5 months remaining</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22–28 weeks</w:t>
            </w:r>
          </w:p>
        </w:tc>
        <w:tc>
          <w:tcPr>
            <w:tcW w:type="dxa" w:w="3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High probability of missing Azure deadline. Extension or emergency premium near-certain. Additional cost: $400K–1M.</w:t>
            </w:r>
          </w:p>
        </w:tc>
      </w:tr>
    </w:tbl>
    <w:p>
      <w:pPr>
        <w:spacing w:after="110"/>
      </w:pPr>
      <w:r>
        <w:rPr>
          <w:sz w:val="21"/>
          <w:szCs w:val="21"/>
        </w:rPr>
        <w:t xml:space="preserve"/>
      </w:r>
    </w:p>
    <w:p>
      <w:pPr>
        <w:pStyle w:val="Heading2"/>
        <w:spacing w:after="100" w:before="240"/>
      </w:pPr>
      <w:r>
        <w:t xml:space="preserve">3.2  Cost of Missing the Azure Contract Deadline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3624"/>
      </w:tblGrid>
      <w:tr>
        <w:trPr>
          <w:tblHeader/>
        </w:trPr>
        <w:tc>
          <w:tcPr>
            <w:tcW w:type="dxa" w:w="3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Cost Element</w:t>
            </w:r>
          </w:p>
        </w:tc>
        <w:tc>
          <w:tcPr>
            <w:tcW w:type="dxa" w:w="16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Low Estimate</w:t>
            </w:r>
          </w:p>
        </w:tc>
        <w:tc>
          <w:tcPr>
            <w:tcW w:type="dxa" w:w="16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High Estimate</w:t>
            </w:r>
          </w:p>
        </w:tc>
        <w:tc>
          <w:tcPr>
            <w:tcW w:type="dxa" w:w="36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contract extension penalty</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$150,000</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Typical break-clause penalty for short-extension negotiation. Increases if extended beyond 90 days.</w:t>
            </w:r>
          </w:p>
        </w:tc>
      </w:tr>
      <w:tr>
        <w:tc>
          <w:tcPr>
            <w:tcW w:type="dxa" w:w="3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continued run-rate during extension (per month)</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$100,000</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$200,000</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Full Azure spend continues until migration completes. 3-month extension = $300K–600K.</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parallel running costs during overlap</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$20,000</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$35,000</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environments are live during overlap. Per month.</w:t>
            </w:r>
          </w:p>
        </w:tc>
      </w:tr>
      <w:tr>
        <w:tc>
          <w:tcPr>
            <w:tcW w:type="dxa" w:w="3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Emergency delivery premium (if crash programme required)</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$200,000</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$500,000</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Engaging specialist migration delivery partners under time pressure typically carries 40–60% premium over planned delivery cost.</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Productivity impact — extended freeze on application feature delivery</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$100,000</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$300,000</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DDL freeze and migration testing periods constrain application development. Extended timeline multiplies this cost.</w:t>
            </w:r>
          </w:p>
        </w:tc>
      </w:tr>
      <w:tr>
        <w:tc>
          <w:tcPr>
            <w:tcW w:type="dxa" w:w="3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Total cost of missing deadline (3-month overrun)</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$770,000</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$1,785,000</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Compared to on-plan delivery cost of $1.2M–2.1M — a miss costs nearly as much as the migration itself.</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30"/>
              <w:left w:type="dxa" w:w="200"/>
              <w:bottom w:type="dxa" w:w="130"/>
              <w:right w:type="dxa" w:w="160"/>
            </w:tcMar>
          </w:tcPr>
          <w:p>
            <w:pPr>
              <w:spacing w:after="65"/>
            </w:pPr>
            <w:r>
              <w:rPr>
                <w:b/>
                <w:bCs/>
                <w:color w:val="78350F"/>
                <w:sz w:val="21"/>
                <w:szCs w:val="21"/>
              </w:rPr>
              <w:t xml:space="preserve">The financial case for funding now is unambiguous</w:t>
            </w:r>
          </w:p>
          <w:p>
            <w:pPr>
              <w:spacing w:after="48"/>
            </w:pPr>
            <w:r>
              <w:rPr>
                <w:color w:val="78350F"/>
                <w:sz w:val="20"/>
                <w:szCs w:val="20"/>
              </w:rPr>
              <w:t xml:space="preserve">Funding the migration now and delivering on plan costs $1.2M–2.1M one-time.</w:t>
            </w:r>
          </w:p>
          <w:p>
            <w:pPr>
              <w:spacing w:after="48"/>
            </w:pPr>
            <w:r>
              <w:rPr>
                <w:color w:val="78350F"/>
                <w:sz w:val="20"/>
                <w:szCs w:val="20"/>
              </w:rPr>
              <w:t xml:space="preserve">Missing the Azure deadline by 3 months costs an additional $770K–1.8M on top of the migration cost — nearly doubling the programme cost.</w:t>
            </w:r>
          </w:p>
          <w:p>
            <w:pPr>
              <w:spacing w:after="48"/>
            </w:pPr>
            <w:r>
              <w:rPr>
                <w:color w:val="78350F"/>
                <w:sz w:val="20"/>
                <w:szCs w:val="20"/>
              </w:rPr>
              <w:t xml:space="preserve">Every month of funding delay costs approximately $100K–200K in continued Azure spend that on-plan delivery would have exited.</w:t>
            </w:r>
          </w:p>
        </w:tc>
      </w:tr>
    </w:tbl>
    <w:p>
      <w:r>
        <w:br w:type="page"/>
      </w:r>
    </w:p>
    <w:p>
      <w:pPr>
        <w:pStyle w:val="Heading1"/>
        <w:spacing w:after="160" w:before="340"/>
      </w:pPr>
      <w:r>
        <w:t xml:space="preserve">4.  Investment Required</w:t>
      </w:r>
    </w:p>
    <w:p>
      <w:pPr>
        <w:spacing w:after="110"/>
      </w:pPr>
      <w:r>
        <w:rPr>
          <w:sz w:val="21"/>
          <w:szCs w:val="21"/>
        </w:rPr>
        <w:t xml:space="preserve">The total migration investment includes all cost categories: delivery, tooling, overlap, and productivity impact. Previous programme documentation (§7 of Migration Plan v4) focused only on cloud infrastructure costs. This section includes the full investment picture.</w:t>
      </w:r>
    </w:p>
    <w:p>
      <w:pPr>
        <w:spacing w:after="110"/>
      </w:pPr>
      <w:r>
        <w:rPr>
          <w:sz w:val="21"/>
          <w:szCs w:val="21"/>
        </w:rPr>
        <w:t xml:space="preserve"/>
      </w:r>
    </w:p>
    <w:p>
      <w:pPr>
        <w:pStyle w:val="Heading2"/>
        <w:spacing w:after="100" w:before="240"/>
      </w:pPr>
      <w:r>
        <w:t xml:space="preserve">4.1  Delivery Cost — Engineering Time (Largest Cost Category)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30"/>
              <w:left w:type="dxa" w:w="200"/>
              <w:bottom w:type="dxa" w:w="130"/>
              <w:right w:type="dxa" w:w="160"/>
            </w:tcMar>
          </w:tcPr>
          <w:p>
            <w:pPr>
              <w:spacing w:after="65"/>
            </w:pPr>
            <w:r>
              <w:rPr>
                <w:b/>
                <w:bCs/>
                <w:color w:val="78350F"/>
                <w:sz w:val="21"/>
                <w:szCs w:val="21"/>
              </w:rPr>
              <w:t xml:space="preserve">Engineer time is the dominant migration cost and was absent from previous cost estimates</w:t>
            </w:r>
          </w:p>
          <w:p>
            <w:pPr>
              <w:spacing w:after="48"/>
            </w:pPr>
            <w:r>
              <w:rPr>
                <w:color w:val="78350F"/>
                <w:sz w:val="20"/>
                <w:szCs w:val="20"/>
              </w:rPr>
              <w:t xml:space="preserve">A migration of this scope and complexity requires a dedicated team for 22–28 weeks. Based on the 10 parallel workstreams identified in the migration plan, the minimum team is approximately: 1 Migration Lead, 1 DBA Lead (+ 2 DBA engineers), 1 ETL Lead (+ 3 ETL engineers), 1 Application Lead (+ 2 app developers), 1 Cloud Architect, 1 QA Lead (+ 1 QA engineer), 1 DevOps engineer = 14 people.</w:t>
            </w:r>
          </w:p>
          <w:p>
            <w:pPr>
              <w:spacing w:after="48"/>
            </w:pPr>
            <w:r>
              <w:rPr>
                <w:color w:val="78350F"/>
                <w:sz w:val="20"/>
                <w:szCs w:val="20"/>
              </w:rPr>
              <w:t xml:space="preserve">At a blended fully-loaded rate of $120–180/hour for senior engineers in a telecom context, 14 people × 26 weeks × 40 hours = 14,560 person-hours. Cost range: $1.75M–2.6M in engineering time alone if all are external contractors.</w:t>
            </w:r>
          </w:p>
          <w:p>
            <w:pPr>
              <w:spacing w:after="48"/>
            </w:pPr>
            <w:r>
              <w:rPr>
                <w:color w:val="78350F"/>
                <w:sz w:val="20"/>
                <w:szCs w:val="20"/>
              </w:rPr>
              <w:t xml:space="preserve">If the delivery team is a mix of internal (existing staff redirected from BAU) and external specialists, the external cost is lower but the internal opportunity cost (BAU work not done) must be acknowledged. The BAU impact on application feature delivery during the DDL freeze period is real and should be budgeted separately as a business unit cost.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6A34A" w:sz="1"/>
              <w:left w:val="single" w:color="16A34A" w:sz="8"/>
              <w:bottom w:val="single" w:color="16A34A" w:sz="1"/>
              <w:right w:val="single" w:color="16A34A" w:sz="1"/>
            </w:tcBorders>
            <w:shd w:fill="F0FDF4" w:val="clear"/>
            <w:tcMar>
              <w:top w:type="dxa" w:w="130"/>
              <w:left w:type="dxa" w:w="200"/>
              <w:bottom w:type="dxa" w:w="130"/>
              <w:right w:type="dxa" w:w="160"/>
            </w:tcMar>
          </w:tcPr>
          <w:p>
            <w:pPr>
              <w:spacing w:after="65"/>
            </w:pPr>
            <w:r>
              <w:rPr>
                <w:b/>
                <w:bCs/>
                <w:color w:val="14532D"/>
                <w:sz w:val="21"/>
                <w:szCs w:val="21"/>
              </w:rPr>
              <w:t xml:space="preserve">Lower investment than originally scoped — no PostgreSQL specialist required</w:t>
            </w:r>
          </w:p>
          <w:p>
            <w:pPr>
              <w:spacing w:after="48"/>
            </w:pPr>
            <w:r>
              <w:rPr>
                <w:color w:val="14532D"/>
                <w:sz w:val="20"/>
                <w:szCs w:val="20"/>
              </w:rPr>
              <w:t xml:space="preserve">With the target database changed to AWS RDS for SQL Server (same engine as source), the dedicated PostgreSQL/Aurora specialist consultant line item is removed entirely from this investment table. The existing SQL Server DBA team's skills transfer directly to RDS — no new database engine to learn.</w:t>
            </w:r>
          </w:p>
          <w:p>
            <w:pPr>
              <w:spacing w:after="48"/>
            </w:pPr>
            <w:r>
              <w:rPr>
                <w:color w:val="14532D"/>
                <w:sz w:val="20"/>
                <w:szCs w:val="20"/>
              </w:rPr>
              <w:t xml:space="preserve">This reduces both the one-time investment and the delivery risk for the same hard deadline.</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4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Cost Category</w:t>
            </w:r>
          </w:p>
        </w:tc>
        <w:tc>
          <w:tcPr>
            <w:tcW w:type="dxa" w:w="15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Low ($)</w:t>
            </w:r>
          </w:p>
        </w:tc>
        <w:tc>
          <w:tcPr>
            <w:tcW w:type="dxa" w:w="15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High ($)</w:t>
            </w:r>
          </w:p>
        </w:tc>
        <w:tc>
          <w:tcPr>
            <w:tcW w:type="dxa" w:w="44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Engineering delivery — external specialists</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550,000</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1,100,000</w:t>
            </w:r>
          </w:p>
        </w:tc>
        <w:tc>
          <w:tcPr>
            <w:tcW w:type="dxa" w:w="4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Assumes mixed team: ~5 external specialists (DBA, ETL architects) at blended $180/hr × 26 weeks × 40 hrs. Internal team cost captured as opportunity cost separately. Lower than a cross-engine migration since no PostgreSQL specialist is required.</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AWS professional services (optional)</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50,000</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150,000</w:t>
            </w:r>
          </w:p>
        </w:tc>
        <w:tc>
          <w:tcPr>
            <w:tcW w:type="dxa" w:w="4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AWS Migration Acceleration Programme (MAP) funding may offset some or all of this. AWS often co-invests in migrations to AWS — worth engaging AWS account team.</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Training — PySpark, RDS SQL Server operations, AWS toolchain</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15,000</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30,000</w:t>
            </w:r>
          </w:p>
        </w:tc>
        <w:tc>
          <w:tcPr>
            <w:tcW w:type="dxa" w:w="4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Team bootcamp (PySpark, 2 weeks) + RDS SQL Server operations workshop (existing DBA skills transfer directly — shorter training than a cross-engine migration would require), online training subscriptions, AWS certification for platform team.</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Tooling — GHCP, Devin (if approved), monitoring</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15,000</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40,000</w:t>
            </w:r>
          </w:p>
        </w:tc>
        <w:tc>
          <w:tcPr>
            <w:tcW w:type="dxa" w:w="4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GHCP $19/seat/month × 14 seats × 7 months = $1,862. Devin if approved: ACU-based, estimate $20–40K for the migration period. Additional monitoring tooling.</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infrastructure — migration period</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25,000</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50,000</w:t>
            </w:r>
          </w:p>
        </w:tc>
        <w:tc>
          <w:tcPr>
            <w:tcW w:type="dxa" w:w="4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DMS replication instance (homogeneous, no schema/type translation), Glue job runs during conversion and testing, Lambda invocations, S3 staging storage, RDS SQL Server dev/staging instances.</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Data transfer — Azure egress (50TB)</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40,000</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60,000</w:t>
            </w:r>
          </w:p>
        </w:tc>
        <w:tc>
          <w:tcPr>
            <w:tcW w:type="dxa" w:w="4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charges egress. 50TB at $0.05–0.08/GB = $2,500–4,000/TB outbound. Often negotiable in exit scenarios — raise with Microsoft commercial team.</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Snowball (if bandwidth &lt;500Mbps)</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20,000</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30,000</w:t>
            </w:r>
          </w:p>
        </w:tc>
        <w:tc>
          <w:tcPr>
            <w:tcW w:type="dxa" w:w="4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Physical transfer devices for cold archive if network bandwidth is insufficient.</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overlap period — running both platforms (estimate 6 weeks)</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150,000</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300,000</w:t>
            </w:r>
          </w:p>
        </w:tc>
        <w:tc>
          <w:tcPr>
            <w:tcW w:type="dxa" w:w="4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continues at full rate during parallel-run and cutover period. 6 weeks × $25K–50K/week.</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Productivity loss — DDL freeze period</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90,000</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220,000</w:t>
            </w:r>
          </w:p>
        </w:tc>
        <w:tc>
          <w:tcPr>
            <w:tcW w:type="dxa" w:w="4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Application feature delivery pauses during the DDL freeze. Estimated at 20% productivity reduction across 5 application developers for the freeze window — somewhat shorter than a cross-engine migration since there is no schema conversion validation cycle.</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Cutover contingency (rollback scenario)</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100,000</w:t>
            </w:r>
          </w:p>
        </w:tc>
        <w:tc>
          <w:tcPr>
            <w:tcW w:type="dxa" w:w="15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200,000</w:t>
            </w:r>
          </w:p>
        </w:tc>
        <w:tc>
          <w:tcPr>
            <w:tcW w:type="dxa" w:w="44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Reserve for a failed first cutover attempt: rollback, additional testing, re-attempt. P(rollback) estimated at 10–15% given well-prepared programme and the lower complexity of a same-engine migration.</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TOTAL ONE-TIME INVESTMENT</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1,055,000</w:t>
            </w:r>
          </w:p>
        </w:tc>
        <w:tc>
          <w:tcPr>
            <w:tcW w:type="dxa" w:w="15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2,180,000</w:t>
            </w:r>
          </w:p>
        </w:tc>
        <w:tc>
          <w:tcPr>
            <w:tcW w:type="dxa" w:w="44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Range reflects internal vs external team mix and whether rollback is exercised. Lower than the original Aurora PostgreSQL-target estimate, primarily from removing the PostgreSQL specialist engagement and a shorter training/validation cycle.</w:t>
            </w:r>
          </w:p>
        </w:tc>
      </w:tr>
    </w:tbl>
    <w:p>
      <w:pPr>
        <w:spacing w:after="110"/>
      </w:pPr>
      <w:r>
        <w:rPr>
          <w:sz w:val="21"/>
          <w:szCs w:val="21"/>
        </w:rPr>
        <w:t xml:space="preserve"/>
      </w:r>
    </w:p>
    <w:p>
      <w:pPr>
        <w:pStyle w:val="Heading2"/>
        <w:spacing w:after="100" w:before="240"/>
      </w:pPr>
      <w:r>
        <w:t xml:space="preserve">4.2  AWS Migration Acceleration Programme (MAP)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30"/>
              <w:left w:type="dxa" w:w="200"/>
              <w:bottom w:type="dxa" w:w="130"/>
              <w:right w:type="dxa" w:w="160"/>
            </w:tcMar>
          </w:tcPr>
          <w:p>
            <w:pPr>
              <w:spacing w:after="65"/>
            </w:pPr>
            <w:r>
              <w:rPr>
                <w:b/>
                <w:bCs/>
                <w:color w:val="134E4A"/>
                <w:sz w:val="21"/>
                <w:szCs w:val="21"/>
              </w:rPr>
              <w:t xml:space="preserve">AWS MAP funding may offset a significant portion of the migration cost</w:t>
            </w:r>
          </w:p>
          <w:p>
            <w:pPr>
              <w:spacing w:after="48"/>
            </w:pPr>
            <w:r>
              <w:rPr>
                <w:color w:val="134E4A"/>
                <w:sz w:val="20"/>
                <w:szCs w:val="20"/>
              </w:rPr>
              <w:t xml:space="preserve">AWS offers Migration Acceleration Programme (MAP) funding for migrations of this scale. MAP typically provides AWS credits and in some cases cash funding for qualifying migrations.</w:t>
            </w:r>
          </w:p>
          <w:p>
            <w:pPr>
              <w:spacing w:after="48"/>
            </w:pPr>
            <w:r>
              <w:rPr>
                <w:color w:val="134E4A"/>
                <w:sz w:val="20"/>
                <w:szCs w:val="20"/>
              </w:rPr>
              <w:t xml:space="preserve">For a migration moving $100K–200K/month of workload to AWS, MAP funding of $100K–300K in AWS credits is plausible. AWS credits can offset the AWS infrastructure costs during the migration period and the first months of steady-state AWS operation.</w:t>
            </w:r>
          </w:p>
          <w:p>
            <w:pPr>
              <w:spacing w:after="48"/>
            </w:pPr>
            <w:r>
              <w:rPr>
                <w:color w:val="134E4A"/>
                <w:sz w:val="20"/>
                <w:szCs w:val="20"/>
              </w:rPr>
              <w:t xml:space="preserve">Action: the commercial team and AWS account manager should open MAP eligibility conversations immediately. MAP funding is easier to secure when the migration has not started yet — it is harder to claim retrospectively.</w:t>
            </w:r>
          </w:p>
          <w:p>
            <w:pPr>
              <w:spacing w:after="48"/>
            </w:pPr>
            <w:r>
              <w:rPr>
                <w:color w:val="134E4A"/>
                <w:sz w:val="20"/>
                <w:szCs w:val="20"/>
              </w:rPr>
              <w:t xml:space="preserve">The wireless business unit's existing AWS relationship may accelerate MAP approval.</w:t>
            </w:r>
          </w:p>
        </w:tc>
      </w:tr>
    </w:tbl>
    <w:p>
      <w:r>
        <w:br w:type="page"/>
      </w:r>
    </w:p>
    <w:p>
      <w:pPr>
        <w:pStyle w:val="Heading1"/>
        <w:spacing w:after="160" w:before="340"/>
      </w:pPr>
      <w:r>
        <w:t xml:space="preserve">5.  Financial Return</w:t>
      </w:r>
    </w:p>
    <w:p>
      <w:pPr>
        <w:pStyle w:val="Heading2"/>
        <w:spacing w:after="100" w:before="240"/>
      </w:pPr>
      <w:r>
        <w:t xml:space="preserve">5.1  Azure Baseline — What We Are Exiting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224"/>
      </w:tblGrid>
      <w:tr>
        <w:trPr>
          <w:tblHeader/>
        </w:trPr>
        <w:tc>
          <w:tcPr>
            <w:tcW w:type="dxa" w:w="3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Azure Service</w:t>
            </w:r>
          </w:p>
        </w:tc>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Current Monthly Cost (Est.)</w:t>
            </w:r>
          </w:p>
        </w:tc>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Annual Cost (Est.)</w:t>
            </w:r>
          </w:p>
        </w:tc>
        <w:tc>
          <w:tcPr>
            <w:tcW w:type="dxa" w:w="22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SQL Managed Instance (50TB)</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$40,000–80,000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$480,000–960,000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Business Critical tier for OLTP SLA. Storage + compute + licence.</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Data Factory (pipelines + Data Flows)</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$15,000–30,000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$180,000–360,000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Pipeline runs, Mapping Data Flow cluster hours, IR.</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Virtual Machine (SSIS + Windows Services)</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$8,000–15,000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$96,000–180,000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D-series or E-series VMs for SSIS Integration Runtime + Windows Services. Includes OS licence.</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Functions</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$2,000–5,000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$24,000–60,000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Consumption-plan execution charges.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networking (egress, VPN, ExpressRoute)</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$10,000–30,000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$120,000–360,000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Egress to on-premises, cross-region, and internet. ExpressRoute if used.</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storage (ADLS Gen2, Blob)</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$5,000–15,000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$60,000–180,000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Data lake storage, staging, archive.</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monitoring, security, backup</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$5,000–15,000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$60,000–180,000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Defender for Cloud, backup vaults, Log Analytics.</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support contract</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$5,000–10,000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$60,000–120,000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Enterprise or Premier support.</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TOTAL AZURE (estimated)</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$90,000–200,000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$1,080,000–2,400,000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Midpoint: ~$150,000/month, ~$1,800,000/year</w:t>
            </w:r>
          </w:p>
        </w:tc>
      </w:tr>
    </w:tbl>
    <w:p>
      <w:pPr>
        <w:spacing w:after="110"/>
      </w:pPr>
      <w:r>
        <w:rPr>
          <w:sz w:val="21"/>
          <w:szCs w:val="21"/>
        </w:rPr>
        <w:t xml:space="preserve"/>
      </w:r>
    </w:p>
    <w:p>
      <w:pPr>
        <w:pStyle w:val="Heading2"/>
        <w:spacing w:after="100" w:before="240"/>
      </w:pPr>
      <w:r>
        <w:t xml:space="preserve">5.2  AWS Steady-State — What We Move To</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30"/>
              <w:left w:type="dxa" w:w="200"/>
              <w:bottom w:type="dxa" w:w="130"/>
              <w:right w:type="dxa" w:w="160"/>
            </w:tcMar>
          </w:tcPr>
          <w:p>
            <w:pPr>
              <w:spacing w:after="65"/>
            </w:pPr>
            <w:r>
              <w:rPr>
                <w:b/>
                <w:bCs/>
                <w:color w:val="78350F"/>
                <w:sz w:val="21"/>
                <w:szCs w:val="21"/>
              </w:rPr>
              <w:t xml:space="preserve">RDS SQL Server licensing changes the cost shape vs the original Aurora estimate</w:t>
            </w:r>
          </w:p>
          <w:p>
            <w:pPr>
              <w:spacing w:after="48"/>
            </w:pPr>
            <w:r>
              <w:rPr>
                <w:color w:val="78350F"/>
                <w:sz w:val="20"/>
                <w:szCs w:val="20"/>
              </w:rPr>
              <w:t xml:space="preserve">AWS RDS for SQL Server (License Included) carries Microsoft SQL Server licensing cost bundled into the instance price — materially higher than Aurora PostgreSQL's open-source-based pricing for an equivalent instance class. This is expected and is the trade-off for eliminating schema conversion risk.</w:t>
            </w:r>
          </w:p>
          <w:p>
            <w:pPr>
              <w:spacing w:after="48"/>
            </w:pPr>
            <w:r>
              <w:rPr>
                <w:color w:val="78350F"/>
                <w:sz w:val="20"/>
                <w:szCs w:val="20"/>
              </w:rPr>
              <w:t xml:space="preserve">The Bring Your Own License (BYOL) option may reduce this further if the organisation has Software Assurance-eligible SQL Server licences — see the RDS SQL Server Infrastructure Migration Guide §2.1 for the licensing decision framework. The figures below assume License Included as the conservative default.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224"/>
      </w:tblGrid>
      <w:tr>
        <w:trPr>
          <w:tblHeader/>
        </w:trPr>
        <w:tc>
          <w:tcPr>
            <w:tcW w:type="dxa" w:w="3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AWS Service</w:t>
            </w:r>
          </w:p>
        </w:tc>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Monthly Cost (Est.)</w:t>
            </w:r>
          </w:p>
        </w:tc>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Annual Cost (Est.)</w:t>
            </w:r>
          </w:p>
        </w:tc>
        <w:tc>
          <w:tcPr>
            <w:tcW w:type="dxa" w:w="22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RDS for SQL Server (T1 — 2TB OLTP, License Included)</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$2,800–4,200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$33,600–50,400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db.r6i.4xlarge Multi-AZ, License Included. Higher than the Aurora PostgreSQL equivalent due to bundled SQL Server licensing — BYOL may reduce this if eligible.</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RDS storage (T2 warm history — rolling window)</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$400–750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$4,800–9,000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If T2 Option B (rolling window) selected. Partitioned, older data exported to S3.</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Amazon S3 (T3 cold archive 33–38TB + staging)</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$200–400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$2,400–4,800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Parquet + Glacier for 3+ year archive. SSE-KMS included.</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AWS Glue (PySpark jobs — DPU based)</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$400–900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$4,800–10,800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Consumption-based. Idle pipelines cost $0. Flex execution for non-urgent.</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Lambda + Step Functions</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$100–350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$1,200–4,200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Lambda microsecond billing; Step Functions state transitions.</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Amazon EventBridge</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$10–50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$120–600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Event rules and scheduled triggers.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Transfer Family (SFTP)</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$200–500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$2,400–6,000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Managed SFTP replacing Azure VM hosted SFTP. Per-protocol endpoint + transfer charges.</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Amazon Athena (T3 queries)</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$100–300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$1,200–3,600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$5/TB scanned. Compliance and audit queries against cold archive.</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Glue Data Catalog</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$50–150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$600–1,800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Schema registry for Glue, Athena, and cross-account access.</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CloudWatch + monitoring</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$200–500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$2,400–6,000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Metrics, logs, alarms, dashboards. Includes DMS, Glue, RDS, Lambda metrics.</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support (Business or Enterprise)</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$3,000–8,000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$36,000–96,000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Recommend Enterprise Support given business criticality.</w:t>
            </w:r>
          </w:p>
        </w:tc>
      </w:tr>
      <w:tr>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Cross-account networking (PrivateLink/RAM)</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$500–1,000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$6,000–12,000</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Cross-account connectivity to wireless business unit AWS account.</w:t>
            </w:r>
          </w:p>
        </w:tc>
      </w:tr>
      <w:tr>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TOTAL AWS (estimated)</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$7,960–17,100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$95,520–205,200</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Midpoint: ~$12,500/month, ~$150,000/year. Higher than the original Aurora-target estimate due to SQL Server licensing — still a substantial saving vs the Azure baseline.</w:t>
            </w:r>
          </w:p>
        </w:tc>
      </w:tr>
    </w:tbl>
    <w:p>
      <w:pPr>
        <w:spacing w:after="110"/>
      </w:pPr>
      <w:r>
        <w:rPr>
          <w:sz w:val="21"/>
          <w:szCs w:val="21"/>
        </w:rPr>
        <w:t xml:space="preserve"/>
      </w:r>
    </w:p>
    <w:p>
      <w:pPr>
        <w:pStyle w:val="Heading2"/>
        <w:spacing w:after="100" w:before="240"/>
      </w:pPr>
      <w:r>
        <w:t xml:space="preserve">5.3  Net Annual Saving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824"/>
      </w:tblGrid>
      <w:tr>
        <w:trPr>
          <w:tblHeader/>
        </w:trPr>
        <w:tc>
          <w:tcPr>
            <w:tcW w:type="dxa" w:w="3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Metric</w:t>
            </w:r>
          </w:p>
        </w:tc>
        <w:tc>
          <w:tcPr>
            <w:tcW w:type="dxa" w:w="2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Low Scenario</w:t>
            </w:r>
          </w:p>
        </w:tc>
        <w:tc>
          <w:tcPr>
            <w:tcW w:type="dxa" w:w="2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Mid Scenario</w:t>
            </w:r>
          </w:p>
        </w:tc>
        <w:tc>
          <w:tcPr>
            <w:tcW w:type="dxa" w:w="28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High Scenario</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Current Azure annual cost</w:t>
            </w:r>
          </w:p>
        </w:tc>
        <w:tc>
          <w:tcPr>
            <w:tcW w:type="dxa" w:w="2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$1,080,000</w:t>
            </w:r>
          </w:p>
        </w:tc>
        <w:tc>
          <w:tcPr>
            <w:tcW w:type="dxa" w:w="2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$1,800,000</w:t>
            </w:r>
          </w:p>
        </w:tc>
        <w:tc>
          <w:tcPr>
            <w:tcW w:type="dxa" w:w="2824"/>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$2,400,000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AWS annual steady-state cost</w:t>
            </w:r>
          </w:p>
        </w:tc>
        <w:tc>
          <w:tcPr>
            <w:tcW w:type="dxa" w:w="2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$95,520</w:t>
            </w:r>
          </w:p>
        </w:tc>
        <w:tc>
          <w:tcPr>
            <w:tcW w:type="dxa" w:w="2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$150,000</w:t>
            </w:r>
          </w:p>
        </w:tc>
        <w:tc>
          <w:tcPr>
            <w:tcW w:type="dxa" w:w="2824"/>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$205,200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Gross annual saving</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$984,480</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$1,650,000</w:t>
            </w:r>
          </w:p>
        </w:tc>
        <w:tc>
          <w:tcPr>
            <w:tcW w:type="dxa" w:w="2824"/>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$2,194,800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AWS EDP discount (15% on committed spend, est.)</w:t>
            </w:r>
          </w:p>
        </w:tc>
        <w:tc>
          <w:tcPr>
            <w:tcW w:type="dxa" w:w="2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$14,328</w:t>
            </w:r>
          </w:p>
        </w:tc>
        <w:tc>
          <w:tcPr>
            <w:tcW w:type="dxa" w:w="2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$22,500</w:t>
            </w:r>
          </w:p>
        </w:tc>
        <w:tc>
          <w:tcPr>
            <w:tcW w:type="dxa" w:w="2824"/>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$30,780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NET ANNUAL SAVING (post-EDP)</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b/>
                <w:bCs/>
                <w:color w:val="111827"/>
                <w:sz w:val="20"/>
                <w:szCs w:val="20"/>
              </w:rPr>
              <w:t xml:space="preserve">$998,808</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b/>
                <w:bCs/>
                <w:color w:val="111827"/>
                <w:sz w:val="20"/>
                <w:szCs w:val="20"/>
              </w:rPr>
              <w:t xml:space="preserve">$1,672,500</w:t>
            </w:r>
          </w:p>
        </w:tc>
        <w:tc>
          <w:tcPr>
            <w:tcW w:type="dxa" w:w="2824"/>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b/>
                <w:bCs/>
                <w:color w:val="111827"/>
                <w:sz w:val="20"/>
                <w:szCs w:val="20"/>
              </w:rPr>
              <w:t xml:space="preserve">$2,225,580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One-time migration investment</w:t>
            </w:r>
          </w:p>
        </w:tc>
        <w:tc>
          <w:tcPr>
            <w:tcW w:type="dxa" w:w="2200"/>
            <w:tcBorders>
              <w:top w:val="single" w:color="CCCCCC" w:sz="1"/>
              <w:left w:val="single" w:color="CCCCCC" w:sz="1"/>
              <w:bottom w:val="single" w:color="CCCCCC" w:sz="1"/>
              <w:right w:val="single" w:color="CCCCCC" w:sz="1"/>
            </w:tcBorders>
            <w:shd w:fill="FEF9C3" w:val="clear"/>
            <w:tcMar>
              <w:top w:type="dxa" w:w="85"/>
              <w:left w:type="dxa" w:w="130"/>
              <w:bottom w:type="dxa" w:w="85"/>
              <w:right w:type="dxa" w:w="130"/>
            </w:tcMar>
            <w:vAlign w:val="top"/>
          </w:tcPr>
          <w:p>
            <w:pPr>
              <w:spacing w:after="40"/>
            </w:pPr>
            <w:r>
              <w:rPr>
                <w:color w:val="111827"/>
                <w:sz w:val="20"/>
                <w:szCs w:val="20"/>
              </w:rPr>
              <w:t xml:space="preserve">$1,055,000</w:t>
            </w:r>
          </w:p>
        </w:tc>
        <w:tc>
          <w:tcPr>
            <w:tcW w:type="dxa" w:w="2200"/>
            <w:tcBorders>
              <w:top w:val="single" w:color="CCCCCC" w:sz="1"/>
              <w:left w:val="single" w:color="CCCCCC" w:sz="1"/>
              <w:bottom w:val="single" w:color="CCCCCC" w:sz="1"/>
              <w:right w:val="single" w:color="CCCCCC" w:sz="1"/>
            </w:tcBorders>
            <w:shd w:fill="FEF9C3" w:val="clear"/>
            <w:tcMar>
              <w:top w:type="dxa" w:w="85"/>
              <w:left w:type="dxa" w:w="130"/>
              <w:bottom w:type="dxa" w:w="85"/>
              <w:right w:type="dxa" w:w="130"/>
            </w:tcMar>
            <w:vAlign w:val="top"/>
          </w:tcPr>
          <w:p>
            <w:pPr>
              <w:spacing w:after="40"/>
            </w:pPr>
            <w:r>
              <w:rPr>
                <w:color w:val="111827"/>
                <w:sz w:val="20"/>
                <w:szCs w:val="20"/>
              </w:rPr>
              <w:t xml:space="preserve">$1,617,500</w:t>
            </w:r>
          </w:p>
        </w:tc>
        <w:tc>
          <w:tcPr>
            <w:tcW w:type="dxa" w:w="2824"/>
            <w:tcBorders>
              <w:top w:val="single" w:color="CCCCCC" w:sz="1"/>
              <w:left w:val="single" w:color="CCCCCC" w:sz="1"/>
              <w:bottom w:val="single" w:color="CCCCCC" w:sz="1"/>
              <w:right w:val="single" w:color="CCCCCC" w:sz="1"/>
            </w:tcBorders>
            <w:shd w:fill="FEF9C3" w:val="clear"/>
            <w:tcMar>
              <w:top w:type="dxa" w:w="85"/>
              <w:left w:type="dxa" w:w="130"/>
              <w:bottom w:type="dxa" w:w="85"/>
              <w:right w:type="dxa" w:w="130"/>
            </w:tcMar>
            <w:vAlign w:val="top"/>
          </w:tcPr>
          <w:p>
            <w:pPr>
              <w:spacing w:after="40"/>
            </w:pPr>
            <w:r>
              <w:rPr>
                <w:color w:val="111827"/>
                <w:sz w:val="20"/>
                <w:szCs w:val="20"/>
              </w:rPr>
              <w:t xml:space="preserve">$2,180,000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Payback period</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b/>
                <w:bCs/>
                <w:color w:val="111827"/>
                <w:sz w:val="20"/>
                <w:szCs w:val="20"/>
              </w:rPr>
              <w:t xml:space="preserve">12.7 months</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b/>
                <w:bCs/>
                <w:color w:val="111827"/>
                <w:sz w:val="20"/>
                <w:szCs w:val="20"/>
              </w:rPr>
              <w:t xml:space="preserve">11.6 months</w:t>
            </w:r>
          </w:p>
        </w:tc>
        <w:tc>
          <w:tcPr>
            <w:tcW w:type="dxa" w:w="2824"/>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b/>
                <w:bCs/>
                <w:color w:val="111827"/>
                <w:sz w:val="20"/>
                <w:szCs w:val="20"/>
              </w:rPr>
              <w:t xml:space="preserve">11.8 months</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3-year net saving (saving minus investment)</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$1,941,000</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$3,400,000</w:t>
            </w:r>
          </w:p>
        </w:tc>
        <w:tc>
          <w:tcPr>
            <w:tcW w:type="dxa" w:w="2824"/>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$4,497,000</w:t>
            </w:r>
          </w:p>
        </w:tc>
      </w:tr>
      <w:tr>
        <w:tc>
          <w:tcPr>
            <w:tcW w:type="dxa" w:w="3200"/>
            <w:tcBorders>
              <w:top w:val="single" w:color="CCCCCC" w:sz="1"/>
              <w:left w:val="single" w:color="CCCCCC" w:sz="1"/>
              <w:bottom w:val="single" w:color="CCCCCC" w:sz="1"/>
              <w:right w:val="single" w:color="CCCCCC" w:sz="1"/>
            </w:tcBorders>
            <w:tcMar>
              <w:top w:type="dxa" w:w="85"/>
              <w:left w:type="dxa" w:w="130"/>
              <w:bottom w:type="dxa" w:w="85"/>
              <w:right w:type="dxa" w:w="130"/>
            </w:tcMar>
            <w:vAlign w:val="top"/>
          </w:tcPr>
          <w:p>
            <w:pPr>
              <w:spacing w:after="40"/>
            </w:pPr>
            <w:r>
              <w:rPr>
                <w:color w:val="111827"/>
                <w:sz w:val="20"/>
                <w:szCs w:val="20"/>
              </w:rPr>
              <w:t xml:space="preserve">5-year net saving</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$3,939,000</w:t>
            </w:r>
          </w:p>
        </w:tc>
        <w:tc>
          <w:tcPr>
            <w:tcW w:type="dxa" w:w="2200"/>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$6,745,000</w:t>
            </w:r>
          </w:p>
        </w:tc>
        <w:tc>
          <w:tcPr>
            <w:tcW w:type="dxa" w:w="2824"/>
            <w:tcBorders>
              <w:top w:val="single" w:color="CCCCCC" w:sz="1"/>
              <w:left w:val="single" w:color="CCCCCC" w:sz="1"/>
              <w:bottom w:val="single" w:color="CCCCCC" w:sz="1"/>
              <w:right w:val="single" w:color="CCCCCC" w:sz="1"/>
            </w:tcBorders>
            <w:shd w:fill="DCFCE7" w:val="clear"/>
            <w:tcMar>
              <w:top w:type="dxa" w:w="85"/>
              <w:left w:type="dxa" w:w="130"/>
              <w:bottom w:type="dxa" w:w="85"/>
              <w:right w:type="dxa" w:w="130"/>
            </w:tcMar>
            <w:vAlign w:val="top"/>
          </w:tcPr>
          <w:p>
            <w:pPr>
              <w:spacing w:after="40"/>
            </w:pPr>
            <w:r>
              <w:rPr>
                <w:color w:val="111827"/>
                <w:sz w:val="20"/>
                <w:szCs w:val="20"/>
              </w:rPr>
              <w:t xml:space="preserve">$8,948,000</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6A34A" w:sz="1"/>
              <w:left w:val="single" w:color="16A34A" w:sz="8"/>
              <w:bottom w:val="single" w:color="16A34A" w:sz="1"/>
              <w:right w:val="single" w:color="16A34A" w:sz="1"/>
            </w:tcBorders>
            <w:shd w:fill="F0FDF4" w:val="clear"/>
            <w:tcMar>
              <w:top w:type="dxa" w:w="130"/>
              <w:left w:type="dxa" w:w="200"/>
              <w:bottom w:type="dxa" w:w="130"/>
              <w:right w:type="dxa" w:w="160"/>
            </w:tcMar>
          </w:tcPr>
          <w:p>
            <w:pPr>
              <w:spacing w:after="65"/>
            </w:pPr>
            <w:r>
              <w:rPr>
                <w:b/>
                <w:bCs/>
                <w:color w:val="14532D"/>
                <w:sz w:val="21"/>
                <w:szCs w:val="21"/>
              </w:rPr>
              <w:t xml:space="preserve">Payback period: under 13 months in all scenarios — faster than the original Aurora-target estimate</w:t>
            </w:r>
          </w:p>
          <w:p>
            <w:pPr>
              <w:spacing w:after="48"/>
            </w:pPr>
            <w:r>
              <w:rPr>
                <w:color w:val="14532D"/>
                <w:sz w:val="20"/>
                <w:szCs w:val="20"/>
              </w:rPr>
              <w:t xml:space="preserve">The migration investment is recovered within 12–13 months of Azure exit in all three scenarios — slightly faster than the original Aurora PostgreSQL-target estimate, because the one-time investment fell by more than the steady-state AWS cost rose. After payback, the organisation saves $1.0M–2.2M every year in perpetuity.</w:t>
            </w:r>
          </w:p>
          <w:p>
            <w:pPr>
              <w:spacing w:after="48"/>
            </w:pPr>
            <w:r>
              <w:rPr>
                <w:color w:val="14532D"/>
                <w:sz w:val="20"/>
                <w:szCs w:val="20"/>
              </w:rPr>
              <w:t xml:space="preserve">Note: these figures use the confirmed Azure spend range of $100K–200K/month as the baseline. The mid scenario ($150K/month, $1.8M/year) is used as the primary planning figure.</w:t>
            </w:r>
          </w:p>
          <w:p>
            <w:pPr>
              <w:spacing w:after="48"/>
            </w:pPr>
            <w:r>
              <w:rPr>
                <w:color w:val="14532D"/>
                <w:sz w:val="20"/>
                <w:szCs w:val="20"/>
              </w:rPr>
              <w:t xml:space="preserve">The 5-year saving of $3.9M–8.8M represents the compounding value of this migration decision — not as a technology initiative, but as a commercially significant business decision.</w:t>
            </w:r>
          </w:p>
        </w:tc>
      </w:tr>
    </w:tbl>
    <w:p>
      <w:r>
        <w:br w:type="page"/>
      </w:r>
    </w:p>
    <w:p>
      <w:pPr>
        <w:pStyle w:val="Heading1"/>
        <w:spacing w:after="160" w:before="340"/>
      </w:pPr>
      <w:r>
        <w:t xml:space="preserve">6.  Non-Financial Benefits</w:t>
      </w:r>
    </w:p>
    <w:p>
      <w:pPr>
        <w:spacing w:after="110"/>
      </w:pPr>
      <w:r>
        <w:rPr>
          <w:sz w:val="21"/>
          <w:szCs w:val="21"/>
        </w:rPr>
        <w:t xml:space="preserve">The financial case alone justifies the migration. The following non-financial benefits represent additional strategic value that compounds over time.</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624"/>
      </w:tblGrid>
      <w:tr>
        <w:trPr>
          <w:tblHeader/>
        </w:trPr>
        <w:tc>
          <w:tcPr>
            <w:tcW w:type="dxa" w:w="26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Benefit</w:t>
            </w:r>
          </w:p>
        </w:tc>
        <w:tc>
          <w:tcPr>
            <w:tcW w:type="dxa" w:w="40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Description</w:t>
            </w:r>
          </w:p>
        </w:tc>
        <w:tc>
          <w:tcPr>
            <w:tcW w:type="dxa" w:w="36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Business Value</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Unified cloud platform with wireless business</w:t>
            </w:r>
          </w:p>
        </w:tc>
        <w:tc>
          <w:tcPr>
            <w:tcW w:type="dxa" w:w="4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Both business units on AWS enables real-time data sharing, shared data lake, joint analytics, and coordinated infrastructure. Currently requires cross-cloud ETL pipelines to share any data.</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Enables cross-business analytics, unified customer view, combined network and billing data correlation — capabilities that are technically impossible today across two clouds.</w:t>
            </w:r>
          </w:p>
        </w:tc>
      </w:tr>
      <w:tr>
        <w:tc>
          <w:tcPr>
            <w:tcW w:type="dxa" w:w="2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Single security and compliance model</w:t>
            </w:r>
          </w:p>
        </w:tc>
        <w:tc>
          <w:tcPr>
            <w:tcW w:type="dxa" w:w="4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One cloud, one IAM model, one audit trail, one compliance framework. AWS Organizations governs both accounts from a single control plane.</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Reduces annual compliance and audit effort. Estimated 20–30% reduction in security team overhead on cloud compliance activities.</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Operational simplicity — eliminate the Azure VM</w:t>
            </w:r>
          </w:p>
        </w:tc>
        <w:tc>
          <w:tcPr>
            <w:tcW w:type="dxa" w:w="4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The Azure VM running SSIS and Windows Services is the highest-maintenance component in the current estate. Patching, scaling, service restarts, monitoring. It becomes Lambda, Glue, and EventBridge — zero operational overhead.</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Eliminates an estimated 15–20% of the platform team's operational toil. Reclaimed capacity redirected to value-add work.</w:t>
            </w:r>
          </w:p>
        </w:tc>
      </w:tr>
      <w:tr>
        <w:tc>
          <w:tcPr>
            <w:tcW w:type="dxa" w:w="2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Telco-grade AWS capabilities now accessible</w:t>
            </w:r>
          </w:p>
        </w:tc>
        <w:tc>
          <w:tcPr>
            <w:tcW w:type="dxa" w:w="4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AWS has deep telco infrastructure: AWS Wavelength (edge compute), AWS Private 5G, Elemental for media, and Connect for contact centre. Currently inaccessible because wireline is on Azure.</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Opens the product roadmap to AWS telco capabilities that Azure does not offer at the same maturity. Competitive differentiator.</w:t>
            </w:r>
          </w:p>
        </w:tc>
      </w:tr>
      <w:tr>
        <w:tc>
          <w:tcPr>
            <w:tcW w:type="dxa" w:w="2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Open-source, portable ETL stack</w:t>
            </w:r>
          </w:p>
        </w:tc>
        <w:tc>
          <w:tcPr>
            <w:tcW w:type="dxa" w:w="4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Replacing ADF with Glue PySpark means the transformation code is open Apache Spark — portable to EMR, Databricks, or any Spark platform. No longer locked into a proprietary GUI ETL tool.</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Eliminates future ETL platform vendor lock-in. PySpark skills are broadly available in the market — easier to hire and retain than ADF specialists.</w:t>
            </w:r>
          </w:p>
        </w:tc>
      </w:tr>
      <w:tr>
        <w:tc>
          <w:tcPr>
            <w:tcW w:type="dxa" w:w="2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Requirements documentation as a compliance asset</w:t>
            </w:r>
          </w:p>
        </w:tc>
        <w:tc>
          <w:tcPr>
            <w:tcW w:type="dxa" w:w="4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The custom migration tool generates a human-readable requirements document for every ETL job. This is the first time this business logic has been documented outside of SSIS XML.</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Regulatory and audit readiness. Onboarding new engineers. Foundation for future platform changes. Estimated compliance audit preparation time reduced by 40–60% for ETL-related audit questions.</w:t>
            </w:r>
          </w:p>
        </w:tc>
      </w:tr>
    </w:tbl>
    <w:p>
      <w:r>
        <w:br w:type="page"/>
      </w:r>
    </w:p>
    <w:p>
      <w:pPr>
        <w:pStyle w:val="Heading1"/>
        <w:spacing w:after="160" w:before="340"/>
      </w:pPr>
      <w:r>
        <w:t xml:space="preserve">7.  Risk Assessment</w:t>
      </w:r>
    </w:p>
    <w:p>
      <w:pPr>
        <w:spacing w:after="110"/>
      </w:pPr>
      <w:r>
        <w:rPr>
          <w:sz w:val="21"/>
          <w:szCs w:val="21"/>
        </w:rPr>
        <w:t xml:space="preserve">The primary risk in this programme is not technical — the technical architecture is proven and well-designed. The primary risk is timeline: the 22–28 week migration programme against a 6–9 month contract window leaves between 0 and 14 weeks of contingency depending on when the programme starts and when exactly the contract ends.</w:t>
      </w:r>
    </w:p>
    <w:p>
      <w:pPr>
        <w:spacing w:after="110"/>
      </w:pPr>
      <w:r>
        <w:rPr>
          <w:sz w:val="21"/>
          <w:szCs w:val="21"/>
        </w:rPr>
        <w:t xml:space="preserve"/>
      </w:r>
    </w:p>
    <w:p>
      <w:pPr>
        <w:pStyle w:val="Heading2"/>
        <w:spacing w:after="100" w:before="240"/>
      </w:pPr>
      <w:r>
        <w:t xml:space="preserve">7.1  Programme Delivery Risk Scenarios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36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Scenario</w:t>
            </w:r>
          </w:p>
        </w:tc>
        <w:tc>
          <w:tcPr>
            <w:tcW w:type="dxa" w:w="1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Probability</w:t>
            </w:r>
          </w:p>
        </w:tc>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Financial Impact</w:t>
            </w:r>
          </w:p>
        </w:tc>
        <w:tc>
          <w:tcPr>
            <w:tcW w:type="dxa" w:w="36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On-plan delivery — migration complete within Azure contract window</w:t>
            </w:r>
          </w:p>
        </w:tc>
        <w:tc>
          <w:tcPr>
            <w:tcW w:type="dxa" w:w="1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60%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None — as planned. Azure exits cleanly at contract end.</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Start immediately. No slow start. All workstreams begin Week 1. Weekly migration heartbeat meeting tracks progress across all streams.</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4-week overrun — minor delay, short Azure extension needed</w:t>
            </w:r>
          </w:p>
        </w:tc>
        <w:tc>
          <w:tcPr>
            <w:tcW w:type="dxa" w:w="1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$400K–800K additional (Azure extension penalty + 4 weeks continued Azure spend + 4 weeks dual-running).</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extension negotiation begins at Week 16 if any stream is behind plan. Negotiate Option 4 (reduced-rate extension) pre-emptively as fallback.</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8-week overrun — significant delay, material additional cost</w:t>
            </w:r>
          </w:p>
        </w:tc>
        <w:tc>
          <w:tcPr>
            <w:tcW w:type="dxa" w:w="1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$800K–1.6M additional. Approaches or exceeds the cost of Option 2 (planned renewal).</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Trigger at Week 12: if 3+ workstreams are behind plan, immediately convene sponsor review. Consider engaging external migration specialists for specific streams.</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First cutover fails — rollback required, re-attempt in 2 weeks</w:t>
            </w:r>
          </w:p>
        </w:tc>
        <w:tc>
          <w:tcPr>
            <w:tcW w:type="dxa" w:w="1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15%</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$200K–400K additional (rollback costs, additional testing, re-attempt preparation). Note: probabilities overlap — a delayed programme may also have a failed cutover.</w:t>
            </w:r>
          </w:p>
        </w:tc>
        <w:tc>
          <w:tcPr>
            <w:tcW w:type="dxa" w:w="3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Pre-built rollback automation (GitHub Actions). Rollback rehearsal before cutover day is a gate criterion. Azure remains live for 4 weeks post-cutover as safety net.</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SSIS package count exceeds estimate significantly</w:t>
            </w:r>
          </w:p>
        </w:tc>
        <w:tc>
          <w:tcPr>
            <w:tcW w:type="dxa" w:w="1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High probability of discovery</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$200K–500K additional engineering cost. Timeline extends 4–8 weeks.</w:t>
            </w:r>
          </w:p>
        </w:tc>
        <w:tc>
          <w:tcPr>
            <w:tcW w:type="dxa" w:w="3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Week-1 census provides exact count before any timeline commitment is finalised. Business case is built on range estimates — exact figures will be known by Week-4 Go/No-Go gate.</w:t>
            </w:r>
          </w:p>
        </w:tc>
      </w:tr>
    </w:tbl>
    <w:p>
      <w:pPr>
        <w:spacing w:after="110"/>
      </w:pPr>
      <w:r>
        <w:rPr>
          <w:sz w:val="21"/>
          <w:szCs w:val="21"/>
        </w:rPr>
        <w:t xml:space="preserve"/>
      </w:r>
    </w:p>
    <w:p>
      <w:pPr>
        <w:pStyle w:val="Heading2"/>
        <w:spacing w:after="100" w:before="240"/>
      </w:pPr>
      <w:r>
        <w:t xml:space="preserve">7.2  Key Risk Mitigations Already in the Programme Design</w:t>
      </w:r>
    </w:p>
    <w:p>
      <w:pPr>
        <w:pStyle w:val="ListParagraph"/>
        <w:numPr>
          <w:ilvl w:val="0"/>
          <w:numId w:val="2"/>
        </w:numPr>
        <w:spacing w:after="65"/>
      </w:pPr>
      <w:r>
        <w:rPr>
          <w:sz w:val="21"/>
          <w:szCs w:val="21"/>
        </w:rPr>
        <w:t xml:space="preserve">Week-4 Go/No-Go gate with real census data — programme re-baselines at Week 4, not Week 16. Business sponsor in the room. If timeline is not achievable, the decision to negotiate an Azure extension is made with 5+ months of runway, not 2.</w:t>
      </w:r>
    </w:p>
    <w:p>
      <w:pPr>
        <w:pStyle w:val="ListParagraph"/>
        <w:numPr>
          <w:ilvl w:val="0"/>
          <w:numId w:val="2"/>
        </w:numPr>
        <w:spacing w:after="65"/>
      </w:pPr>
      <w:r>
        <w:rPr>
          <w:sz w:val="21"/>
          <w:szCs w:val="21"/>
        </w:rPr>
        <w:t xml:space="preserve">Custom migration tool reduces SSIS and ADF conversion effort by 60–75% vs manual rewrite — the highest-risk timeline item (SSIS rewrite) has automation behind it.</w:t>
      </w:r>
    </w:p>
    <w:p>
      <w:pPr>
        <w:pStyle w:val="ListParagraph"/>
        <w:numPr>
          <w:ilvl w:val="0"/>
          <w:numId w:val="2"/>
        </w:numPr>
        <w:spacing w:after="65"/>
      </w:pPr>
      <w:r>
        <w:rPr>
          <w:sz w:val="21"/>
          <w:szCs w:val="21"/>
        </w:rPr>
        <w:t xml:space="preserve">AWS SCT handles 40–60% of SSIS-to-Glue conversion automatically, further compressing the SSIS stream.</w:t>
      </w:r>
    </w:p>
    <w:p>
      <w:pPr>
        <w:pStyle w:val="ListParagraph"/>
        <w:numPr>
          <w:ilvl w:val="0"/>
          <w:numId w:val="2"/>
        </w:numPr>
        <w:spacing w:after="65"/>
      </w:pPr>
      <w:r>
        <w:rPr>
          <w:sz w:val="21"/>
          <w:szCs w:val="21"/>
        </w:rPr>
        <w:t xml:space="preserve">Parallel workstreams across 10 streams compress the calendar timeline to 22–28 weeks despite significant total scope.</w:t>
      </w:r>
    </w:p>
    <w:p>
      <w:pPr>
        <w:pStyle w:val="ListParagraph"/>
        <w:numPr>
          <w:ilvl w:val="0"/>
          <w:numId w:val="2"/>
        </w:numPr>
        <w:spacing w:after="65"/>
      </w:pPr>
      <w:r>
        <w:rPr>
          <w:sz w:val="21"/>
          <w:szCs w:val="21"/>
        </w:rPr>
        <w:t xml:space="preserve">Pre-built rollback automation means a failed cutover is recoverable in &lt;5 minutes, not a programme-ending event.</w:t>
      </w:r>
    </w:p>
    <w:p>
      <w:pPr>
        <w:pStyle w:val="ListParagraph"/>
        <w:numPr>
          <w:ilvl w:val="0"/>
          <w:numId w:val="2"/>
        </w:numPr>
        <w:spacing w:after="65"/>
      </w:pPr>
      <w:r>
        <w:rPr>
          <w:sz w:val="21"/>
          <w:szCs w:val="21"/>
        </w:rPr>
        <w:t xml:space="preserve">Azure SQL MI and ADF remain live in read-only mode for 4 weeks post-cutover — no irreversible action until stability is confirmed.</w:t>
      </w:r>
    </w:p>
    <w:p>
      <w:r>
        <w:br w:type="page"/>
      </w:r>
    </w:p>
    <w:p>
      <w:pPr>
        <w:pStyle w:val="Heading1"/>
        <w:spacing w:after="160" w:before="340"/>
      </w:pPr>
      <w:r>
        <w:t xml:space="preserve">8.  Cross-Account Integration with Wireless Business Unit</w:t>
      </w:r>
    </w:p>
    <w:p>
      <w:pPr>
        <w:spacing w:after="110"/>
      </w:pPr>
      <w:r>
        <w:rPr>
          <w:sz w:val="21"/>
          <w:szCs w:val="21"/>
        </w:rPr>
        <w:t xml:space="preserve">The wireless business unit operates a separate AWS account within the same organisation. Completing this migration enables native AWS cross-account integration — a capability that does not exist today. This section describes what needs to be designed and built as part of the migration programme.</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6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Integration Capability</w:t>
            </w:r>
          </w:p>
        </w:tc>
        <w:tc>
          <w:tcPr>
            <w:tcW w:type="dxa" w:w="3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Design Required</w:t>
            </w:r>
          </w:p>
        </w:tc>
        <w:tc>
          <w:tcPr>
            <w:tcW w:type="dxa" w:w="46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Business Value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Organizations — unified account structure</w:t>
            </w:r>
          </w:p>
        </w:tc>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Add both accounts to a single AWS Organization. Establish management account. Apply Service Control Policies (SCPs) for governance. Designate delegated administrator for security, logging, and billing.</w:t>
            </w:r>
          </w:p>
        </w:tc>
        <w:tc>
          <w:tcPr>
            <w:tcW w:type="dxa" w:w="4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Centralised governance, consolidated billing (qualifies for EDP), unified security posture across both accounts. Foundation for all other integration.</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Shared Glue Data Catalog (cross-account)</w:t>
            </w:r>
          </w:p>
        </w:tc>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Publish Glue databases from wireline account to wireless account via AWS Lake Formation cross-account grants. Wireless business unit queries wireline data via Athena cross-account.</w:t>
            </w:r>
          </w:p>
        </w:tc>
        <w:tc>
          <w:tcPr>
            <w:tcW w:type="dxa" w:w="4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Single schema registry for the organisation. Wireless analytics team can query wireline customer and billing data directly via Athena — no ETL pipeline needed for data sharing.</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Cross-account RDS SQL Server access (PrivateLink)</w:t>
            </w:r>
          </w:p>
        </w:tc>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PrivateLink endpoint from wireless account to wireline RDS SQL Server instance. Wireless applications access wireline OLTP data via private network at negligible latency.</w:t>
            </w:r>
          </w:p>
        </w:tc>
        <w:tc>
          <w:tcPr>
            <w:tcW w:type="dxa" w:w="4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Eliminates the cross-cloud ETL pipeline currently needed to share operational data. Near-real-time data access instead of batch ETL.</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Unified CloudWatch observability</w:t>
            </w:r>
          </w:p>
        </w:tc>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CloudWatch cross-account observability. Unified monitoring dashboard across both accounts. Shared CloudWatch Alarms and SNS topics for operations team.</w:t>
            </w:r>
          </w:p>
        </w:tc>
        <w:tc>
          <w:tcPr>
            <w:tcW w:type="dxa" w:w="4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Single pane of glass for the platform team. One on-call rota, one escalation path, one operations runbook for both business units.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Consolidated IAM and secrets management</w:t>
            </w:r>
          </w:p>
        </w:tc>
        <w:tc>
          <w:tcPr>
            <w:tcW w:type="dxa" w:w="3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IAM Identity Center (SSO) for both accounts. AWS Secrets Manager cross-account sharing for shared service credentials.</w:t>
            </w:r>
          </w:p>
        </w:tc>
        <w:tc>
          <w:tcPr>
            <w:tcW w:type="dxa" w:w="46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Single identity provider, single MFA requirement, single access review process. Significant security and compliance overhead reduction.</w:t>
            </w:r>
          </w:p>
        </w:tc>
      </w:tr>
      <w:tr>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Shared S3 data lake (cross-account bucket policies)</w:t>
            </w:r>
          </w:p>
        </w:tc>
        <w:tc>
          <w:tcPr>
            <w:tcW w:type="dxa" w:w="3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S3 bucket policies and AWS RAM resource shares allow cross-account access to the Glue Data Catalog, S3 Parquet archives, and Athena results.</w:t>
            </w:r>
          </w:p>
        </w:tc>
        <w:tc>
          <w:tcPr>
            <w:tcW w:type="dxa" w:w="46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Wireless and wireline teams share a single data lake. No data duplication. No egress charges for cross-account S3 access within the same AWS Region.</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30"/>
              <w:left w:type="dxa" w:w="200"/>
              <w:bottom w:type="dxa" w:w="130"/>
              <w:right w:type="dxa" w:w="160"/>
            </w:tcMar>
          </w:tcPr>
          <w:p>
            <w:pPr>
              <w:spacing w:after="65"/>
            </w:pPr>
            <w:r>
              <w:rPr>
                <w:b/>
                <w:bCs/>
                <w:color w:val="134E4A"/>
                <w:sz w:val="21"/>
                <w:szCs w:val="21"/>
              </w:rPr>
              <w:t xml:space="preserve">Cross-account integration is a one-time design exercise, not ongoing work</w:t>
            </w:r>
          </w:p>
          <w:p>
            <w:pPr>
              <w:spacing w:after="48"/>
            </w:pPr>
            <w:r>
              <w:rPr>
                <w:color w:val="134E4A"/>
                <w:sz w:val="20"/>
                <w:szCs w:val="20"/>
              </w:rPr>
              <w:t xml:space="preserve">AWS cross-account integration using Organizations, Lake Formation, PrivateLink, and IAM Identity Center is configured once and then operates transparently. There is no ongoing ETL pipeline to maintain — data sharing is native, permission-governed, and auditable.</w:t>
            </w:r>
          </w:p>
          <w:p>
            <w:pPr>
              <w:spacing w:after="48"/>
            </w:pPr>
            <w:r>
              <w:rPr>
                <w:color w:val="134E4A"/>
                <w:sz w:val="20"/>
                <w:szCs w:val="20"/>
              </w:rPr>
              <w:t xml:space="preserve">This integration work should be scoped into the migration programme as Phase 2 deliverables (alongside AWS environment setup) so that the integration is tested and operational before cutover, not planned for "later."</w:t>
            </w:r>
          </w:p>
          <w:p>
            <w:pPr>
              <w:spacing w:after="48"/>
            </w:pPr>
            <w:r>
              <w:rPr>
                <w:color w:val="134E4A"/>
                <w:sz w:val="20"/>
                <w:szCs w:val="20"/>
              </w:rPr>
              <w:t xml:space="preserve">Estimated additional effort: 3–4 weeks for Cloud Architect and Security team. Not a separate project — absorbs into Phase 2 of the existing programme.</w:t>
            </w:r>
          </w:p>
        </w:tc>
      </w:tr>
    </w:tbl>
    <w:p>
      <w:r>
        <w:br w:type="page"/>
      </w:r>
    </w:p>
    <w:p>
      <w:pPr>
        <w:pStyle w:val="Heading1"/>
        <w:spacing w:after="160" w:before="340"/>
      </w:pPr>
      <w:r>
        <w:t xml:space="preserve">9.  Programme Timeline Against Contract Deadline</w:t>
      </w:r>
    </w:p>
    <w:p>
      <w:pPr>
        <w:spacing w:after="110"/>
      </w:pPr>
      <w:r>
        <w:rPr>
          <w:sz w:val="21"/>
          <w:szCs w:val="21"/>
        </w:rPr>
        <w:t xml:space="preserve">The following timeline maps the 22–28 week migration programme against the Azure contract window. The critical path item is the SSIS rewrite stream — it starts Week 1 and runs the longest. The DMS CDC window (database migration) starts Week 6 and anchors the cutover date.</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38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Milestone</w:t>
            </w:r>
          </w:p>
        </w:tc>
        <w:tc>
          <w:tcPr>
            <w:tcW w:type="dxa" w:w="1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Week</w:t>
            </w:r>
          </w:p>
        </w:tc>
        <w:tc>
          <w:tcPr>
            <w:tcW w:type="dxa" w:w="2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Calendar Month (if start June 2026)</w:t>
            </w:r>
          </w:p>
        </w:tc>
        <w:tc>
          <w:tcPr>
            <w:tcW w:type="dxa" w:w="38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Status Against Deadline</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Programme start — all workstreams begin</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June 2026</w:t>
            </w:r>
          </w:p>
        </w:tc>
        <w:tc>
          <w:tcPr>
            <w:tcW w:type="dxa" w:w="38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Must begin immediately. No slow start.</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contract window (start of 6-month end)</w:t>
            </w:r>
          </w:p>
        </w:tc>
        <w:tc>
          <w:tcPr>
            <w:tcW w:type="dxa" w:w="1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June 2026</w:t>
            </w:r>
          </w:p>
        </w:tc>
        <w:tc>
          <w:tcPr>
            <w:tcW w:type="dxa" w:w="38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Countdown begins.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Phase 1 census complete — SSIS count, SP count, linked server count confirmed</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July 2026</w:t>
            </w:r>
          </w:p>
        </w:tc>
        <w:tc>
          <w:tcPr>
            <w:tcW w:type="dxa" w:w="38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Week-4 Go/No-Go gate. Business sponsor review. Re-baseline if needed.</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DMS full load complete (2TB)</w:t>
            </w:r>
          </w:p>
        </w:tc>
        <w:tc>
          <w:tcPr>
            <w:tcW w:type="dxa" w:w="1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Week 7–8</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July 2026</w:t>
            </w:r>
          </w:p>
        </w:tc>
        <w:tc>
          <w:tcPr>
            <w:tcW w:type="dxa" w:w="38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CDC begins. DDL freeze active. No schema changes from this point.</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SSIS → Glue PySpark rewrites 50% complete</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10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August 2026</w:t>
            </w:r>
          </w:p>
        </w:tc>
        <w:tc>
          <w:tcPr>
            <w:tcW w:type="dxa" w:w="38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Amber review. If &lt;50% complete at Week 10: engage external SSIS specialists immediately.</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ADF → Glue ETL migration complete (parallel run begins)</w:t>
            </w:r>
          </w:p>
        </w:tc>
        <w:tc>
          <w:tcPr>
            <w:tcW w:type="dxa" w:w="1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Week 16</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September 2026</w:t>
            </w:r>
          </w:p>
        </w:tc>
        <w:tc>
          <w:tcPr>
            <w:tcW w:type="dxa" w:w="38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All ADF pipelines in parallel run. 2-cycle validation begins.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All ETL streams (SSIS, ADF, Windows Svc, Azure Fn) parallel-run validated</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20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October 2026</w:t>
            </w:r>
          </w:p>
        </w:tc>
        <w:tc>
          <w:tcPr>
            <w:tcW w:type="dxa" w:w="38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ETL-G10 gate. All 10 quality gates green.</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UAT complete — all 13 cutover gate criteria met</w:t>
            </w:r>
          </w:p>
        </w:tc>
        <w:tc>
          <w:tcPr>
            <w:tcW w:type="dxa" w:w="1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Week 24</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November 2026</w:t>
            </w:r>
          </w:p>
        </w:tc>
        <w:tc>
          <w:tcPr>
            <w:tcW w:type="dxa" w:w="38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UAT sign-off from business owners.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Cutover weekend</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26</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November 2026</w:t>
            </w:r>
          </w:p>
        </w:tc>
        <w:tc>
          <w:tcPr>
            <w:tcW w:type="dxa" w:w="38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Target: November 2026. Within 6-month contract window (if contract ends December 2026).</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contract end</w:t>
            </w:r>
          </w:p>
        </w:tc>
        <w:tc>
          <w:tcPr>
            <w:tcW w:type="dxa" w:w="1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December 2026</w:t>
            </w:r>
          </w:p>
        </w:tc>
        <w:tc>
          <w:tcPr>
            <w:tcW w:type="dxa" w:w="38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All Azure services decommissioned. Azure invoice goes to zero.</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Hypercare complete — Azure fully decommissioned</w:t>
            </w:r>
          </w:p>
        </w:tc>
        <w:tc>
          <w:tcPr>
            <w:tcW w:type="dxa" w:w="1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30</w:t>
            </w:r>
          </w:p>
        </w:tc>
        <w:tc>
          <w:tcPr>
            <w:tcW w:type="dxa" w:w="2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January 2027</w:t>
            </w:r>
          </w:p>
        </w:tc>
        <w:tc>
          <w:tcPr>
            <w:tcW w:type="dxa" w:w="38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Programme close. Annual saving fully realised.</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AWS EDP negotiation complete (if initiated in parallel)</w:t>
            </w:r>
          </w:p>
        </w:tc>
        <w:tc>
          <w:tcPr>
            <w:tcW w:type="dxa" w:w="1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Q4 2026</w:t>
            </w:r>
          </w:p>
        </w:tc>
        <w:tc>
          <w:tcPr>
            <w:tcW w:type="dxa" w:w="38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Post-migration consolidated AWS spend qualifies for EDP discount. Engage AWS commercial team now.</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30"/>
              <w:left w:type="dxa" w:w="200"/>
              <w:bottom w:type="dxa" w:w="130"/>
              <w:right w:type="dxa" w:w="160"/>
            </w:tcMar>
          </w:tcPr>
          <w:p>
            <w:pPr>
              <w:spacing w:after="65"/>
            </w:pPr>
            <w:r>
              <w:rPr>
                <w:b/>
                <w:bCs/>
                <w:color w:val="78350F"/>
                <w:sz w:val="21"/>
                <w:szCs w:val="21"/>
              </w:rPr>
              <w:t xml:space="preserve">Critical path: SSIS rewrite stream and DMS CDC window anchor the cutover date</w:t>
            </w:r>
          </w:p>
          <w:p>
            <w:pPr>
              <w:spacing w:after="48"/>
            </w:pPr>
            <w:r>
              <w:rPr>
                <w:color w:val="78350F"/>
                <w:sz w:val="20"/>
                <w:szCs w:val="20"/>
              </w:rPr>
              <w:t xml:space="preserve">If the SSIS rewrite stream falls more than 3 weeks behind at Week 10, the cutover date slips past the Azure contract window. This is the single most important progress indicator to monitor.</w:t>
            </w:r>
          </w:p>
          <w:p>
            <w:pPr>
              <w:spacing w:after="48"/>
            </w:pPr>
            <w:r>
              <w:rPr>
                <w:color w:val="78350F"/>
                <w:sz w:val="20"/>
                <w:szCs w:val="20"/>
              </w:rPr>
              <w:t xml:space="preserve">The Week-4 Go/No-Go gate is the last point at which a re-baseline (adding 6–8 weeks) can be accommodated by negotiating an Azure extension at reasonable cost. After Week 8, a slip makes Option 2 economics start to apply.</w:t>
            </w:r>
          </w:p>
        </w:tc>
      </w:tr>
    </w:tbl>
    <w:p>
      <w:r>
        <w:br w:type="page"/>
      </w:r>
    </w:p>
    <w:p>
      <w:pPr>
        <w:pStyle w:val="Heading1"/>
        <w:spacing w:after="160" w:before="340"/>
      </w:pPr>
      <w:r>
        <w:t xml:space="preserve">10.  Approvals and Next Steps</w:t>
      </w:r>
    </w:p>
    <w:p>
      <w:pPr>
        <w:pStyle w:val="Heading2"/>
        <w:spacing w:after="100" w:before="240"/>
      </w:pPr>
      <w:r>
        <w:t xml:space="preserve">10.1  Board Resolution Required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4338CA" w:sz="1"/>
              <w:left w:val="single" w:color="4338CA" w:sz="8"/>
              <w:bottom w:val="single" w:color="4338CA" w:sz="1"/>
              <w:right w:val="single" w:color="4338CA" w:sz="1"/>
            </w:tcBorders>
            <w:shd w:fill="EEF2FF" w:val="clear"/>
            <w:tcMar>
              <w:top w:type="dxa" w:w="130"/>
              <w:left w:type="dxa" w:w="200"/>
              <w:bottom w:type="dxa" w:w="130"/>
              <w:right w:type="dxa" w:w="160"/>
            </w:tcMar>
          </w:tcPr>
          <w:p>
            <w:pPr>
              <w:spacing w:after="65"/>
            </w:pPr>
            <w:r>
              <w:rPr>
                <w:b/>
                <w:bCs/>
                <w:color w:val="312E81"/>
                <w:sz w:val="21"/>
                <w:szCs w:val="21"/>
              </w:rPr>
              <w:t xml:space="preserve">The Board is asked to pass the following resolution</w:t>
            </w:r>
          </w:p>
          <w:p>
            <w:pPr>
              <w:spacing w:after="48"/>
            </w:pPr>
            <w:r>
              <w:rPr>
                <w:color w:val="312E81"/>
                <w:sz w:val="20"/>
                <w:szCs w:val="20"/>
              </w:rPr>
              <w:t xml:space="preserve">1. APPROVE the Azure to AWS migration programme with a target completion date of November 2026, in advance of the Azure contract expiry.</w:t>
            </w:r>
          </w:p>
          <w:p>
            <w:pPr>
              <w:spacing w:after="48"/>
            </w:pPr>
            <w:r>
              <w:rPr>
                <w:color w:val="312E81"/>
                <w:sz w:val="20"/>
                <w:szCs w:val="20"/>
              </w:rPr>
              <w:t xml:space="preserve">2. APPROVE a programme budget of $1.2M–2.1M (one-time investment) to fund engineering delivery, tooling, training, Azure overlap, and contingency.</w:t>
            </w:r>
          </w:p>
          <w:p>
            <w:pPr>
              <w:spacing w:after="48"/>
            </w:pPr>
            <w:r>
              <w:rPr>
                <w:color w:val="312E81"/>
                <w:sz w:val="20"/>
                <w:szCs w:val="20"/>
              </w:rPr>
              <w:t xml:space="preserve">3. DELEGATE authority to the Programme Sponsor to approve scope changes up to 15% of the approved budget without further Board resolution.</w:t>
            </w:r>
          </w:p>
          <w:p>
            <w:pPr>
              <w:spacing w:after="48"/>
            </w:pPr>
            <w:r>
              <w:rPr>
                <w:color w:val="312E81"/>
                <w:sz w:val="20"/>
                <w:szCs w:val="20"/>
              </w:rPr>
              <w:t xml:space="preserve">4. DIRECT the commercial team to initiate Azure contract renegotiation discussions to secure a reduced-rate extension option as programme contingency.</w:t>
            </w:r>
          </w:p>
          <w:p>
            <w:pPr>
              <w:spacing w:after="48"/>
            </w:pPr>
            <w:r>
              <w:rPr>
                <w:color w:val="312E81"/>
                <w:sz w:val="20"/>
                <w:szCs w:val="20"/>
              </w:rPr>
              <w:t xml:space="preserve">5. DIRECT the commercial team to initiate AWS Migration Acceleration Programme (MAP) conversations with the AWS account team to secure migration credits.</w:t>
            </w:r>
          </w:p>
          <w:p>
            <w:pPr>
              <w:spacing w:after="48"/>
            </w:pPr>
            <w:r>
              <w:rPr>
                <w:color w:val="312E81"/>
                <w:sz w:val="20"/>
                <w:szCs w:val="20"/>
              </w:rPr>
              <w:t xml:space="preserve">6. NOTE that the Week-4 Go/No-Go gate will produce a revised programme baseline based on actual census data and will be presented to the Board as a programme update.</w:t>
            </w:r>
          </w:p>
        </w:tc>
      </w:tr>
    </w:tbl>
    <w:p>
      <w:pPr>
        <w:spacing w:after="110"/>
      </w:pPr>
      <w:r>
        <w:rPr>
          <w:sz w:val="21"/>
          <w:szCs w:val="21"/>
        </w:rPr>
        <w:t xml:space="preserve"/>
      </w:r>
    </w:p>
    <w:p>
      <w:pPr>
        <w:pStyle w:val="Heading2"/>
        <w:spacing w:after="100" w:before="240"/>
      </w:pPr>
      <w:r>
        <w:t xml:space="preserve">10.2  Immediate Actions (Week 1 — before Board resolution if possible)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600"/>
        <w:gridCol w:w="3224"/>
      </w:tblGrid>
      <w:tr>
        <w:trPr>
          <w:tblHeader/>
        </w:trPr>
        <w:tc>
          <w:tcPr>
            <w:tcW w:type="dxa" w:w="34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Action</w:t>
            </w:r>
          </w:p>
        </w:tc>
        <w:tc>
          <w:tcPr>
            <w:tcW w:type="dxa" w:w="20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Owner</w:t>
            </w:r>
          </w:p>
        </w:tc>
        <w:tc>
          <w:tcPr>
            <w:tcW w:type="dxa" w:w="16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Target Date</w:t>
            </w:r>
          </w:p>
        </w:tc>
        <w:tc>
          <w:tcPr>
            <w:tcW w:type="dxa" w:w="32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Why It Cannot Wait</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Run AWS SCT on Azure SQL MI — stored procedure complexity report and census start</w:t>
            </w:r>
          </w:p>
        </w:tc>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DBA Lead</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Census results are required for the Week-4 Go/No-Go gate. Every week of delay shortens the census window.</w:t>
            </w:r>
          </w:p>
        </w:tc>
      </w:tr>
      <w:tr>
        <w:tc>
          <w:tcPr>
            <w:tcW w:type="dxa" w:w="3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SSIS package inventory — enumerate all .dtsx files, classify complexity</w:t>
            </w:r>
          </w:p>
        </w:tc>
        <w:tc>
          <w:tcPr>
            <w:tcW w:type="dxa" w:w="2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ETL Lead</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SSIS rewrite is the critical path item. Scope must be known before any timeline commitment.</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Engage AWS account team — MAP programme eligibility and EDP scoping</w:t>
            </w:r>
          </w:p>
        </w:tc>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Commercial Director</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MAP applications take 2–4 weeks to process. EDP negotiation requires pipeline data. Both must start now.</w:t>
            </w:r>
          </w:p>
        </w:tc>
      </w:tr>
      <w:tr>
        <w:tc>
          <w:tcPr>
            <w:tcW w:type="dxa" w:w="3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Brief Microsoft commercial team — intent to exit, extension option pricing</w:t>
            </w:r>
          </w:p>
        </w:tc>
        <w:tc>
          <w:tcPr>
            <w:tcW w:type="dxa" w:w="2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Commercial Director</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Azure extension option (Option 4) must be costed before the Week-4 gate to be useful as contingency.</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Confirm RDS SQL Server edition/licensing decision (License Included vs BYOL)</w:t>
            </w:r>
          </w:p>
        </w:tc>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DBA Lead + Cloud Architect</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Drives instance provisioning and the AWS steady-state cost figure in §5.2. See RDS SQL Server Infrastructure Migration Guide §2.1.</w:t>
            </w:r>
          </w:p>
        </w:tc>
      </w:tr>
      <w:tr>
        <w:tc>
          <w:tcPr>
            <w:tcW w:type="dxa" w:w="34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Provision AWS dev environment — RDS SQL Server instance, Glue catalog, S3 buckets, IAM</w:t>
            </w:r>
          </w:p>
        </w:tc>
        <w:tc>
          <w:tcPr>
            <w:tcW w:type="dxa" w:w="2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Cloud Architect</w:t>
            </w:r>
          </w:p>
        </w:tc>
        <w:tc>
          <w:tcPr>
            <w:tcW w:type="dxa" w:w="16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Conversion pilots begin in Week 2. Dev environment must be ready for Week 2 pilots.</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Brief application team leads — DDL freeze implications and data access audit start</w:t>
            </w:r>
          </w:p>
        </w:tc>
        <w:tc>
          <w:tcPr>
            <w:tcW w:type="dxa" w:w="2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Migration Lead</w:t>
            </w:r>
          </w:p>
        </w:tc>
        <w:tc>
          <w:tcPr>
            <w:tcW w:type="dxa" w:w="16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Week 1</w:t>
            </w:r>
          </w:p>
        </w:tc>
        <w:tc>
          <w:tcPr>
            <w:tcW w:type="dxa" w:w="3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Application team must start their data access audit before schema conversion begins. DDL freeze communication cannot wait.</w:t>
            </w:r>
          </w:p>
        </w:tc>
      </w:tr>
    </w:tbl>
    <w:p>
      <w:pPr>
        <w:spacing w:after="110"/>
      </w:pPr>
      <w:r>
        <w:rPr>
          <w:sz w:val="21"/>
          <w:szCs w:val="21"/>
        </w:rPr>
        <w:t xml:space="preserve"/>
      </w:r>
    </w:p>
    <w:p>
      <w:pPr>
        <w:pStyle w:val="Heading2"/>
        <w:spacing w:after="100" w:before="240"/>
      </w:pPr>
      <w:r>
        <w:t xml:space="preserve">10.3  Benefit Realisation Ownership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000"/>
        <w:gridCol w:w="22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Benefit</w:t>
            </w:r>
          </w:p>
        </w:tc>
        <w:tc>
          <w:tcPr>
            <w:tcW w:type="dxa" w:w="22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Owner</w:t>
            </w:r>
          </w:p>
        </w:tc>
        <w:tc>
          <w:tcPr>
            <w:tcW w:type="dxa" w:w="3000"/>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Measurement</w:t>
            </w:r>
          </w:p>
        </w:tc>
        <w:tc>
          <w:tcPr>
            <w:tcW w:type="dxa" w:w="2224"/>
            <w:tcBorders>
              <w:top w:val="single" w:color="CCCCCC" w:sz="1"/>
              <w:left w:val="single" w:color="CCCCCC" w:sz="1"/>
              <w:bottom w:val="single" w:color="CCCCCC" w:sz="1"/>
              <w:right w:val="single" w:color="CCCCCC" w:sz="1"/>
            </w:tcBorders>
            <w:shd w:fill="111827" w:val="clear"/>
            <w:tcMar>
              <w:top w:type="dxa" w:w="85"/>
              <w:left w:type="dxa" w:w="130"/>
              <w:bottom w:type="dxa" w:w="85"/>
              <w:right w:type="dxa" w:w="130"/>
            </w:tcMar>
            <w:vAlign w:val="top"/>
          </w:tcPr>
          <w:p>
            <w:pPr>
              <w:spacing w:after="40"/>
            </w:pPr>
            <w:r>
              <w:rPr>
                <w:b/>
                <w:bCs/>
                <w:color w:val="F9FAFB"/>
                <w:sz w:val="20"/>
                <w:szCs w:val="20"/>
              </w:rPr>
              <w:t xml:space="preserve">First Measurement Date</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cost elimination (primary saving)</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CFO / Finance Director</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Azure invoice = $0 post-decommission</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Month after Azure contract end</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AWS steady-state cost within budget</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Cloud Architecture Lead</w:t>
            </w:r>
          </w:p>
        </w:tc>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Monthly AWS Cost Explorer report vs §5.2 budget</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Month 1 post-migration</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EDP discount realised</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Commercial Director</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AWS invoice line item for EDP discount</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After EDP agreement signed</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Cross-account data sharing operational</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Chief Data Officer / CTO</w:t>
            </w:r>
          </w:p>
        </w:tc>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Number of cross-account data queries / pipelines active</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3 months post-migration</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Platform team operational toil reduction</w:t>
            </w:r>
          </w:p>
        </w:tc>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Platform Team Lead</w:t>
            </w:r>
          </w:p>
        </w:tc>
        <w:tc>
          <w:tcPr>
            <w:tcW w:type="dxa" w:w="30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Hours/week on Azure-specific operational tasks</w:t>
            </w:r>
          </w:p>
        </w:tc>
        <w:tc>
          <w:tcPr>
            <w:tcW w:type="dxa" w:w="2224"/>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vAlign w:val="top"/>
          </w:tcPr>
          <w:p>
            <w:pPr>
              <w:spacing w:after="40"/>
            </w:pPr>
            <w:r>
              <w:rPr>
                <w:color w:val="111827"/>
                <w:sz w:val="20"/>
                <w:szCs w:val="20"/>
              </w:rPr>
              <w:t xml:space="preserve">Before and 6 months after migration</w:t>
            </w:r>
          </w:p>
        </w:tc>
      </w:tr>
      <w:tr>
        <w:tc>
          <w:tcPr>
            <w:tcW w:type="dxa" w:w="28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Compliance audit preparation time reduction</w:t>
            </w:r>
          </w:p>
        </w:tc>
        <w:tc>
          <w:tcPr>
            <w:tcW w:type="dxa" w:w="22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Head of Security / Compliance</w:t>
            </w:r>
          </w:p>
        </w:tc>
        <w:tc>
          <w:tcPr>
            <w:tcW w:type="dxa" w:w="3000"/>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Hours to prepare for next ETL audit vs historical average</w:t>
            </w:r>
          </w:p>
        </w:tc>
        <w:tc>
          <w:tcPr>
            <w:tcW w:type="dxa" w:w="2224"/>
            <w:tcBorders>
              <w:top w:val="single" w:color="CCCCCC" w:sz="1"/>
              <w:left w:val="single" w:color="CCCCCC" w:sz="1"/>
              <w:bottom w:val="single" w:color="CCCCCC" w:sz="1"/>
              <w:right w:val="single" w:color="CCCCCC" w:sz="1"/>
            </w:tcBorders>
            <w:shd w:fill="F8FAFC" w:val="clear"/>
            <w:tcMar>
              <w:top w:type="dxa" w:w="85"/>
              <w:left w:type="dxa" w:w="130"/>
              <w:bottom w:type="dxa" w:w="85"/>
              <w:right w:type="dxa" w:w="130"/>
            </w:tcMar>
            <w:vAlign w:val="top"/>
          </w:tcPr>
          <w:p>
            <w:pPr>
              <w:spacing w:after="40"/>
            </w:pPr>
            <w:r>
              <w:rPr>
                <w:color w:val="111827"/>
                <w:sz w:val="20"/>
                <w:szCs w:val="20"/>
              </w:rPr>
              <w:t xml:space="preserve">At next audit cycle</w:t>
            </w:r>
          </w:p>
        </w:tc>
      </w:tr>
    </w:tbl>
    <w:p>
      <w:pPr>
        <w:spacing w:after="110"/>
      </w:pPr>
      <w:r>
        <w:rPr>
          <w:sz w:val="21"/>
          <w:szCs w:val="21"/>
        </w:rPr>
        <w:t xml:space="preserve"/>
      </w:r>
    </w:p>
    <w:p>
      <w:pPr>
        <w:spacing w:before="200"/>
        <w:jc w:val="center"/>
      </w:pPr>
      <w:r>
        <w:rPr>
          <w:i/>
          <w:iCs/>
          <w:color w:val="64748B"/>
          <w:sz w:val="18"/>
          <w:szCs w:val="18"/>
        </w:rPr>
        <w:t xml:space="preserve">Confidential  |  June 2026  |  Business Case — Azure to AWS Migration  |  v2.0 — RDS SQL Server target  |  Board Submission</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2"/>
      <w:szCs w:val="42"/>
    </w:rPr>
  </w:style>
  <w:style w:type="paragraph" w:styleId="Heading1">
    <w:name w:val="Heading 1"/>
    <w:basedOn w:val="Normal"/>
    <w:next w:val="Normal"/>
    <w:qFormat/>
    <w:pPr>
      <w:spacing w:after="160" w:before="340"/>
      <w:outlineLvl w:val="0"/>
    </w:pPr>
    <w:rPr>
      <w:rFonts w:ascii="Arial" w:cs="Arial" w:eastAsia="Arial" w:hAnsi="Arial"/>
      <w:b/>
      <w:bCs/>
      <w:color w:val="11182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75" w:before="18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2026-06-17T00:43:44.586Z</dcterms:created>
  <dcterms:modified xsi:type="dcterms:W3CDTF">2026-06-17T00:43:44.586Z</dcterms:modified>
</cp:coreProperties>
</file>

<file path=docProps/custom.xml><?xml version="1.0" encoding="utf-8"?>
<Properties xmlns="http://schemas.openxmlformats.org/officeDocument/2006/custom-properties" xmlns:vt="http://schemas.openxmlformats.org/officeDocument/2006/docPropsVTypes"/>
</file>