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RDS SQL SERVER INFRASTRUCTURE MIGRATION GUIDE</w:t>
      </w:r>
    </w:p>
    <w:p>
      <w:pPr>
        <w:spacing w:after="60"/>
        <w:jc w:val="center"/>
      </w:pPr>
      <w:r>
        <w:rPr>
          <w:b/>
          <w:bCs/>
          <w:sz w:val="30"/>
          <w:szCs w:val="30"/>
        </w:rPr>
        <w:t xml:space="preserve">Azure SQL Managed Instance  →  AWS RDS for SQL Server</w:t>
      </w:r>
    </w:p>
    <w:p>
      <w:pPr>
        <w:spacing w:after="60"/>
        <w:jc w:val="center"/>
      </w:pPr>
      <w:r>
        <w:rPr>
          <w:sz w:val="24"/>
          <w:szCs w:val="24"/>
        </w:rPr>
        <w:t xml:space="preserve">Lift-and-Shift Infrastructure Migration — Same Engine, New Platform</w:t>
      </w:r>
    </w:p>
    <w:p>
      <w:pPr>
        <w:spacing w:after="260"/>
        <w:jc w:val="center"/>
      </w:pPr>
      <w:r>
        <w:rPr>
          <w:i/>
          <w:iCs/>
          <w:sz w:val="20"/>
          <w:szCs w:val="20"/>
        </w:rPr>
        <w:t xml:space="preserve">Enterprise Architecture  |  June 2026  |  v1.0</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Attribute</w:t>
            </w:r>
          </w:p>
        </w:tc>
        <w:tc>
          <w:tcPr>
            <w:tcW w:type="dxa" w:w="7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Document type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Infrastructure migration technical guide — replaces the archived Schema Conversion Guide following the decision to move to AWS RDS for SQL Server (same engine) rather than Aurora PostgreSQL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Azure SQL Managed Instance (SQL Server engine, 50TB estate, 2TB OLTP)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Target</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RDS for SQL Server (Standard or Enterprise Edition, Multi-AZ)</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What changed vs PostgreSQL path</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Schema, stored procedures, T-SQL syntax, collation, data types, CLR objects, triggers all remain unchanged — same database engine. No code-level conversion required. Migration is now an infrastructure and operational exercise, not a language conversion exercise.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What this guide replaces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Schema_Conversion_Guide_v2.docx (archived) — that document covered T-SQL → PL/pgSQL conversion, which is no longer applicable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What this guide retains from the architect review</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Application layer workstream, testing strategy, Day 2 operations model, data governance — all updated for RDS SQL Server rather than Aurora PostgreSQL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Status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v1.0 — current</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16A34A" w:sz="1"/>
              <w:left w:val="single" w:color="16A34A" w:sz="8"/>
              <w:bottom w:val="single" w:color="16A34A" w:sz="1"/>
              <w:right w:val="single" w:color="16A34A" w:sz="1"/>
            </w:tcBorders>
            <w:shd w:fill="F0FDF4" w:val="clear"/>
            <w:tcMar>
              <w:top w:type="dxa" w:w="120"/>
              <w:left w:type="dxa" w:w="200"/>
              <w:bottom w:type="dxa" w:w="120"/>
              <w:right w:type="dxa" w:w="160"/>
            </w:tcMar>
          </w:tcPr>
          <w:p>
            <w:pPr>
              <w:spacing w:after="65"/>
            </w:pPr>
            <w:r>
              <w:rPr>
                <w:b/>
                <w:bCs/>
                <w:color w:val="14532D"/>
                <w:sz w:val="21"/>
                <w:szCs w:val="21"/>
              </w:rPr>
              <w:t xml:space="preserve">Architect Position — Why This Is a Materially Lower-Risk Path</w:t>
            </w:r>
          </w:p>
          <w:p>
            <w:pPr>
              <w:spacing w:after="48"/>
            </w:pPr>
            <w:r>
              <w:rPr>
                <w:color w:val="14532D"/>
                <w:sz w:val="20"/>
                <w:szCs w:val="20"/>
              </w:rPr>
              <w:t xml:space="preserve">Moving from Azure SQL MI to AWS RDS for SQL Server is the same database engine on different infrastructure. T-SQL stays T-SQL. Stored procedures, functions, triggers, CLR assemblies, collation, and case-sensitivity behaviour are unchanged. There is no schema conversion, no semantic risk from cross-engine translation, and no application-level SQL dialect change.</w:t>
            </w:r>
          </w:p>
          <w:p>
            <w:pPr>
              <w:spacing w:after="48"/>
            </w:pPr>
            <w:r>
              <w:rPr>
                <w:color w:val="14532D"/>
                <w:sz w:val="20"/>
                <w:szCs w:val="20"/>
              </w:rPr>
              <w:t xml:space="preserve">This removes the single largest risk category from the original migration plan: silent correctness issues from collation and case-sensitivity differences, cross-procedure temp table semantics changing across engines, and the entire SQLSTATE error code remediation exercise in the application layer.</w:t>
            </w:r>
          </w:p>
          <w:p>
            <w:pPr>
              <w:spacing w:after="48"/>
            </w:pPr>
            <w:r>
              <w:rPr>
                <w:color w:val="14532D"/>
                <w:sz w:val="20"/>
                <w:szCs w:val="20"/>
              </w:rPr>
              <w:t xml:space="preserve">The risk profile shifts from "did we correctly translate the logic" to "did we correctly replicate the infrastructure, security model, and operational characteristics." This is a fundamentally easier problem and is the right call given the hard timeline.</w:t>
            </w:r>
          </w:p>
          <w:p>
            <w:pPr>
              <w:spacing w:after="48"/>
            </w:pPr>
            <w:r>
              <w:rPr>
                <w:color w:val="14532D"/>
                <w:sz w:val="20"/>
                <w:szCs w:val="20"/>
              </w:rPr>
              <w:t xml:space="preserve">What this does NOT remove: the ETL migration (ADF/SSIS/Windows Services/Azure Functions → AWS Glue/Lambda/Step Functions) is unaffected by this decision — that workstream proceeds exactly as designed, simply pointing at RDS SQL Server instead of Aurora PostgreSQL as the JDBC/ODBC target.</w:t>
            </w:r>
          </w:p>
        </w:tc>
      </w:tr>
    </w:tbl>
    <w:p>
      <w:r>
        <w:br w:type="page"/>
      </w:r>
    </w:p>
    <w:p>
      <w:pPr>
        <w:pStyle w:val="Heading1"/>
        <w:spacing w:after="160" w:before="320"/>
      </w:pPr>
      <w:r>
        <w:t xml:space="preserve">1.  What Changed and Why</w:t>
      </w:r>
    </w:p>
    <w:p>
      <w:pPr>
        <w:pStyle w:val="Heading2"/>
        <w:spacing w:after="100" w:before="240"/>
      </w:pPr>
      <w:r>
        <w:t xml:space="preserve">1.1  Decision Summary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824"/>
      </w:tblGrid>
      <w:tr>
        <w:trPr>
          <w:tblHeader/>
        </w:trPr>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Aspect</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Original Plan (Aurora PostgreSQL)</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Revised Plan (RDS SQL Server)</w:t>
            </w:r>
          </w:p>
        </w:tc>
        <w:tc>
          <w:tcPr>
            <w:tcW w:type="dxa" w:w="2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Reason for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Target database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Aurora PostgreSQL 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RDS for SQL Server (Standard or Enterprise Edition)</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Hard Azure exit deadline (6–9 months) does not allow time for full schema conversion, dual-review of every converted stored procedure, and a parallel-run validation cycle across 50TB plus a 2TB OLTP core.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Schema conversion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Required — T-SQL to PL/pgSQL for all stored procedures, functions, triggers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Not required — schema, SPs, functions, triggers move as-is</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database engine. RDS for SQL Server runs unmodified .bak restores and supports the full T-SQL surface area including CLR.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Application code changes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SQLSTATE error code remediation, driver swap (ADO.NET → Npgsql), connection pool resizing for process-per-connection model, NOLOCK/MVCC behaviour change 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Driver and connection string endpoint change only — same SQL Server error codes, same ADO.NET/ODBC driver family, same locking model</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 Server error numbers, NOLOCK semantics, and ADO.NET compatibility are unchanged when the engine does not change.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Primary migration mechanism</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SCT (schema) + AWS DMS (data) + manual SP rewrite + dual DBA review</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DMS (data, homogeneous SQL Server-to-SQL Server) + native backup/restore options + minimal manual intervention</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Homogeneous migrations are materially simpler — DMS and native tooling support SQL Server-to-SQL Server replication without translation.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PostgreSQL expertise requirement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Mandatory — dedicated PostgreSQL/Aurora expert engaged by Week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required</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new database engine to learn. Existing SQL Server DBA skills transfer directly.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Risk register impact</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Collation/case-sensitivity, cross-procedure temp tables, undocumented business logic in converted SPs were top risks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These specific risks are eliminated. Remaining risks shift to: licensing model, RDS feature-parity gaps (see §3), network/security cutover, and DMS homogeneous replication mechanics</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Engine-translation risk is replaced by infrastructure-migration risk — a smaller and better-understood risk category.</w:t>
            </w:r>
          </w:p>
        </w:tc>
      </w:tr>
    </w:tbl>
    <w:p>
      <w:pPr>
        <w:spacing w:after="110"/>
      </w:pPr>
      <w:r>
        <w:rPr>
          <w:sz w:val="21"/>
          <w:szCs w:val="21"/>
        </w:rPr>
        <w:t xml:space="preserve"/>
      </w:r>
    </w:p>
    <w:p>
      <w:pPr>
        <w:pStyle w:val="Heading2"/>
        <w:spacing w:after="100" w:before="240"/>
      </w:pPr>
      <w:r>
        <w:t xml:space="preserve">1.2  What This Means for Each Workstream</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6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Workstream</w:t>
            </w:r>
          </w:p>
        </w:tc>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Status</w:t>
            </w:r>
          </w:p>
        </w:tc>
        <w:tc>
          <w:tcPr>
            <w:tcW w:type="dxa" w:w="5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Database migration (this guide)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Re-scoped — infrastructure migration, not schema conversion</w:t>
            </w:r>
          </w:p>
        </w:tc>
        <w:tc>
          <w:tcPr>
            <w:tcW w:type="dxa" w:w="5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§2–§7 of this guide cover RDS provisioning, licensing, DMS homogeneous migration, security, and SQL Server-specific RDS considerations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migration (ADF/SSIS/Windows Services/Azure Functions → AWS Glue/Lambda/Step Functions)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Unchanged</w:t>
            </w:r>
          </w:p>
        </w:tc>
        <w:tc>
          <w:tcPr>
            <w:tcW w:type="dxa" w:w="5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ETL Migration Guide v4 — the only change is the JDBC/ODBC connection target (RDS SQL Server endpoint instead of Aurora endpoint) and driver references (pyodbc instead of psycopg2). All orchestration, Glue job design, and three-phase pattern logic is identical.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Custom Internal Migration Tool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Unchanged in architecture, updated in code generation target</w:t>
            </w:r>
          </w:p>
        </w:tc>
        <w:tc>
          <w:tcPr>
            <w:tcW w:type="dxa" w:w="5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Custom Tool Implementation v2.0 — Stage 2 generates pyodbc-based Lambda wrappers and T-SQL MERGE statements instead of psycopg2/PL-pgSQL. Five-layer engine, requirements document schema, and QA gates are identical.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Application layer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Substantially reduced scope</w:t>
            </w:r>
          </w:p>
        </w:tc>
        <w:tc>
          <w:tcPr>
            <w:tcW w:type="dxa" w:w="5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SQLSTATE remediation, no driver family change, no NOLOCK behaviour change. Remaining work: connection string/endpoint updates, connection pool re-tuning for RDS network characteristics, and feature-parity verification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Testing strategy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Substantially reduced scope</w:t>
            </w:r>
          </w:p>
        </w:tc>
        <w:tc>
          <w:tcPr>
            <w:tcW w:type="dxa" w:w="5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data type normalisation for cross-engine comparison, no collation regression suite, no business-logic-preserved-through-conversion risk. Remaining: standard infrastructure cutover testing, DMS validation, performance baseline.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Day 2 operations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Re-scoped for RDS SQL Server</w:t>
            </w:r>
          </w:p>
        </w:tc>
        <w:tc>
          <w:tcPr>
            <w:tcW w:type="dxa" w:w="5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§7 of this guide replaces the Aurora operational runbooks with RDS SQL Server equivalents: Multi-AZ failover, maintenance windows, native backup/restore, Always On considerations.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Business case and timeline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Improved — lower delivery risk, likely faster</w:t>
            </w:r>
          </w:p>
        </w:tc>
        <w:tc>
          <w:tcPr>
            <w:tcW w:type="dxa" w:w="5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Removing schema conversion removes weeks of SP batch conversion, dual DBA review, and parallel-run validation cycles. This is a positive change to the programme risk profile within the same hard deadline.</w:t>
            </w:r>
          </w:p>
        </w:tc>
      </w:tr>
    </w:tbl>
    <w:p>
      <w:r>
        <w:br w:type="page"/>
      </w:r>
    </w:p>
    <w:p>
      <w:pPr>
        <w:pStyle w:val="Heading1"/>
        <w:spacing w:after="160" w:before="320"/>
      </w:pPr>
      <w:r>
        <w:t xml:space="preserve">2.  RDS for SQL Server — Platform Design</w:t>
      </w:r>
    </w:p>
    <w:p>
      <w:pPr>
        <w:pStyle w:val="Heading2"/>
        <w:spacing w:after="100" w:before="240"/>
      </w:pPr>
      <w:r>
        <w:t xml:space="preserve">2.1  Edition and Licensing Decision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20"/>
              <w:left w:type="dxa" w:w="200"/>
              <w:bottom w:type="dxa" w:w="120"/>
              <w:right w:type="dxa" w:w="160"/>
            </w:tcMar>
          </w:tcPr>
          <w:p>
            <w:pPr>
              <w:spacing w:after="65"/>
            </w:pPr>
            <w:r>
              <w:rPr>
                <w:b/>
                <w:bCs/>
                <w:color w:val="78350F"/>
                <w:sz w:val="21"/>
                <w:szCs w:val="21"/>
              </w:rPr>
              <w:t xml:space="preserve">This is the first and most consequential decision in this guide</w:t>
            </w:r>
          </w:p>
          <w:p>
            <w:pPr>
              <w:spacing w:after="48"/>
            </w:pPr>
            <w:r>
              <w:rPr>
                <w:color w:val="78350F"/>
                <w:sz w:val="20"/>
                <w:szCs w:val="20"/>
              </w:rPr>
              <w:t xml:space="preserve">AWS RDS for SQL Server offers License Included (AWS holds the SQL Server licence, bundled into the instance price) and Bring Your Own License (BYOL, using existing Microsoft licensing with Software Assurance and License Mobility).</w:t>
            </w:r>
          </w:p>
          <w:p>
            <w:pPr>
              <w:spacing w:after="48"/>
            </w:pPr>
            <w:r>
              <w:rPr>
                <w:color w:val="78350F"/>
                <w:sz w:val="20"/>
                <w:szCs w:val="20"/>
              </w:rPr>
              <w:t xml:space="preserve">License Included is almost always the right choice for a time-constrained migration: no licence verification process, no Software Assurance eligibility check, immediate provisioning. BYOL can be materially cheaper at scale if the organisation already owns sufficient SQL Server Enterprise licences with active Software Assurance — but the verification and eligibility process itself can take weeks, which conflicts with the hard deadline.</w:t>
            </w:r>
          </w:p>
          <w:p>
            <w:pPr>
              <w:spacing w:after="48"/>
            </w:pPr>
            <w:r>
              <w:rPr>
                <w:color w:val="78350F"/>
                <w:sz w:val="20"/>
                <w:szCs w:val="20"/>
              </w:rPr>
              <w:t xml:space="preserve">Recommendation: start with License Included for the migration. If BYOL is later confirmed eligible and cost-justified, RDS supports converting at a later date without re-migrating data.</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4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Edition</w:t>
            </w:r>
          </w:p>
        </w:tc>
        <w:tc>
          <w:tcPr>
            <w:tcW w:type="dxa" w:w="4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When to Use</w:t>
            </w:r>
          </w:p>
        </w:tc>
        <w:tc>
          <w:tcPr>
            <w:tcW w:type="dxa" w:w="3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Key Limitation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 Server Standard Edition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Default choice unless a specific Enterprise feature is in use (see §2.2 feature audit below)</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Max 128GB buffer pool per instance (varies by version); fewer high-availability options; no Transparent Data Encryption in older versions (TDE is supported in RDS regardless of edition via RDS-managed encryption)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SQL Server Enterprise Edition</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Required if source uses: table/index partitioning at scale, Always On Availability Groups beyond RDS Multi-AZ, Advanced Auditing, Data Compression at scale, In-Memory OLTP, Advanced Analytics features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Materially higher licensing cost (reflected in License Included instance pricing) — confirm actual feature usage before defaulting to Enterprise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 Server Web Edition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recommended for this workload — designed for web-tier low-cost hosting scenarios</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suitable for a 50TB enterprise OLTP + reporting estate</w:t>
            </w:r>
          </w:p>
        </w:tc>
      </w:tr>
    </w:tbl>
    <w:p>
      <w:pPr>
        <w:spacing w:after="110"/>
      </w:pPr>
      <w:r>
        <w:rPr>
          <w:sz w:val="21"/>
          <w:szCs w:val="21"/>
        </w:rPr>
        <w:t xml:space="preserve"/>
      </w:r>
    </w:p>
    <w:p>
      <w:pPr>
        <w:pStyle w:val="Heading2"/>
        <w:spacing w:after="100" w:before="240"/>
      </w:pPr>
      <w:r>
        <w:t xml:space="preserve">2.2  Enterprise Feature Audit (must complete before edition decision)</w:t>
      </w:r>
    </w:p>
    <w:p>
      <w:pPr>
        <w:spacing w:after="110"/>
      </w:pPr>
      <w:r>
        <w:rPr>
          <w:sz w:val="21"/>
          <w:szCs w:val="21"/>
        </w:rPr>
        <w:t xml:space="preserve">Run this audit against the source Azure SQL MI estate before committing to Standard or Enterprise Edition. Choosing Standard when an Enterprise-only feature is in active use causes a migration blocker discovered late.</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424"/>
      </w:tblGrid>
      <w:tr>
        <w:trPr>
          <w:tblHeader/>
        </w:trPr>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Feature to Check</w:t>
            </w:r>
          </w:p>
        </w:tc>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Detection Query / Method</w:t>
            </w:r>
          </w:p>
        </w:tc>
        <w:tc>
          <w:tcPr>
            <w:tcW w:type="dxa" w:w="4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If Found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Table or index partitioning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SELECT * FROM sys.partition_schemes; SELECT * FROM sys.partition_functions</w:t>
            </w:r>
          </w:p>
        </w:tc>
        <w:tc>
          <w:tcPr>
            <w:tcW w:type="dxa" w:w="4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Partitioning works on Standard Edition from SQL Server 2016 SP1 onward — confirm RDS SQL Server version supports it at Standard tier (it generally does for 2016 SP1+); verify before assuming Enterprise is required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 compression (row/page)</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SELECT * FROM sys.partitions WHERE data_compression &gt; 0</w:t>
            </w:r>
          </w:p>
        </w:tc>
        <w:tc>
          <w:tcPr>
            <w:tcW w:type="dxa" w:w="4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Supported on Standard Edition from SQL Server 2016 SP1+ — same caveat as above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Transparent Data Encryption (TDE)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SELECT * FROM sys.dm_database_encryption_keys</w:t>
            </w:r>
          </w:p>
        </w:tc>
        <w:tc>
          <w:tcPr>
            <w:tcW w:type="dxa" w:w="4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provides storage encryption at the instance level (KMS-backed) regardless of edition — native SQL Server TDE may not be necessary if RDS encryption-at-rest meets the compliance requirement; confirm with security team</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Always On Availability Groups (beyond what RDS Multi-AZ provides)</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SELECT * FROM sys.availability_groups</w:t>
            </w:r>
          </w:p>
        </w:tc>
        <w:tc>
          <w:tcPr>
            <w:tcW w:type="dxa" w:w="4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Multi-AZ uses SQL Server Database Mirroring or Always On (depending on RDS version) internally and is managed by AWS — application-managed Availability Groups are not supported in RDS the same way; redesign around RDS Multi-AZ + read replicas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In-Memory OLTP (memory-optimized tables)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SELECT * FROM sys.tables WHERE is_memory_optimized = 1</w:t>
            </w:r>
          </w:p>
        </w:tc>
        <w:tc>
          <w:tcPr>
            <w:tcW w:type="dxa" w:w="4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Enterprise Edition required if in active use; or redesign the affected tables — assess actual performance dependency before committing to Enterprise licensing cost</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Advanced Auditing (SQL Server Audit beyond Standard)</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SELECT * FROM sys.server_audits</w:t>
            </w:r>
          </w:p>
        </w:tc>
        <w:tc>
          <w:tcPr>
            <w:tcW w:type="dxa" w:w="4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provides its own audit logging via CloudWatch/CloudTrail integration; native SQL Server Audit also works — confirm specific compliance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CLR assemblies (SQLCLR)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SELECT * FROM sys.assemblies WHERE is_user_defined = 1</w:t>
            </w:r>
          </w:p>
        </w:tc>
        <w:tc>
          <w:tcPr>
            <w:tcW w:type="dxa" w:w="4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in RDS SQL Server on both editions — CLR integration must be enabled at the RDS parameter group level (clr enabled = 1); verify assembly permission level (SAFE/EXTERNAL_ACCESS/UNSAFE) — UNSAFE assemblies have additional RDS restrictions, see §4.3</w:t>
            </w:r>
          </w:p>
        </w:tc>
      </w:tr>
    </w:tbl>
    <w:p>
      <w:pPr>
        <w:spacing w:after="110"/>
      </w:pPr>
      <w:r>
        <w:rPr>
          <w:sz w:val="21"/>
          <w:szCs w:val="21"/>
        </w:rPr>
        <w:t xml:space="preserve"/>
      </w:r>
    </w:p>
    <w:p>
      <w:pPr>
        <w:pStyle w:val="Heading2"/>
        <w:spacing w:after="100" w:before="240"/>
      </w:pPr>
      <w:r>
        <w:t xml:space="preserve">2.3  Instance Sizing</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000"/>
        <w:gridCol w:w="2224"/>
      </w:tblGrid>
      <w:tr>
        <w:trPr>
          <w:tblHeader/>
        </w:trPr>
        <w:tc>
          <w:tcPr>
            <w:tcW w:type="dxa" w:w="1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Tier</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Source Workload</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RDS Instance Class Starting Point</w:t>
            </w:r>
          </w:p>
        </w:tc>
        <w:tc>
          <w:tcPr>
            <w:tcW w:type="dxa" w:w="2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T1 — OLTP Core (2TB)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High-frequency transactional workload, low-latency requirement, current Azure SQL MI Business Critical tier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db.r6i.4xlarge or db.r6i.8xlarge (memory-optimized) — benchmark against current Azure SQL MI vCore/memory allocation and match or exceed</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io2 Block Express or gp3 Provisioned IOPS SSD, provisioned to match current IOPS profile from Azure SQL MI metrics</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T2 — Warm History (10–15TB)</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Less latency-sensitive, primarily read workloads, date-range queries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db.r6i.2xlarge to db.r6i.4xlarge depending on concurrent query load</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gp3 with provisioned throughput tuned to query patterns; consider read replica if reporting load is significant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T3 — Cold Archive (33–38TB)</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Rarely queried, compliance/audit access pattern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Does not need to remain on RDS SQL Server at all — same tiering strategy as originally planned: export to S3 + Parquet + Athena for cold archive, keeping only T1/T2 on RDS</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S3 with Glacier transition for data older than the compliance-mandated active window</w:t>
            </w:r>
          </w:p>
        </w:tc>
      </w:tr>
    </w:tbl>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563EB" w:sz="1"/>
              <w:left w:val="single" w:color="2563EB" w:sz="8"/>
              <w:bottom w:val="single" w:color="2563EB" w:sz="1"/>
              <w:right w:val="single" w:color="2563EB" w:sz="1"/>
            </w:tcBorders>
            <w:shd w:fill="EFF6FF" w:val="clear"/>
            <w:tcMar>
              <w:top w:type="dxa" w:w="120"/>
              <w:left w:type="dxa" w:w="200"/>
              <w:bottom w:type="dxa" w:w="120"/>
              <w:right w:type="dxa" w:w="160"/>
            </w:tcMar>
          </w:tcPr>
          <w:p>
            <w:pPr>
              <w:spacing w:after="65"/>
            </w:pPr>
            <w:r>
              <w:rPr>
                <w:b/>
                <w:bCs/>
                <w:color w:val="1E3A5F"/>
                <w:sz w:val="21"/>
                <w:szCs w:val="21"/>
              </w:rPr>
              <w:t xml:space="preserve">Sizing must be validated against actual Azure SQL MI performance metrics, not assumed</w:t>
            </w:r>
          </w:p>
          <w:p>
            <w:pPr>
              <w:spacing w:after="48"/>
            </w:pPr>
            <w:r>
              <w:rPr>
                <w:color w:val="1E3A5F"/>
                <w:sz w:val="20"/>
                <w:szCs w:val="20"/>
              </w:rPr>
              <w:t xml:space="preserve">Pull DTU/vCore utilisation, memory pressure, and IOPS metrics from Azure Monitor for the trailing 90 days before selecting the RDS instance class. Right-sizing on Day 1 avoids a costly resize cycle during the migration window.</w:t>
            </w:r>
          </w:p>
          <w:p>
            <w:pPr>
              <w:spacing w:after="48"/>
            </w:pPr>
            <w:r>
              <w:rPr>
                <w:color w:val="1E3A5F"/>
                <w:sz w:val="20"/>
                <w:szCs w:val="20"/>
              </w:rPr>
              <w:t xml:space="preserve">RDS SQL Server Multi-AZ should be the default for the OLTP core (T1) given the business-critical nature of this workload — this matches the Azure SQL MI Business Critical tier's built-in high availability.</w:t>
            </w:r>
          </w:p>
        </w:tc>
      </w:tr>
    </w:tbl>
    <w:p>
      <w:r>
        <w:br w:type="page"/>
      </w:r>
    </w:p>
    <w:p>
      <w:pPr>
        <w:pStyle w:val="Heading1"/>
        <w:spacing w:after="160" w:before="320"/>
      </w:pPr>
      <w:r>
        <w:t xml:space="preserve">3.  Feature Parity — Azure SQL MI vs RDS SQL Server</w:t>
      </w:r>
    </w:p>
    <w:p>
      <w:pPr>
        <w:spacing w:after="110"/>
      </w:pPr>
      <w:r>
        <w:rPr>
          <w:sz w:val="21"/>
          <w:szCs w:val="21"/>
        </w:rPr>
        <w:t xml:space="preserve">Azure SQL Managed Instance and AWS RDS for SQL Server are both managed SQL Server platforms but are not feature-identical. This section is the audit that must be completed in Week 1–2 to surface any blocking gaps before the DMS migration begins.</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3024"/>
      </w:tblGrid>
      <w:tr>
        <w:trPr>
          <w:tblHeader/>
        </w:trPr>
        <w:tc>
          <w:tcPr>
            <w:tcW w:type="dxa" w:w="2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Feature Area</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Azure SQL MI Behaviour</w:t>
            </w:r>
          </w:p>
        </w:tc>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RDS SQL Server Behaviour</w:t>
            </w:r>
          </w:p>
        </w:tc>
        <w:tc>
          <w:tcPr>
            <w:tcW w:type="dxa" w:w="30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Cross-database queries / linked servers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within the same Managed Instance; cross-instance via Linked Server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supports linked servers to other RDS SQL Server instances and on-premises/external SQL Server via standard linked server configuration; cross-database queries within the same RDS instance work natively</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Inventory all linked server references (sys.servers) in Week 1 census — same census step as originally planned, but the outcome is "reconfigure the linked server connection string" rather than "redesign as a saga pattern"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SQL Server Agent</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Native Agent jobs run on the Managed Instance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SQL Server supports SQL Server Agent natively (unlike RDS for other engines) — Agent jobs migrate largely as-is</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Inventory all SQL Server Agent jobs; confirm job step types (T-SQL, SSIS package execution, PowerShell, CmdExec) — CmdExec and PowerShell steps are restricted in RDS (see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CmdExec / OS-level Agent job 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May be in use for file operations, OS scripting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supported in RDS SQL Server (no OS-level shell access on a managed instance)</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Identify any CmdExec steps; redesign as Lambda-triggered operations or move logic into the ETL Glue/Lambda layer (these are exactly the Windows Service / SSIS-adjacent patterns already covered in the ETL Migration Guide)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Integration Runtime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Azure-managed SSIS IR can execute packages against the Managed Instance directly</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SQL Server does not host an SSIS runtime — this was already true under the original plan since SSIS was always moving to AWS Glue</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change — confirms the ETL migration plan for SSIS is unaffected by the database engine 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Database 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on Managed Instance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on RDS SQL Server with SES or SNS integration patterns commonly used instead, or native Database Mail configured against an SMTP relay</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Inventory Database Mail usage (msdb.dbo.sysmail_profile); reconfigure SMTP relay or migrate to SNS-based notification as part of cutover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Service Broker</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Supported on Managed Instance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Not supported on RDS SQL Server</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in use: redesign using Amazon SQS or SNS — flag any Service Broker usage in Week 1 census as a required redesign item, not a lift-and-shift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File Stream / FileTable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on Managed Instance with certain configuration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supported on RDS SQL Server</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in use: redesign to store files in S3 with metadata in a standard table — flag in Week 1 census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Distributed transactions (MS DTC)</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Supported with configuration on Managed Instance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Not supported on RDS SQL Server</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redesign requirement as the original PostgreSQL plan had — this risk is NOT eliminated by staying on SQL Server. Inventory all MSDTC-dependent procedures in Week 1 census; redesign as saga pattern or application-level compensating transaction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Backup/restore (native .bak)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Native backup to Azure Blob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supports native backup/restore via RDS-specific stored procedures (rds_backup_database, rds_restore_database) to/from S3 — this is the primary migration mechanism, see §5</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Confirm backup file size and S3 transfer time for the 50TB estate; plan backup window accordingly</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Always Encrypted</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Supported on Managed Instance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Supported on RDS SQL Server</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change required if in use — confirm key vault/key store migration path (Azure Key Vault → AWS KMS or CloudHSM)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Change Data Capture (CDC)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on Managed Instance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on RDS SQL Server</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redesign needed — if used for downstream consumption, this continues to work natively, and can also be a useful supplementary tool for replication validation during cutover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Maximum database size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Up to 16TB (Managed Instance, Business Critical, varies by configuration)</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Up to 64TB depending on engine version and storage type (gp3/io2)</w:t>
            </w:r>
          </w:p>
        </w:tc>
        <w:tc>
          <w:tcPr>
            <w:tcW w:type="dxa" w:w="3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Confirm largest single database in the estate is within RDS limits — generally not a concern at the per-database level even within a 50TB total estate</w:t>
            </w:r>
          </w:p>
        </w:tc>
      </w:tr>
    </w:tbl>
    <w:p>
      <w:r>
        <w:br w:type="page"/>
      </w:r>
    </w:p>
    <w:p>
      <w:pPr>
        <w:pStyle w:val="Heading1"/>
        <w:spacing w:after="160" w:before="320"/>
      </w:pPr>
      <w:r>
        <w:t xml:space="preserve">4.  Database Objects Requiring Specific Attention</w:t>
      </w:r>
    </w:p>
    <w:p>
      <w:pPr>
        <w:spacing w:after="110"/>
      </w:pPr>
      <w:r>
        <w:rPr>
          <w:sz w:val="21"/>
          <w:szCs w:val="21"/>
        </w:rPr>
        <w:t xml:space="preserve">While schema and code do not need rewriting, a small number of object categories require configuration changes or redesign even in a same-engine migration. This section replaces what was previously the schema conversion risk register.</w:t>
      </w:r>
    </w:p>
    <w:p>
      <w:pPr>
        <w:spacing w:after="110"/>
      </w:pPr>
      <w:r>
        <w:rPr>
          <w:sz w:val="21"/>
          <w:szCs w:val="21"/>
        </w:rPr>
        <w:t xml:space="preserve"/>
      </w:r>
    </w:p>
    <w:p>
      <w:pPr>
        <w:pStyle w:val="Heading2"/>
        <w:spacing w:after="100" w:before="240"/>
      </w:pPr>
      <w:r>
        <w:t xml:space="preserve">4.1  Linked Servers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824"/>
      </w:tblGrid>
      <w:tr>
        <w:trPr>
          <w:tblHeader/>
        </w:trPr>
        <w:tc>
          <w:tcPr>
            <w:tcW w:type="dxa" w:w="2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Scenario</w:t>
            </w:r>
          </w:p>
        </w:tc>
        <w:tc>
          <w:tcPr>
            <w:tcW w:type="dxa" w:w="3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RDS Treatment</w:t>
            </w:r>
          </w:p>
        </w:tc>
        <w:tc>
          <w:tcPr>
            <w:tcW w:type="dxa" w:w="3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Linked server to another database on the same source instance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Becomes either: (a) a linked server to another RDS SQL Server instance if the target also migrates, or (b) consolidated into the same RDS instance as a separate database if appropriate</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Inventory in Week 1 census; decide per linked server whether the target is migrating to RDS too, and on what timeline — if the target migrates later, the linked server must point cross-region/cross-account temporarily</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Linked server to an external system (not part of this migration)</w:t>
            </w:r>
          </w:p>
        </w:tc>
        <w:tc>
          <w:tcPr>
            <w:tcW w:type="dxa" w:w="3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supports linked servers to external SQL Server, and via ODBC/OLEDB providers where supported by the RDS SQL Server engine configuration</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Confirm network path (VPN/Direct Connect/PrivateLink) from RDS subnet to the external system; reconfigure connection string and credentials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Linked server using MSDTC for distributed transactions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supported on RDS — this is the one linked server scenario that requires redesign regardless of target engine</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 in Week 1 census; redesign as application-level two-phase pattern or move the cross-system operation into the ETL layer (Step Functions can orchestrate what MSDTC previously coordinated)</w:t>
            </w:r>
          </w:p>
        </w:tc>
      </w:tr>
    </w:tbl>
    <w:p>
      <w:pPr>
        <w:spacing w:after="110"/>
      </w:pPr>
      <w:r>
        <w:rPr>
          <w:sz w:val="21"/>
          <w:szCs w:val="21"/>
        </w:rPr>
        <w:t xml:space="preserve"/>
      </w:r>
    </w:p>
    <w:p>
      <w:pPr>
        <w:pStyle w:val="Heading2"/>
        <w:spacing w:after="100" w:before="240"/>
      </w:pPr>
      <w:r>
        <w:t xml:space="preserve">4.2  SQL Server Agent Jobs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8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Job Step Type</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RDS Support</w:t>
            </w:r>
          </w:p>
        </w:tc>
        <w:tc>
          <w:tcPr>
            <w:tcW w:type="dxa" w:w="48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Migration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T-SQL 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Fully supported</w:t>
            </w:r>
          </w:p>
        </w:tc>
        <w:tc>
          <w:tcPr>
            <w:tcW w:type="dxa" w:w="4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Migrates directly — recreate job definition on RDS via rdsadmin stored procedures or standard Agent job creation (RDS exposes Agent job management to the master user)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package execution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Already moving to AWS Glue per ETL Migration Guide — no Agent-based SSIS execution on RDS regardless</w:t>
            </w:r>
          </w:p>
        </w:tc>
        <w:tc>
          <w:tcPr>
            <w:tcW w:type="dxa" w:w="4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Confirm the Agent job is fully decommissioned once the equivalent Glue Workflow trigger is live; do not migrate this job type to RDS Agent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CmdExec (OS command execution)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supported on RDS</w:t>
            </w:r>
          </w:p>
        </w:tc>
        <w:tc>
          <w:tcPr>
            <w:tcW w:type="dxa" w:w="4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Identify what the OS command does — file operations typically become S3 operations in a Lambda function triggered by EventBridge on the same schedule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PowerShell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Not supported on RDS</w:t>
            </w:r>
          </w:p>
        </w:tc>
        <w:tc>
          <w:tcPr>
            <w:tcW w:type="dxa" w:w="4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treatment as CmdExec — move logic to Lambda or Glue Python Shell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Replication agent job steps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Supported only for the replication types RDS supports (see §4.4)</w:t>
            </w:r>
          </w:p>
        </w:tc>
        <w:tc>
          <w:tcPr>
            <w:tcW w:type="dxa" w:w="4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Confirm replication type before assuming the job migrates as-is</w:t>
            </w:r>
          </w:p>
        </w:tc>
      </w:tr>
    </w:tbl>
    <w:p>
      <w:pPr>
        <w:spacing w:after="110"/>
      </w:pPr>
      <w:r>
        <w:rPr>
          <w:sz w:val="21"/>
          <w:szCs w:val="21"/>
        </w:rPr>
        <w:t xml:space="preserve"/>
      </w:r>
    </w:p>
    <w:p>
      <w:pPr>
        <w:pStyle w:val="Heading2"/>
        <w:spacing w:after="100" w:before="240"/>
      </w:pPr>
      <w:r>
        <w:t xml:space="preserve">4.3  CLR Assemblies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20"/>
              <w:left w:type="dxa" w:w="200"/>
              <w:bottom w:type="dxa" w:w="120"/>
              <w:right w:type="dxa" w:w="160"/>
            </w:tcMar>
          </w:tcPr>
          <w:p>
            <w:pPr>
              <w:spacing w:after="65"/>
            </w:pPr>
            <w:r>
              <w:rPr>
                <w:b/>
                <w:bCs/>
                <w:color w:val="78350F"/>
                <w:sz w:val="21"/>
                <w:szCs w:val="21"/>
              </w:rPr>
              <w:t xml:space="preserve">CLR works on RDS but with permission-level restrictions</w:t>
            </w:r>
          </w:p>
          <w:p>
            <w:pPr>
              <w:spacing w:after="48"/>
            </w:pPr>
            <w:r>
              <w:rPr>
                <w:color w:val="78350F"/>
                <w:sz w:val="20"/>
                <w:szCs w:val="20"/>
              </w:rPr>
              <w:t xml:space="preserve">RDS SQL Server supports CLR integration. The clr enabled parameter must be set to 1 in the RDS parameter group (not via sp_configure directly — RDS manages this through parameter groups).</w:t>
            </w:r>
          </w:p>
          <w:p>
            <w:pPr>
              <w:spacing w:after="48"/>
            </w:pPr>
            <w:r>
              <w:rPr>
                <w:color w:val="78350F"/>
                <w:sz w:val="20"/>
                <w:szCs w:val="20"/>
              </w:rPr>
              <w:t xml:space="preserve">SAFE assemblies: work without restriction. EXTERNAL_ACCESS assemblies: supported but require explicit configuration and are more tightly controlled in a managed environment — test thoroughly. UNSAFE assemblies: have the most restrictions on RDS since they can execute arbitrary code and access OS resources that a managed instance does not expose in the same way as on-premises or Azure SQL MI.</w:t>
            </w:r>
          </w:p>
          <w:p>
            <w:pPr>
              <w:spacing w:after="48"/>
            </w:pPr>
            <w:r>
              <w:rPr>
                <w:color w:val="78350F"/>
                <w:sz w:val="20"/>
                <w:szCs w:val="20"/>
              </w:rPr>
              <w:t xml:space="preserve">Action: run the CLR assembly permission-level audit (sys.assemblies, is_user_defined = 1, check permission_set) in Week 1. For any UNSAFE assembly, test deployment to an RDS dev instance early — this is the one CLR scenario most likely to need redesign.</w:t>
            </w:r>
          </w:p>
        </w:tc>
      </w:tr>
    </w:tbl>
    <w:p>
      <w:pPr>
        <w:spacing w:after="110"/>
      </w:pPr>
      <w:r>
        <w:rPr>
          <w:sz w:val="21"/>
          <w:szCs w:val="21"/>
        </w:rPr>
        <w:t xml:space="preserve"/>
      </w:r>
    </w:p>
    <w:p>
      <w:pPr>
        <w:pStyle w:val="Heading2"/>
        <w:spacing w:after="100" w:before="240"/>
      </w:pPr>
      <w:r>
        <w:t xml:space="preserve">4.4  Replication</w:t>
      </w:r>
    </w:p>
    <w:p>
      <w:pPr>
        <w:spacing w:after="110"/>
      </w:pPr>
      <w:r>
        <w:rPr>
          <w:sz w:val="21"/>
          <w:szCs w:val="21"/>
        </w:rPr>
        <w:t xml:space="preserve">This was a significant risk item in the original PostgreSQL-target plan (no native replication equivalent) and remains relevant, though less severe, on RDS SQL Server.</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624"/>
      </w:tblGrid>
      <w:tr>
        <w:trPr>
          <w:tblHeader/>
        </w:trPr>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Replication Type</w:t>
            </w:r>
          </w:p>
        </w:tc>
        <w:tc>
          <w:tcPr>
            <w:tcW w:type="dxa" w:w="3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RDS Support</w:t>
            </w:r>
          </w:p>
        </w:tc>
        <w:tc>
          <w:tcPr>
            <w:tcW w:type="dxa" w:w="4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Transactional replication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 can act as a replication subscriber; acting as a Publisher/Distributor has historically been more limited and should be validated against the current RDS SQL Server engine version documentation before relying on it</w:t>
            </w:r>
          </w:p>
        </w:tc>
        <w:tc>
          <w:tcPr>
            <w:tcW w:type="dxa" w:w="4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Inventory publisher/subscriber topology (MSPublications/MSSubscriptions) in Week 1 census — same step as originally planned; confirm current AWS documentation for Publisher support on the specific RDS SQL Server version being targeted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Merge replication</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Historically not supported as a Publisher on RDS SQL Server</w:t>
            </w:r>
          </w:p>
        </w:tc>
        <w:tc>
          <w:tcPr>
            <w:tcW w:type="dxa" w:w="4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If found in census: redesign as AWS DMS ongoing replication, or application-level sync via the ETL layer — do not assume this migrates as-is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Snapshot replication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Generally follows the same support pattern as transactional replication</w:t>
            </w:r>
          </w:p>
        </w:tc>
        <w:tc>
          <w:tcPr>
            <w:tcW w:type="dxa" w:w="4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Validate against current RDS documentation; same census and validation approach as transactional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DMS as the replacement mechanism</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DMS supports SQL Server as both source and target (homogeneous migration) and can run ongoing CDC-based replication independent of native SQL Server replication features</w:t>
            </w:r>
          </w:p>
        </w:tc>
        <w:tc>
          <w:tcPr>
            <w:tcW w:type="dxa" w:w="4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 any replication topology that RDS cannot natively support as Publisher: AWS DMS is the recommended redesign target — it was already the primary migration mechanism for the initial cutover, and the same mechanism can serve ongoing replication needs</w:t>
            </w:r>
          </w:p>
        </w:tc>
      </w:tr>
    </w:tbl>
    <w:p>
      <w:r>
        <w:br w:type="page"/>
      </w:r>
    </w:p>
    <w:p>
      <w:pPr>
        <w:pStyle w:val="Heading1"/>
        <w:spacing w:after="160" w:before="320"/>
      </w:pPr>
      <w:r>
        <w:t xml:space="preserve">5.  Migration Mechanism — Homogeneous SQL Server Migration</w:t>
      </w:r>
    </w:p>
    <w:p>
      <w:pPr>
        <w:spacing w:after="110"/>
      </w:pPr>
      <w:r>
        <w:rPr>
          <w:sz w:val="21"/>
          <w:szCs w:val="21"/>
        </w:rPr>
        <w:t xml:space="preserve">Because source and target are the same database engine, this is a homogeneous migration. This is materially simpler than the heterogeneous SQL Server → PostgreSQL migration originally planned, and several additional native options become available alongside AWS DMS.</w:t>
      </w:r>
    </w:p>
    <w:p>
      <w:pPr>
        <w:spacing w:after="110"/>
      </w:pPr>
      <w:r>
        <w:rPr>
          <w:sz w:val="21"/>
          <w:szCs w:val="21"/>
        </w:rPr>
        <w:t xml:space="preserve"/>
      </w:r>
    </w:p>
    <w:p>
      <w:pPr>
        <w:pStyle w:val="Heading2"/>
        <w:spacing w:after="100" w:before="240"/>
      </w:pPr>
      <w:r>
        <w:t xml:space="preserve">5.1  Migration Options Compared</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000"/>
        <w:gridCol w:w="2224"/>
      </w:tblGrid>
      <w:tr>
        <w:trPr>
          <w:tblHeader/>
        </w:trPr>
        <w:tc>
          <w:tcPr>
            <w:tcW w:type="dxa" w:w="2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Method</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Best For</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How It Works</w:t>
            </w:r>
          </w:p>
        </w:tc>
        <w:tc>
          <w:tcPr>
            <w:tcW w:type="dxa" w:w="22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Downtime Implication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DMS — homogeneous CDC replication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Primary recommended method for the OLTP core (T1) — minimises downtime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Full load of existing data, then continuous CDC replication of ongoing changes until cutover. Same mechanism originally planned, but no schema/type translation step since source and target are both SQL Server.</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Near-zero downtime — cutover window is just the final CDC catch-up plus connection string switch</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Native backup/restore via S3 (rds_backup_database / rds_restore_database)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Best for T2/T3 (warm/cold data) where a maintenance window is acceptable, and for the initial full-load seeding step before DMS CDC starts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BACKUP DATABASE to a backup file; RDS-specific stored procedure uploads it to S3; restore on the RDS target reads from S3</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Requires a window matching backup+transfer+restore time for the data volume — acceptable for non-OLTP tiers; for the OLTP core, use this only as the initial seed before DMS CDC takes over the delta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Native log shipping / Always On (limited applicability)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the primary recommended method for this migration given RDS's managed nature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does not expose the underlying OS/instance for traditional log shipping configuration to be set up in the conventional way</w:t>
            </w:r>
          </w:p>
        </w:tc>
        <w:tc>
          <w:tcPr>
            <w:tcW w:type="dxa" w:w="2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recommended as the primary cutover mechanism — DMS provides the equivalent capability in a way that is fully supported on RDS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Transactional replication (if Publisher support confirmed)</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Possible alternative or supplementary validation method if native replication is confirmed supported for the specific RDS engine version</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Configure the source as Publisher, RDS target as Subscriber</w:t>
            </w:r>
          </w:p>
        </w:tc>
        <w:tc>
          <w:tcPr>
            <w:tcW w:type="dxa" w:w="2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Only relevant if already validated as supported — treat as a secondary option, not the primary plan</w:t>
            </w:r>
          </w:p>
        </w:tc>
      </w:tr>
    </w:tbl>
    <w:p>
      <w:pPr>
        <w:spacing w:after="110"/>
      </w:pPr>
      <w:r>
        <w:rPr>
          <w:sz w:val="21"/>
          <w:szCs w:val="21"/>
        </w:rPr>
        <w:t xml:space="preserve"/>
      </w:r>
    </w:p>
    <w:p>
      <w:pPr>
        <w:pStyle w:val="Heading2"/>
        <w:spacing w:after="100" w:before="240"/>
      </w:pPr>
      <w:r>
        <w:t xml:space="preserve">5.2  Recommended Migration Sequence (T1 — OLTP Core, 2TB)</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400"/>
        <w:gridCol w:w="3524"/>
      </w:tblGrid>
      <w:tr>
        <w:trPr>
          <w:tblHeader/>
        </w:trPr>
        <w:tc>
          <w:tcPr>
            <w:tcW w:type="dxa" w:w="7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Step</w:t>
            </w:r>
          </w:p>
        </w:tc>
        <w:tc>
          <w:tcPr>
            <w:tcW w:type="dxa" w:w="36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Tool</w:t>
            </w:r>
          </w:p>
        </w:tc>
        <w:tc>
          <w:tcPr>
            <w:tcW w:type="dxa" w:w="35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Provision RDS SQL Server target — Multi-AZ, sized per §2.3, parameter group configured per §4.3 (CLR enabled if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Console / Terraform</w:t>
            </w:r>
          </w:p>
        </w:tc>
        <w:tc>
          <w:tcPr>
            <w:tcW w:type="dxa" w:w="3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Complete in Week 1–2 alongside Week 1 census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Initial seed — full backup of source database, restore to RDS target via S3</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Native backup/restore (rds_restore_database)</w:t>
            </w:r>
          </w:p>
        </w:tc>
        <w:tc>
          <w:tcPr>
            <w:tcW w:type="dxa" w:w="3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 2TB this is a matter of hours, not days — much faster than the original schema-conversion-then-bulk-load approach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Configure AWS DMS replication instance — source endpoint (Azure SQL MI), target endpoint (RDS SQL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DMS</w:t>
            </w:r>
          </w:p>
        </w:tc>
        <w:tc>
          <w:tcPr>
            <w:tcW w:type="dxa" w:w="3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Homogeneous endpoint configuration — no schema/type mapping step required, unlike the original SQL Server → PostgreSQL DMS task</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Start DMS CDC-only task (since full load was already done via backup/restore) — capture ongoing changes from the seed point forward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DMS</w:t>
            </w:r>
          </w:p>
        </w:tc>
        <w:tc>
          <w:tcPr>
            <w:tcW w:type="dxa" w:w="3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CDC-only mode starting from a specific LSN/timestamp aligned to the backup/restore completion point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Monitor CDC lag until stable — same gate criterion as originally planned: &lt;2 seconds sustained for 72 hours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CloudWatch + DMS task monitoring</w:t>
            </w:r>
          </w:p>
        </w:tc>
        <w:tc>
          <w:tcPr>
            <w:tcW w:type="dxa" w:w="3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Identical monitoring approach to the original plan</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Application testing against RDS target — connection string and endpoint change only; no SQL dialect testing required</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App team</w:t>
            </w:r>
          </w:p>
        </w:tc>
        <w:tc>
          <w:tcPr>
            <w:tcW w:type="dxa" w:w="3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Substantially faster than the original plan since there is no SQLSTATE remediation or driver family change to validate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Cutover — stop application writes, confirm CDC lag = 0, switch connection strings to RDS endpoint, resume writes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Migration Lead + DBA</w:t>
            </w:r>
          </w:p>
        </w:tc>
        <w:tc>
          <w:tcPr>
            <w:tcW w:type="dxa" w:w="3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Same runbook structure as originally planned in the Migration Plan — only the target endpoint changes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8</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Hypercare — source Azure SQL MI remains available read-only for the agreed safety window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DBA + Platform Team</w:t>
            </w:r>
          </w:p>
        </w:tc>
        <w:tc>
          <w:tcPr>
            <w:tcW w:type="dxa" w:w="3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Unchanged from original plan</w:t>
            </w:r>
          </w:p>
        </w:tc>
      </w:tr>
    </w:tbl>
    <w:p>
      <w:r>
        <w:br w:type="page"/>
      </w:r>
    </w:p>
    <w:p>
      <w:pPr>
        <w:pStyle w:val="Heading1"/>
        <w:spacing w:after="160" w:before="320"/>
      </w:pPr>
      <w:r>
        <w:t xml:space="preserve">6.  Security and Networking</w:t>
      </w:r>
    </w:p>
    <w:p>
      <w:pPr>
        <w:pStyle w:val="Heading2"/>
        <w:spacing w:after="100" w:before="240"/>
      </w:pPr>
      <w:r>
        <w:t xml:space="preserve">6.1  Authentication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00"/>
        <w:gridCol w:w="2624"/>
      </w:tblGrid>
      <w:tr>
        <w:trPr>
          <w:tblHeader/>
        </w:trPr>
        <w:tc>
          <w:tcPr>
            <w:tcW w:type="dxa" w:w="1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Aspect</w:t>
            </w:r>
          </w:p>
        </w:tc>
        <w:tc>
          <w:tcPr>
            <w:tcW w:type="dxa" w:w="28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Azure SQL MI</w:t>
            </w:r>
          </w:p>
        </w:tc>
        <w:tc>
          <w:tcPr>
            <w:tcW w:type="dxa" w:w="30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RDS SQL Server</w:t>
            </w:r>
          </w:p>
        </w:tc>
        <w:tc>
          <w:tcPr>
            <w:tcW w:type="dxa" w:w="26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Authentication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 Authentication and/or Azure AD 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 Authentication and/or Windows Authentication via AWS Managed Microsoft AD (if domain-joined) or RDS native SQL logins</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currently using Azure AD Authentication: plan migration to AWS Managed Microsoft AD-backed Windows Authentication, or transition affected logins to SQL Authentication with credentials in Secrets Manager</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Login/user inventory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SQL Server logins and database users, possibly with Azure AD-linked logins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Logins migrate via standard SQL Server login scripts; Azure AD-linked logins need re-mapping</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Export all logins (sp_help_revlogin or equivalent) in Week 1; identify any Azure AD-linked logins specifically for re-mapping work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Encryption in transit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TLS enforced by Azure SQL MI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TLS supported and recommended on RDS — configure via RDS parameter group (force encryption) and ensure application connection strings specify Encrypt=True</w:t>
            </w:r>
          </w:p>
        </w:tc>
        <w:tc>
          <w:tcPr>
            <w:tcW w:type="dxa" w:w="2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Update connection strings; verify certificate trust chain for the RDS endpoint (AWS RDS uses its own CA — application drivers must trust the RDS CA bundle)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Encryption at rest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Azure-managed encryption (transparent)</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storage encryption via AWS KMS — enabled at instance creation, cannot be added retroactively without snapshot/restore</w:t>
            </w:r>
          </w:p>
        </w:tc>
        <w:tc>
          <w:tcPr>
            <w:tcW w:type="dxa" w:w="26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Must be enabled at RDS instance creation time — confirm this is set correctly in the initial provisioning, not added later</w:t>
            </w:r>
          </w:p>
        </w:tc>
      </w:tr>
    </w:tbl>
    <w:p>
      <w:pPr>
        <w:spacing w:after="110"/>
      </w:pPr>
      <w:r>
        <w:rPr>
          <w:sz w:val="21"/>
          <w:szCs w:val="21"/>
        </w:rPr>
        <w:t xml:space="preserve"/>
      </w:r>
    </w:p>
    <w:p>
      <w:pPr>
        <w:pStyle w:val="Heading2"/>
        <w:spacing w:after="100" w:before="240"/>
      </w:pPr>
      <w:r>
        <w:t xml:space="preserve">6.2  Network Architecture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563EB" w:sz="1"/>
              <w:left w:val="single" w:color="2563EB" w:sz="8"/>
              <w:bottom w:val="single" w:color="2563EB" w:sz="1"/>
              <w:right w:val="single" w:color="2563EB" w:sz="1"/>
            </w:tcBorders>
            <w:shd w:fill="EFF6FF" w:val="clear"/>
            <w:tcMar>
              <w:top w:type="dxa" w:w="120"/>
              <w:left w:type="dxa" w:w="200"/>
              <w:bottom w:type="dxa" w:w="120"/>
              <w:right w:type="dxa" w:w="160"/>
            </w:tcMar>
          </w:tcPr>
          <w:p>
            <w:pPr>
              <w:spacing w:after="65"/>
            </w:pPr>
            <w:r>
              <w:rPr>
                <w:b/>
                <w:bCs/>
                <w:color w:val="1E3A5F"/>
                <w:sz w:val="21"/>
                <w:szCs w:val="21"/>
              </w:rPr>
              <w:t xml:space="preserve">RDS SQL Server sits inside a VPC — network design follows the same pattern as the rest of the AWS estate</w:t>
            </w:r>
          </w:p>
          <w:p>
            <w:pPr>
              <w:spacing w:after="48"/>
            </w:pPr>
            <w:r>
              <w:rPr>
                <w:color w:val="1E3A5F"/>
                <w:sz w:val="20"/>
                <w:szCs w:val="20"/>
              </w:rPr>
              <w:t xml:space="preserve">RDS instance is provisioned into a private subnet within the migration VPC. No public accessibility for the production instance.</w:t>
            </w:r>
          </w:p>
          <w:p>
            <w:pPr>
              <w:spacing w:after="48"/>
            </w:pPr>
            <w:r>
              <w:rPr>
                <w:color w:val="1E3A5F"/>
                <w:sz w:val="20"/>
                <w:szCs w:val="20"/>
              </w:rPr>
              <w:t xml:space="preserve">Application connectivity: applications already on AWS connect via VPC peering or the same VPC. Applications still partially on Azure during the transition period connect via Site-to-Site VPN or AWS Direct Connect to the AWS VPC, then to the RDS private endpoint.</w:t>
            </w:r>
          </w:p>
          <w:p>
            <w:pPr>
              <w:spacing w:after="48"/>
            </w:pPr>
            <w:r>
              <w:rPr>
                <w:color w:val="1E3A5F"/>
                <w:sz w:val="20"/>
                <w:szCs w:val="20"/>
              </w:rPr>
              <w:t xml:space="preserve">Cross-account access (wireless business unit AWS account): use AWS PrivateLink or VPC peering as already designed in the Migration Plan §8 cross-account integration section — this design is unaffected by the database engine choice.</w:t>
            </w:r>
          </w:p>
          <w:p>
            <w:pPr>
              <w:spacing w:after="48"/>
            </w:pPr>
            <w:r>
              <w:rPr>
                <w:color w:val="1E3A5F"/>
                <w:sz w:val="20"/>
                <w:szCs w:val="20"/>
              </w:rPr>
              <w:t xml:space="preserve">Security groups: restrict inbound 1433 (default SQL Server port) to only the application subnets, the Glue/Lambda ETL execution security groups, and the DBA bastion/jump-host security group. No broad CIDR ranges.</w:t>
            </w:r>
          </w:p>
        </w:tc>
      </w:tr>
    </w:tbl>
    <w:p>
      <w:pPr>
        <w:spacing w:after="110"/>
      </w:pPr>
      <w:r>
        <w:rPr>
          <w:sz w:val="21"/>
          <w:szCs w:val="21"/>
        </w:rPr>
        <w:t xml:space="preserve"/>
      </w:r>
    </w:p>
    <w:p>
      <w:pPr>
        <w:pStyle w:val="Heading2"/>
        <w:spacing w:after="100" w:before="240"/>
      </w:pPr>
      <w:r>
        <w:t xml:space="preserve">6.3  Secrets Management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4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Credential Type</w:t>
            </w:r>
          </w:p>
        </w:tc>
        <w:tc>
          <w:tcPr>
            <w:tcW w:type="dxa" w:w="4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Storage</w:t>
            </w:r>
          </w:p>
        </w:tc>
        <w:tc>
          <w:tcPr>
            <w:tcW w:type="dxa" w:w="3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Rotation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master user password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Secrets Manager, with RDS-native rotation enabled</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Automatic rotation via Secrets Manager + RDS integration — no manual process required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Application service account credentials</w:t>
            </w:r>
          </w:p>
        </w:tc>
        <w:tc>
          <w:tcPr>
            <w:tcW w:type="dxa" w:w="4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Secrets Manager, referenced by application/Lambda/Glue jobs via IAM role — never hardcoded in connection strings or config files</w:t>
            </w:r>
          </w:p>
        </w:tc>
        <w:tc>
          <w:tcPr>
            <w:tcW w:type="dxa" w:w="3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Rotation schedule per security policy; RDS supports multi-user rotation via Secrets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Linked server credentials (if retained)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Secrets Manager; linked server configuration updated to reference current credentials at configuration time (linked servers do not support dynamic secret retrieval natively — document the manual rotation step)</w:t>
            </w:r>
          </w:p>
        </w:tc>
        <w:tc>
          <w:tcPr>
            <w:tcW w:type="dxa" w:w="3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Manual rotation with a documented runbook step — flag this in the Day 2 operations model (§7)</w:t>
            </w:r>
          </w:p>
        </w:tc>
      </w:tr>
    </w:tbl>
    <w:p>
      <w:r>
        <w:br w:type="page"/>
      </w:r>
    </w:p>
    <w:p>
      <w:pPr>
        <w:pStyle w:val="Heading1"/>
        <w:spacing w:after="160" w:before="320"/>
      </w:pPr>
      <w:r>
        <w:t xml:space="preserve">7.  Day 2 Operations Model — RDS SQL Server</w:t>
      </w:r>
    </w:p>
    <w:p>
      <w:pPr>
        <w:spacing w:after="110"/>
      </w:pPr>
      <w:r>
        <w:rPr>
          <w:sz w:val="21"/>
          <w:szCs w:val="21"/>
        </w:rPr>
        <w:t xml:space="preserve">This replaces the Aurora-specific operational runbooks from the original plan with RDS SQL Server equivalents.</w:t>
      </w:r>
    </w:p>
    <w:p>
      <w:pPr>
        <w:spacing w:after="110"/>
      </w:pPr>
      <w:r>
        <w:rPr>
          <w:sz w:val="21"/>
          <w:szCs w:val="21"/>
        </w:rPr>
        <w:t xml:space="preserve"/>
      </w:r>
    </w:p>
    <w:p>
      <w:pPr>
        <w:pStyle w:val="Heading2"/>
        <w:spacing w:after="100" w:before="240"/>
      </w:pPr>
      <w:r>
        <w:t xml:space="preserve">7.1  Ownership Model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424"/>
      </w:tblGrid>
      <w:tr>
        <w:trPr>
          <w:tblHeader/>
        </w:trPr>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Component</w:t>
            </w:r>
          </w:p>
        </w:tc>
        <w:tc>
          <w:tcPr>
            <w:tcW w:type="dxa" w:w="24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Owner</w:t>
            </w:r>
          </w:p>
        </w:tc>
        <w:tc>
          <w:tcPr>
            <w:tcW w:type="dxa" w:w="54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Primary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DBA Lead → Platform Team</w:t>
            </w:r>
          </w:p>
        </w:tc>
        <w:tc>
          <w:tcPr>
            <w:tcW w:type="dxa" w:w="5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Patching (RDS-managed minor version patching during maintenance window; major version upgrades planned and tested); parameter group changes; Multi-AZ failover monitoring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Backup and restore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DBA Lead → Platform Team</w:t>
            </w:r>
          </w:p>
        </w:tc>
        <w:tc>
          <w:tcPr>
            <w:tcW w:type="dxa" w:w="5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automated backups (point-in-time recovery window per RPO requirement); manual snapshot before major changes; periodic restore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SQL Server Agent jobs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DBA Lead</w:t>
            </w:r>
          </w:p>
        </w:tc>
        <w:tc>
          <w:tcPr>
            <w:tcW w:type="dxa" w:w="5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Job monitoring, failure alerting, job schedule changes — same operational model as on-premises/Azure SQL Agent, RDS exposes equivalent management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Performance monitoring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DBA Lead + Platform Team</w:t>
            </w:r>
          </w:p>
        </w:tc>
        <w:tc>
          <w:tcPr>
            <w:tcW w:type="dxa" w:w="5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Performance Insights (native to RDS, equivalent to Query Store on Azure SQL MI); CloudWatch RDS metrics; slow query identification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Security and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DBA Lead + Security Team</w:t>
            </w:r>
          </w:p>
        </w:tc>
        <w:tc>
          <w:tcPr>
            <w:tcW w:type="dxa" w:w="5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Login/user lifecycle; periodic access review; Secrets Manager credential rotation oversight</w:t>
            </w:r>
          </w:p>
        </w:tc>
      </w:tr>
    </w:tbl>
    <w:p>
      <w:pPr>
        <w:spacing w:after="110"/>
      </w:pPr>
      <w:r>
        <w:rPr>
          <w:sz w:val="21"/>
          <w:szCs w:val="21"/>
        </w:rPr>
        <w:t xml:space="preserve"/>
      </w:r>
    </w:p>
    <w:p>
      <w:pPr>
        <w:pStyle w:val="Heading2"/>
        <w:spacing w:after="100" w:before="240"/>
      </w:pPr>
      <w:r>
        <w:t xml:space="preserve">7.2  RDS SQL Server Operational Runbooks (required before go-live)</w:t>
      </w:r>
    </w:p>
    <w:p>
      <w:pPr>
        <w:pStyle w:val="ListParagraph"/>
        <w:numPr>
          <w:ilvl w:val="0"/>
          <w:numId w:val="2"/>
        </w:numPr>
        <w:spacing w:after="60"/>
      </w:pPr>
      <w:r>
        <w:rPr>
          <w:sz w:val="21"/>
          <w:szCs w:val="21"/>
        </w:rPr>
        <w:t xml:space="preserve">Runbook: Multi-AZ failover — what to expect during a planned or unplanned failover (RDS handles automatically via DNS endpoint update; typical failover time 60–120 seconds); application retry logic must handle the brief connection interruption.</w:t>
      </w:r>
    </w:p>
    <w:p>
      <w:pPr>
        <w:pStyle w:val="ListParagraph"/>
        <w:numPr>
          <w:ilvl w:val="0"/>
          <w:numId w:val="2"/>
        </w:numPr>
        <w:spacing w:after="60"/>
      </w:pPr>
      <w:r>
        <w:rPr>
          <w:sz w:val="21"/>
          <w:szCs w:val="21"/>
        </w:rPr>
        <w:t xml:space="preserve">Runbook: Maintenance window patching — RDS applies minor version patches during the configured maintenance window; major version upgrades are customer-initiated and must be tested in a non-production RDS instance first.</w:t>
      </w:r>
    </w:p>
    <w:p>
      <w:pPr>
        <w:pStyle w:val="ListParagraph"/>
        <w:numPr>
          <w:ilvl w:val="0"/>
          <w:numId w:val="2"/>
        </w:numPr>
        <w:spacing w:after="60"/>
      </w:pPr>
      <w:r>
        <w:rPr>
          <w:sz w:val="21"/>
          <w:szCs w:val="21"/>
        </w:rPr>
        <w:t xml:space="preserve">Runbook: Point-in-time recovery — how to restore to a specific point within the backup retention window; how to handle a restore-to-new-instance vs in-place restore decision.</w:t>
      </w:r>
    </w:p>
    <w:p>
      <w:pPr>
        <w:pStyle w:val="ListParagraph"/>
        <w:numPr>
          <w:ilvl w:val="0"/>
          <w:numId w:val="2"/>
        </w:numPr>
        <w:spacing w:after="60"/>
      </w:pPr>
      <w:r>
        <w:rPr>
          <w:sz w:val="21"/>
          <w:szCs w:val="21"/>
        </w:rPr>
        <w:t xml:space="preserve">Runbook: Storage autoscaling — RDS supports storage autoscaling; define the maximum threshold and alerting for unexpected growth (particularly relevant for the T1 OLTP core).</w:t>
      </w:r>
    </w:p>
    <w:p>
      <w:pPr>
        <w:pStyle w:val="ListParagraph"/>
        <w:numPr>
          <w:ilvl w:val="0"/>
          <w:numId w:val="2"/>
        </w:numPr>
        <w:spacing w:after="60"/>
      </w:pPr>
      <w:r>
        <w:rPr>
          <w:sz w:val="21"/>
          <w:szCs w:val="21"/>
        </w:rPr>
        <w:t xml:space="preserve">Runbook: Performance Insights triage — how to use Performance Insights to identify a problematic query, correlate with Agent job schedules, and escalate to the DBA Lead.</w:t>
      </w:r>
    </w:p>
    <w:p>
      <w:pPr>
        <w:pStyle w:val="ListParagraph"/>
        <w:numPr>
          <w:ilvl w:val="0"/>
          <w:numId w:val="2"/>
        </w:numPr>
        <w:spacing w:after="60"/>
      </w:pPr>
      <w:r>
        <w:rPr>
          <w:sz w:val="21"/>
          <w:szCs w:val="21"/>
        </w:rPr>
        <w:t xml:space="preserve">Runbook: Connection storm / connection limit — RDS SQL Server has a maximum connection limit based on instance class; define application-side connection pooling limits to stay within bounds, and the alerting threshold before the limit is reached.</w:t>
      </w:r>
    </w:p>
    <w:p>
      <w:r>
        <w:br w:type="page"/>
      </w:r>
    </w:p>
    <w:p>
      <w:pPr>
        <w:pStyle w:val="Heading1"/>
        <w:spacing w:after="160" w:before="320"/>
      </w:pPr>
      <w:r>
        <w:t xml:space="preserve">8.  What Remains Unchanged from the Original Architect Review</w:t>
      </w:r>
    </w:p>
    <w:p>
      <w:pPr>
        <w:spacing w:after="110"/>
      </w:pPr>
      <w:r>
        <w:rPr>
          <w:sz w:val="21"/>
          <w:szCs w:val="21"/>
        </w:rPr>
        <w:t xml:space="preserve">The following findings from the original Enterprise Architect Independent Review remain fully applicable regardless of the database engine decision, because they concern the programme as a whole, not the database conversion specifically.</w:t>
      </w:r>
    </w:p>
    <w:p>
      <w:pPr>
        <w:spacing w:after="110"/>
      </w:pPr>
      <w:r>
        <w:rPr>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rPr>
          <w:tblHeader/>
        </w:trPr>
        <w:tc>
          <w:tcPr>
            <w:tcW w:type="dxa" w:w="3200"/>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Finding</w:t>
            </w:r>
          </w:p>
        </w:tc>
        <w:tc>
          <w:tcPr>
            <w:tcW w:type="dxa" w:w="7024"/>
            <w:tcBorders>
              <w:top w:val="single" w:color="CCCCCC" w:sz="1"/>
              <w:left w:val="single" w:color="CCCCCC" w:sz="1"/>
              <w:bottom w:val="single" w:color="CCCCCC" w:sz="1"/>
              <w:right w:val="single" w:color="CCCCCC" w:sz="1"/>
            </w:tcBorders>
            <w:shd w:fill="111827" w:val="clear"/>
            <w:tcMar>
              <w:top w:type="dxa" w:w="80"/>
              <w:left w:type="dxa" w:w="120"/>
              <w:bottom w:type="dxa" w:w="80"/>
              <w:right w:type="dxa" w:w="120"/>
            </w:tcMar>
            <w:vAlign w:val="top"/>
          </w:tcPr>
          <w:p>
            <w:pPr>
              <w:spacing w:after="40"/>
            </w:pPr>
            <w:r>
              <w:rPr>
                <w:b/>
                <w:bCs/>
                <w:color w:val="F9FAFB"/>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Business case must reflect cost of inaction, not just cost comparison</w:t>
            </w:r>
          </w:p>
        </w:tc>
        <w:tc>
          <w:tcPr>
            <w:tcW w:type="dxa" w:w="7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Unchanged — still applies; if anything the case is stronger given lower delivery risk for the same hard deadline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People plan needs explicit BAU coverage and change management, not just a skills bootcamp</w:t>
            </w:r>
          </w:p>
        </w:tc>
        <w:tc>
          <w:tcPr>
            <w:tcW w:type="dxa" w:w="7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Unchanged — still applies; note that the PostgreSQL training requirement is removed, simplifying the training plan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Testing strategy needs business outcome tests and negative tests, not just gate criteria</w:t>
            </w:r>
          </w:p>
        </w:tc>
        <w:tc>
          <w:tcPr>
            <w:tcW w:type="dxa" w:w="7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Largely unchanged — data reconciliation is simpler (no cross-engine normalisation needed) but business outcome testing and negative testing for the ETL layer remain exactly as designed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Undocumented business logic in SSIS/ADF is the most dangerous risk</w:t>
            </w:r>
          </w:p>
        </w:tc>
        <w:tc>
          <w:tcPr>
            <w:tcW w:type="dxa" w:w="7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Unchanged — this risk lives in the ETL layer (SSIS/ADF business logic), not the database engine, and is fully applicable regardless of target database choice. The custom tool's requirements-document and business-SME-sign-off mitigation remains essential.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Application layer needs a structured discovery and audit, not a checklist</w:t>
            </w:r>
          </w:p>
        </w:tc>
        <w:tc>
          <w:tcPr>
            <w:tcW w:type="dxa" w:w="7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Reduced scope but still required — connection string changes, connection pool re-tuning for RDS network characteristics, and feature-parity verification (§3 of this guide) still need a structured audit; SQLSTATE remediation specifically is no longer needed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Rollback data recovery design — writes after cutover not recoverable on rollback</w:t>
            </w:r>
          </w:p>
        </w:tc>
        <w:tc>
          <w:tcPr>
            <w:tcW w:type="dxa" w:w="7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Unchanged — this is a function of the cutover mechanism (DMS CDC), not the target engine; the same rollback design and business sign-off requirement applies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SFTP partner coordination on the critical path</w:t>
            </w:r>
          </w:p>
        </w:tc>
        <w:tc>
          <w:tcPr>
            <w:tcW w:type="dxa" w:w="7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Unchanged — entirely independent of the database engine decision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Custom tool Sprint 0 must complete before SSIS rewrite stream begins, with GHCP+SCT fallback prepared regardless</w:t>
            </w:r>
          </w:p>
        </w:tc>
        <w:tc>
          <w:tcPr>
            <w:tcW w:type="dxa" w:w="70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Unchanged — applies exactly as designed in Custom Tool Implementation v2.0</w:t>
            </w:r>
          </w:p>
        </w:tc>
      </w:tr>
    </w:tbl>
    <w:p>
      <w:pPr>
        <w:spacing w:after="110"/>
      </w:pPr>
      <w:r>
        <w:rPr>
          <w:sz w:val="21"/>
          <w:szCs w:val="21"/>
        </w:rPr>
        <w:t xml:space="preserve"/>
      </w:r>
    </w:p>
    <w:p>
      <w:pPr>
        <w:jc w:val="center"/>
      </w:pPr>
      <w:r>
        <w:rPr>
          <w:i/>
          <w:iCs/>
          <w:color w:val="777777"/>
          <w:sz w:val="18"/>
          <w:szCs w:val="18"/>
        </w:rPr>
        <w:t xml:space="preserve">Confidential  |  June 2026  |  RDS SQL Server Infrastructure Migration Guide  |  v1.0</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0"/>
      <w:szCs w:val="40"/>
    </w:rPr>
  </w:style>
  <w:style w:type="paragraph" w:styleId="Heading1">
    <w:name w:val="Heading 1"/>
    <w:basedOn w:val="Normal"/>
    <w:next w:val="Normal"/>
    <w:qFormat/>
    <w:pPr>
      <w:spacing w:after="160" w:before="320"/>
      <w:outlineLvl w:val="0"/>
    </w:pPr>
    <w:rPr>
      <w:rFonts w:ascii="Arial" w:cs="Arial" w:eastAsia="Arial" w:hAnsi="Arial"/>
      <w:b/>
      <w:bCs/>
      <w:color w:val="1F2937"/>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374151"/>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2026-06-16T18:37:53.577Z</dcterms:created>
  <dcterms:modified xsi:type="dcterms:W3CDTF">2026-06-16T18:37:53.577Z</dcterms:modified>
</cp:coreProperties>
</file>

<file path=docProps/custom.xml><?xml version="1.0" encoding="utf-8"?>
<Properties xmlns="http://schemas.openxmlformats.org/officeDocument/2006/custom-properties" xmlns:vt="http://schemas.openxmlformats.org/officeDocument/2006/docPropsVTypes"/>
</file>