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400"/>
              <w:left w:type="dxa" w:w="400"/>
              <w:bottom w:type="dxa" w:w="400"/>
              <w:right w:type="dxa" w:w="400"/>
            </w:tcMar>
          </w:tcPr>
          <w:p>
            <w:pPr>
              <w:spacing w:after="80" w:before="200"/>
              <w:jc w:val="center"/>
            </w:pPr>
            <w:r>
              <w:rPr>
                <w:rFonts w:ascii="Arial" w:cs="Arial" w:eastAsia="Arial" w:hAnsi="Arial"/>
                <w:b/>
                <w:bCs/>
                <w:color w:val="F4B942"/>
                <w:sz w:val="28"/>
                <w:szCs w:val="28"/>
              </w:rPr>
              <w:t xml:space="preserve">ENTERPRISE MIGRATION PLAN</w:t>
            </w:r>
          </w:p>
          <w:p>
            <w:pPr>
              <w:spacing w:after="60" w:before="0"/>
              <w:jc w:val="center"/>
            </w:pPr>
            <w:r>
              <w:rPr>
                <w:rFonts w:ascii="Arial" w:cs="Arial" w:eastAsia="Arial" w:hAnsi="Arial"/>
                <w:b/>
                <w:bCs/>
                <w:color w:val="FFFFFF"/>
                <w:sz w:val="36"/>
                <w:szCs w:val="36"/>
              </w:rPr>
              <w:t xml:space="preserve">On-Premises SQL Server → AWS RDS SQL Server</w:t>
            </w:r>
          </w:p>
          <w:p>
            <w:pPr>
              <w:spacing w:after="200" w:before="60"/>
              <w:jc w:val="center"/>
            </w:pPr>
            <w:r>
              <w:rPr>
                <w:rFonts w:ascii="Arial" w:cs="Arial" w:eastAsia="Arial" w:hAnsi="Arial"/>
                <w:color w:val="D6E4F0"/>
                <w:sz w:val="22"/>
                <w:szCs w:val="22"/>
              </w:rPr>
              <w:t xml:space="preserve">29-Application Programme  |  9-Month Rolling Delivery  |  Version 2.0</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18"/>
                <w:szCs w:val="18"/>
              </w:rPr>
              <w:t xml:space="preserve">Programme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SQL Server On-Premises → AWS RDS SQL Server</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18"/>
                <w:szCs w:val="18"/>
              </w:rPr>
              <w:t xml:space="preserve">Applications in Scope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29 Applications (Telecom Ordering &amp; Billing Domain)</w:t>
            </w:r>
          </w:p>
        </w:tc>
      </w:tr>
      <w:tr>
        <w:tc>
          <w:tcPr>
            <w:tcW w:type="dxa" w:w="30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18"/>
                <w:szCs w:val="18"/>
              </w:rPr>
              <w:t xml:space="preserve">Target Platform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Amazon RDS for SQL Server (Multi-AZ)</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18"/>
                <w:szCs w:val="18"/>
              </w:rPr>
              <w:t xml:space="preserve">Database Migration</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Native Backup/Restore Lift-and-Shift via S3 + DMS CDC (delta sync only)</w:t>
            </w:r>
          </w:p>
        </w:tc>
      </w:tr>
      <w:tr>
        <w:tc>
          <w:tcPr>
            <w:tcW w:type="dxa" w:w="30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18"/>
                <w:szCs w:val="18"/>
              </w:rPr>
              <w:t xml:space="preserve">ETL Strategy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SSIS → AWS Glue (Managed ETL, PySpark)</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18"/>
                <w:szCs w:val="18"/>
              </w:rPr>
              <w:t xml:space="preserve">Reporting Strategy</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SSRS → EC2 Lift-and-Shift / AWS QuickSight / Power BI (per-report triage)</w:t>
            </w:r>
          </w:p>
        </w:tc>
      </w:tr>
      <w:tr>
        <w:tc>
          <w:tcPr>
            <w:tcW w:type="dxa" w:w="30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18"/>
                <w:szCs w:val="18"/>
              </w:rPr>
              <w:t xml:space="preserve">Data Integration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Informatica PowerCenter — No Change (JDBC repointed to RDS post-cutover)</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18"/>
                <w:szCs w:val="18"/>
              </w:rPr>
              <w:t xml:space="preserve">AI Toolchain</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GitHub Copilot (GHCP) + Devin AI (org-wide approved)</w:t>
            </w:r>
          </w:p>
        </w:tc>
      </w:tr>
      <w:tr>
        <w:tc>
          <w:tcPr>
            <w:tcW w:type="dxa" w:w="30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18"/>
                <w:szCs w:val="18"/>
              </w:rPr>
              <w:t xml:space="preserve">Cutover Model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Rolling Wave — App-by-App, 4 Waves over 9 Months</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18"/>
                <w:szCs w:val="18"/>
              </w:rPr>
              <w:t xml:space="preserve">Effort Unit</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Hours (8 hrs/day basis)  |  3 Environments: Dev → Test → Production</w:t>
            </w:r>
          </w:p>
        </w:tc>
      </w:tr>
      <w:tr>
        <w:tc>
          <w:tcPr>
            <w:tcW w:type="dxa" w:w="30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18"/>
                <w:szCs w:val="18"/>
              </w:rPr>
              <w:t xml:space="preserve">Document Version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2.0 — ESA Reviewed</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18"/>
                <w:szCs w:val="18"/>
              </w:rPr>
              <w:t xml:space="preserve">Classification</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Confidential — Enterprise Architecture</w:t>
            </w:r>
          </w:p>
        </w:tc>
      </w:tr>
    </w:tbl>
    <w:p>
      <w:r>
        <w:br w:type="page"/>
      </w:r>
    </w:p>
    <w:p>
      <w:pPr>
        <w:pStyle w:val="Heading1"/>
        <w:spacing w:after="120" w:before="300"/>
      </w:pPr>
      <w:r>
        <w:rPr>
          <w:rFonts w:ascii="Arial" w:cs="Arial" w:eastAsia="Arial" w:hAnsi="Arial"/>
          <w:b/>
          <w:bCs/>
          <w:color w:val="1F3864"/>
          <w:sz w:val="32"/>
          <w:szCs w:val="32"/>
        </w:rPr>
        <w:t xml:space="preserve">Table of Contents</w:t>
      </w:r>
    </w:p>
    <w:p>
      <w:pPr>
        <w:pStyle w:val="TOC1"/>
        <w:ind w:left="0"/>
        <w:tabs>
          <w:tab w:val="right" w:leader="dot" w:pos="8640"/>
        </w:tabs>
        <w:spacing w:before="60" w:after="60"/>
      </w:pPr>
      <w:r>
        <w:rPr>
          <w:b/>
          <w:rFonts w:ascii="Arial" w:hAnsi="Arial" w:cs="Arial"/>
          <w:color w:val="1F3864"/>
          <w:sz w:val="18"/>
          <w:szCs w:val="18"/>
        </w:rPr>
        <w:t xml:space="preserve">1. Executive Summary</w:t>
      </w:r>
    </w:p>
    <w:p>
      <w:pPr>
        <w:pStyle w:val="TOC1"/>
        <w:ind w:left="0"/>
        <w:tabs>
          <w:tab w:val="right" w:leader="dot" w:pos="8640"/>
        </w:tabs>
        <w:spacing w:before="60" w:after="60"/>
      </w:pPr>
      <w:r>
        <w:rPr>
          <w:b/>
          <w:rFonts w:ascii="Arial" w:hAnsi="Arial" w:cs="Arial"/>
          <w:color w:val="1F3864"/>
          <w:sz w:val="18"/>
          <w:szCs w:val="18"/>
        </w:rPr>
        <w:t xml:space="preserve">2. Key Assumptions</w:t>
      </w:r>
    </w:p>
    <w:p>
      <w:pPr>
        <w:pStyle w:val="TOC1"/>
        <w:ind w:left="0"/>
        <w:tabs>
          <w:tab w:val="right" w:leader="dot" w:pos="8640"/>
        </w:tabs>
        <w:spacing w:before="60" w:after="60"/>
      </w:pPr>
      <w:r>
        <w:rPr>
          <w:b/>
          <w:rFonts w:ascii="Arial" w:hAnsi="Arial" w:cs="Arial"/>
          <w:color w:val="1F3864"/>
          <w:sz w:val="18"/>
          <w:szCs w:val="18"/>
        </w:rPr>
        <w:t xml:space="preserve">3. Dependencies</w:t>
      </w:r>
    </w:p>
    <w:p>
      <w:pPr>
        <w:pStyle w:val="TOC1"/>
        <w:ind w:left="0"/>
        <w:tabs>
          <w:tab w:val="right" w:leader="dot" w:pos="8640"/>
        </w:tabs>
        <w:spacing w:before="60" w:after="60"/>
      </w:pPr>
      <w:r>
        <w:rPr>
          <w:b/>
          <w:rFonts w:ascii="Arial" w:hAnsi="Arial" w:cs="Arial"/>
          <w:color w:val="1F3864"/>
          <w:sz w:val="18"/>
          <w:szCs w:val="18"/>
        </w:rPr>
        <w:t xml:space="preserve">4. Scope &amp; Application Portfolio</w:t>
      </w:r>
    </w:p>
    <w:p>
      <w:pPr>
        <w:pStyle w:val="TOC2"/>
        <w:ind w:left="360"/>
        <w:tabs>
          <w:tab w:val="right" w:leader="dot" w:pos="8640"/>
        </w:tabs>
        <w:spacing w:before="60" w:after="60"/>
      </w:pPr>
      <w:r>
        <w:rPr>
          <w:rFonts w:ascii="Arial" w:hAnsi="Arial" w:cs="Arial"/>
          <w:color w:val="2E75B6"/>
          <w:sz w:val="18"/>
          <w:szCs w:val="18"/>
        </w:rPr>
        <w:t xml:space="preserve">4.1 Application Tiers</w:t>
      </w:r>
    </w:p>
    <w:p>
      <w:pPr>
        <w:pStyle w:val="TOC2"/>
        <w:ind w:left="360"/>
        <w:tabs>
          <w:tab w:val="right" w:leader="dot" w:pos="8640"/>
        </w:tabs>
        <w:spacing w:before="60" w:after="60"/>
      </w:pPr>
      <w:r>
        <w:rPr>
          <w:rFonts w:ascii="Arial" w:hAnsi="Arial" w:cs="Arial"/>
          <w:color w:val="2E75B6"/>
          <w:sz w:val="18"/>
          <w:szCs w:val="18"/>
        </w:rPr>
        <w:t xml:space="preserve">4.2 Technology Stack</w:t>
      </w:r>
    </w:p>
    <w:p>
      <w:pPr>
        <w:pStyle w:val="TOC2"/>
        <w:ind w:left="360"/>
        <w:tabs>
          <w:tab w:val="right" w:leader="dot" w:pos="8640"/>
        </w:tabs>
        <w:spacing w:before="60" w:after="60"/>
      </w:pPr>
      <w:r>
        <w:rPr>
          <w:rFonts w:ascii="Arial" w:hAnsi="Arial" w:cs="Arial"/>
          <w:color w:val="2E75B6"/>
          <w:sz w:val="18"/>
          <w:szCs w:val="18"/>
        </w:rPr>
        <w:t xml:space="preserve">4.3 Out of Scope</w:t>
      </w:r>
    </w:p>
    <w:p>
      <w:pPr>
        <w:pStyle w:val="TOC1"/>
        <w:ind w:left="0"/>
        <w:tabs>
          <w:tab w:val="right" w:leader="dot" w:pos="8640"/>
        </w:tabs>
        <w:spacing w:before="60" w:after="60"/>
      </w:pPr>
      <w:r>
        <w:rPr>
          <w:b/>
          <w:rFonts w:ascii="Arial" w:hAnsi="Arial" w:cs="Arial"/>
          <w:color w:val="1F3864"/>
          <w:sz w:val="18"/>
          <w:szCs w:val="18"/>
        </w:rPr>
        <w:t xml:space="preserve">5. Migration Strategy</w:t>
      </w:r>
    </w:p>
    <w:p>
      <w:pPr>
        <w:pStyle w:val="TOC2"/>
        <w:ind w:left="360"/>
        <w:tabs>
          <w:tab w:val="right" w:leader="dot" w:pos="8640"/>
        </w:tabs>
        <w:spacing w:before="60" w:after="60"/>
      </w:pPr>
      <w:r>
        <w:rPr>
          <w:rFonts w:ascii="Arial" w:hAnsi="Arial" w:cs="Arial"/>
          <w:color w:val="2E75B6"/>
          <w:sz w:val="18"/>
          <w:szCs w:val="18"/>
        </w:rPr>
        <w:t xml:space="preserve">5.1 Database Migration: Backup/Restore Lift-and-Shift</w:t>
      </w:r>
    </w:p>
    <w:p>
      <w:pPr>
        <w:pStyle w:val="TOC2"/>
        <w:ind w:left="360"/>
        <w:tabs>
          <w:tab w:val="right" w:leader="dot" w:pos="8640"/>
        </w:tabs>
        <w:spacing w:before="60" w:after="60"/>
      </w:pPr>
      <w:r>
        <w:rPr>
          <w:rFonts w:ascii="Arial" w:hAnsi="Arial" w:cs="Arial"/>
          <w:color w:val="2E75B6"/>
          <w:sz w:val="18"/>
          <w:szCs w:val="18"/>
        </w:rPr>
        <w:t xml:space="preserve">5.2 RDS-Incompatible Features Requiring Pre-Migration Remediation</w:t>
      </w:r>
    </w:p>
    <w:p>
      <w:pPr>
        <w:pStyle w:val="TOC2"/>
        <w:ind w:left="360"/>
        <w:tabs>
          <w:tab w:val="right" w:leader="dot" w:pos="8640"/>
        </w:tabs>
        <w:spacing w:before="60" w:after="60"/>
      </w:pPr>
      <w:r>
        <w:rPr>
          <w:rFonts w:ascii="Arial" w:hAnsi="Arial" w:cs="Arial"/>
          <w:color w:val="2E75B6"/>
          <w:sz w:val="18"/>
          <w:szCs w:val="18"/>
        </w:rPr>
        <w:t xml:space="preserve">5.3 ETL Migration: SSIS → AWS Glue</w:t>
      </w:r>
    </w:p>
    <w:p>
      <w:pPr>
        <w:pStyle w:val="TOC2"/>
        <w:ind w:left="360"/>
        <w:tabs>
          <w:tab w:val="right" w:leader="dot" w:pos="8640"/>
        </w:tabs>
        <w:spacing w:before="60" w:after="60"/>
      </w:pPr>
      <w:r>
        <w:rPr>
          <w:rFonts w:ascii="Arial" w:hAnsi="Arial" w:cs="Arial"/>
          <w:color w:val="2E75B6"/>
          <w:sz w:val="18"/>
          <w:szCs w:val="18"/>
        </w:rPr>
        <w:t xml:space="preserve">5.4 Informatica — Out of Scope</w:t>
      </w:r>
    </w:p>
    <w:p>
      <w:pPr>
        <w:pStyle w:val="TOC2"/>
        <w:ind w:left="360"/>
        <w:tabs>
          <w:tab w:val="right" w:leader="dot" w:pos="8640"/>
        </w:tabs>
        <w:spacing w:before="60" w:after="60"/>
      </w:pPr>
      <w:r>
        <w:rPr>
          <w:rFonts w:ascii="Arial" w:hAnsi="Arial" w:cs="Arial"/>
          <w:color w:val="2E75B6"/>
          <w:sz w:val="18"/>
          <w:szCs w:val="18"/>
        </w:rPr>
        <w:t xml:space="preserve">5.5 SSRS Reporting Strategy</w:t>
      </w:r>
    </w:p>
    <w:p>
      <w:pPr>
        <w:pStyle w:val="TOC1"/>
        <w:ind w:left="0"/>
        <w:tabs>
          <w:tab w:val="right" w:leader="dot" w:pos="8640"/>
        </w:tabs>
        <w:spacing w:before="60" w:after="60"/>
      </w:pPr>
      <w:r>
        <w:rPr>
          <w:b/>
          <w:rFonts w:ascii="Arial" w:hAnsi="Arial" w:cs="Arial"/>
          <w:color w:val="1F3864"/>
          <w:sz w:val="18"/>
          <w:szCs w:val="18"/>
        </w:rPr>
        <w:t xml:space="preserve">5.6 Dev → Test → Production Environment Pipeline</w:t>
      </w:r>
    </w:p>
    <w:p>
      <w:pPr>
        <w:pStyle w:val="TOC1"/>
        <w:ind w:left="0"/>
        <w:tabs>
          <w:tab w:val="right" w:leader="dot" w:pos="8640"/>
        </w:tabs>
        <w:spacing w:before="60" w:after="60"/>
      </w:pPr>
      <w:r>
        <w:rPr>
          <w:b/>
          <w:rFonts w:ascii="Arial" w:hAnsi="Arial" w:cs="Arial"/>
          <w:color w:val="1F3864"/>
          <w:sz w:val="18"/>
          <w:szCs w:val="18"/>
        </w:rPr>
        <w:t xml:space="preserve">5.7 SQL Server Replication Handling</w:t>
      </w:r>
    </w:p>
    <w:p>
      <w:pPr>
        <w:pStyle w:val="TOC1"/>
        <w:ind w:left="0"/>
        <w:tabs>
          <w:tab w:val="right" w:leader="dot" w:pos="8640"/>
        </w:tabs>
        <w:spacing w:before="60" w:after="60"/>
      </w:pPr>
      <w:r>
        <w:rPr>
          <w:b/>
          <w:rFonts w:ascii="Arial" w:hAnsi="Arial" w:cs="Arial"/>
          <w:color w:val="1F3864"/>
          <w:sz w:val="18"/>
          <w:szCs w:val="18"/>
        </w:rPr>
        <w:t xml:space="preserve">6. Application-Level Effort Summary (Hours)</w:t>
      </w:r>
    </w:p>
    <w:p>
      <w:pPr>
        <w:pStyle w:val="TOC1"/>
        <w:ind w:left="0"/>
        <w:tabs>
          <w:tab w:val="right" w:leader="dot" w:pos="8640"/>
        </w:tabs>
        <w:spacing w:before="60" w:after="60"/>
      </w:pPr>
      <w:r>
        <w:rPr>
          <w:b/>
          <w:rFonts w:ascii="Arial" w:hAnsi="Arial" w:cs="Arial"/>
          <w:color w:val="1F3864"/>
          <w:sz w:val="18"/>
          <w:szCs w:val="18"/>
        </w:rPr>
        <w:t xml:space="preserve">7. AI Toolchain Usage</w:t>
      </w:r>
    </w:p>
    <w:p>
      <w:pPr>
        <w:pStyle w:val="TOC1"/>
        <w:ind w:left="0"/>
        <w:tabs>
          <w:tab w:val="right" w:leader="dot" w:pos="8640"/>
        </w:tabs>
        <w:spacing w:before="60" w:after="60"/>
      </w:pPr>
      <w:r>
        <w:rPr>
          <w:b/>
          <w:rFonts w:ascii="Arial" w:hAnsi="Arial" w:cs="Arial"/>
          <w:color w:val="1F3864"/>
          <w:sz w:val="18"/>
          <w:szCs w:val="18"/>
        </w:rPr>
        <w:t xml:space="preserve">8. Automation Tools</w:t>
      </w:r>
    </w:p>
    <w:p>
      <w:pPr>
        <w:pStyle w:val="TOC1"/>
        <w:ind w:left="0"/>
        <w:tabs>
          <w:tab w:val="right" w:leader="dot" w:pos="8640"/>
        </w:tabs>
        <w:spacing w:before="60" w:after="60"/>
      </w:pPr>
      <w:r>
        <w:rPr>
          <w:b/>
          <w:rFonts w:ascii="Arial" w:hAnsi="Arial" w:cs="Arial"/>
          <w:color w:val="1F3864"/>
          <w:sz w:val="18"/>
          <w:szCs w:val="18"/>
        </w:rPr>
        <w:t xml:space="preserve">9. Reusable Artefacts</w:t>
      </w:r>
    </w:p>
    <w:p>
      <w:pPr>
        <w:pStyle w:val="TOC1"/>
        <w:ind w:left="0"/>
        <w:tabs>
          <w:tab w:val="right" w:leader="dot" w:pos="8640"/>
        </w:tabs>
        <w:spacing w:before="60" w:after="60"/>
      </w:pPr>
      <w:r>
        <w:rPr>
          <w:b/>
          <w:rFonts w:ascii="Arial" w:hAnsi="Arial" w:cs="Arial"/>
          <w:color w:val="1F3864"/>
          <w:sz w:val="18"/>
          <w:szCs w:val="18"/>
        </w:rPr>
        <w:t xml:space="preserve">10. Migration Optimisation</w:t>
      </w:r>
    </w:p>
    <w:p>
      <w:pPr>
        <w:pStyle w:val="TOC2"/>
        <w:ind w:left="360"/>
        <w:tabs>
          <w:tab w:val="right" w:leader="dot" w:pos="8640"/>
        </w:tabs>
        <w:spacing w:before="60" w:after="60"/>
      </w:pPr>
      <w:r>
        <w:rPr>
          <w:rFonts w:ascii="Arial" w:hAnsi="Arial" w:cs="Arial"/>
          <w:color w:val="2E75B6"/>
          <w:sz w:val="18"/>
          <w:szCs w:val="18"/>
        </w:rPr>
        <w:t xml:space="preserve">10.1 Database Migration Optimisation</w:t>
      </w:r>
    </w:p>
    <w:p>
      <w:pPr>
        <w:pStyle w:val="TOC2"/>
        <w:ind w:left="360"/>
        <w:tabs>
          <w:tab w:val="right" w:leader="dot" w:pos="8640"/>
        </w:tabs>
        <w:spacing w:before="60" w:after="60"/>
      </w:pPr>
      <w:r>
        <w:rPr>
          <w:rFonts w:ascii="Arial" w:hAnsi="Arial" w:cs="Arial"/>
          <w:color w:val="2E75B6"/>
          <w:sz w:val="18"/>
          <w:szCs w:val="18"/>
        </w:rPr>
        <w:t xml:space="preserve">10.2 RDS Performance Optimisation</w:t>
      </w:r>
    </w:p>
    <w:p>
      <w:pPr>
        <w:pStyle w:val="TOC2"/>
        <w:ind w:left="360"/>
        <w:tabs>
          <w:tab w:val="right" w:leader="dot" w:pos="8640"/>
        </w:tabs>
        <w:spacing w:before="60" w:after="60"/>
      </w:pPr>
      <w:r>
        <w:rPr>
          <w:rFonts w:ascii="Arial" w:hAnsi="Arial" w:cs="Arial"/>
          <w:color w:val="2E75B6"/>
          <w:sz w:val="18"/>
          <w:szCs w:val="18"/>
        </w:rPr>
        <w:t xml:space="preserve">10.3 AWS Glue ETL Optimisation</w:t>
      </w:r>
    </w:p>
    <w:p>
      <w:pPr>
        <w:pStyle w:val="TOC2"/>
        <w:ind w:left="360"/>
        <w:tabs>
          <w:tab w:val="right" w:leader="dot" w:pos="8640"/>
        </w:tabs>
        <w:spacing w:before="60" w:after="60"/>
      </w:pPr>
      <w:r>
        <w:rPr>
          <w:rFonts w:ascii="Arial" w:hAnsi="Arial" w:cs="Arial"/>
          <w:color w:val="2E75B6"/>
          <w:sz w:val="18"/>
          <w:szCs w:val="18"/>
        </w:rPr>
        <w:t xml:space="preserve">10.4 Cost Optimisation</w:t>
      </w:r>
    </w:p>
    <w:p>
      <w:pPr>
        <w:pStyle w:val="TOC1"/>
        <w:ind w:left="0"/>
        <w:tabs>
          <w:tab w:val="right" w:leader="dot" w:pos="8640"/>
        </w:tabs>
        <w:spacing w:before="60" w:after="60"/>
      </w:pPr>
      <w:r>
        <w:rPr>
          <w:b/>
          <w:rFonts w:ascii="Arial" w:hAnsi="Arial" w:cs="Arial"/>
          <w:color w:val="1F3864"/>
          <w:sz w:val="18"/>
          <w:szCs w:val="18"/>
        </w:rPr>
        <w:t xml:space="preserve">11. 9-Month Phase &amp; Wave Plan</w:t>
      </w:r>
    </w:p>
    <w:p>
      <w:pPr>
        <w:pStyle w:val="TOC1"/>
        <w:ind w:left="0"/>
        <w:tabs>
          <w:tab w:val="right" w:leader="dot" w:pos="8640"/>
        </w:tabs>
        <w:spacing w:before="60" w:after="60"/>
      </w:pPr>
      <w:r>
        <w:rPr>
          <w:b/>
          <w:rFonts w:ascii="Arial" w:hAnsi="Arial" w:cs="Arial"/>
          <w:color w:val="1F3864"/>
          <w:sz w:val="18"/>
          <w:szCs w:val="18"/>
        </w:rPr>
        <w:t xml:space="preserve">12. Cutover &amp; Data Sync Strategy</w:t>
      </w:r>
    </w:p>
    <w:p>
      <w:pPr>
        <w:pStyle w:val="TOC2"/>
        <w:ind w:left="360"/>
        <w:tabs>
          <w:tab w:val="right" w:leader="dot" w:pos="8640"/>
        </w:tabs>
        <w:spacing w:before="60" w:after="60"/>
      </w:pPr>
      <w:r>
        <w:rPr>
          <w:rFonts w:ascii="Arial" w:hAnsi="Arial" w:cs="Arial"/>
          <w:color w:val="2E75B6"/>
          <w:sz w:val="18"/>
          <w:szCs w:val="18"/>
        </w:rPr>
        <w:t xml:space="preserve">12.1 Cutover Sequence</w:t>
      </w:r>
    </w:p>
    <w:p>
      <w:pPr>
        <w:pStyle w:val="TOC2"/>
        <w:ind w:left="360"/>
        <w:tabs>
          <w:tab w:val="right" w:leader="dot" w:pos="8640"/>
        </w:tabs>
        <w:spacing w:before="60" w:after="60"/>
      </w:pPr>
      <w:r>
        <w:rPr>
          <w:rFonts w:ascii="Arial" w:hAnsi="Arial" w:cs="Arial"/>
          <w:color w:val="2E75B6"/>
          <w:sz w:val="18"/>
          <w:szCs w:val="18"/>
        </w:rPr>
        <w:t xml:space="preserve">12.2 RTO / RPO Targets</w:t>
      </w:r>
    </w:p>
    <w:p>
      <w:pPr>
        <w:pStyle w:val="TOC1"/>
        <w:ind w:left="0"/>
        <w:tabs>
          <w:tab w:val="right" w:leader="dot" w:pos="8640"/>
        </w:tabs>
        <w:spacing w:before="60" w:after="60"/>
      </w:pPr>
      <w:r>
        <w:rPr>
          <w:b/>
          <w:rFonts w:ascii="Arial" w:hAnsi="Arial" w:cs="Arial"/>
          <w:color w:val="1F3864"/>
          <w:sz w:val="18"/>
          <w:szCs w:val="18"/>
        </w:rPr>
        <w:t xml:space="preserve">13. Risk Register</w:t>
      </w:r>
    </w:p>
    <w:p>
      <w:pPr>
        <w:pStyle w:val="TOC1"/>
        <w:ind w:left="0"/>
        <w:tabs>
          <w:tab w:val="right" w:leader="dot" w:pos="8640"/>
        </w:tabs>
        <w:spacing w:before="60" w:after="60"/>
      </w:pPr>
      <w:r>
        <w:rPr>
          <w:b/>
          <w:rFonts w:ascii="Arial" w:hAnsi="Arial" w:cs="Arial"/>
          <w:color w:val="1F3864"/>
          <w:sz w:val="18"/>
          <w:szCs w:val="18"/>
        </w:rPr>
        <w:t xml:space="preserve">14. RACI Matrix</w:t>
      </w:r>
    </w:p>
    <w:p>
      <w:pPr>
        <w:pStyle w:val="TOC1"/>
        <w:ind w:left="0"/>
        <w:tabs>
          <w:tab w:val="right" w:leader="dot" w:pos="8640"/>
        </w:tabs>
        <w:spacing w:before="60" w:after="60"/>
      </w:pPr>
      <w:r>
        <w:rPr>
          <w:b/>
          <w:rFonts w:ascii="Arial" w:hAnsi="Arial" w:cs="Arial"/>
          <w:color w:val="1F3864"/>
          <w:sz w:val="18"/>
          <w:szCs w:val="18"/>
        </w:rPr>
        <w:t xml:space="preserve">15. Testing Strategy</w:t>
      </w:r>
    </w:p>
    <w:p>
      <w:pPr>
        <w:pStyle w:val="TOC1"/>
        <w:ind w:left="0"/>
        <w:tabs>
          <w:tab w:val="right" w:leader="dot" w:pos="8640"/>
        </w:tabs>
        <w:spacing w:before="60" w:after="60"/>
      </w:pPr>
      <w:r>
        <w:rPr>
          <w:b/>
          <w:rFonts w:ascii="Arial" w:hAnsi="Arial" w:cs="Arial"/>
          <w:color w:val="1F3864"/>
          <w:sz w:val="18"/>
          <w:szCs w:val="18"/>
        </w:rPr>
        <w:t xml:space="preserve">16. AWS Target Architecture</w:t>
      </w:r>
    </w:p>
    <w:p>
      <w:pPr>
        <w:pStyle w:val="TOC2"/>
        <w:ind w:left="360"/>
        <w:tabs>
          <w:tab w:val="right" w:leader="dot" w:pos="8640"/>
        </w:tabs>
        <w:spacing w:before="60" w:after="60"/>
      </w:pPr>
      <w:r>
        <w:rPr>
          <w:rFonts w:ascii="Arial" w:hAnsi="Arial" w:cs="Arial"/>
          <w:color w:val="2E75B6"/>
          <w:sz w:val="18"/>
          <w:szCs w:val="18"/>
        </w:rPr>
        <w:t xml:space="preserve">16.1 RDS SQL Server Configuration</w:t>
      </w:r>
    </w:p>
    <w:p>
      <w:pPr>
        <w:pStyle w:val="TOC2"/>
        <w:ind w:left="360"/>
        <w:tabs>
          <w:tab w:val="right" w:leader="dot" w:pos="8640"/>
        </w:tabs>
        <w:spacing w:before="60" w:after="60"/>
      </w:pPr>
      <w:r>
        <w:rPr>
          <w:rFonts w:ascii="Arial" w:hAnsi="Arial" w:cs="Arial"/>
          <w:color w:val="2E75B6"/>
          <w:sz w:val="18"/>
          <w:szCs w:val="18"/>
        </w:rPr>
        <w:t xml:space="preserve">16.2 Networking &amp; Security</w:t>
      </w:r>
    </w:p>
    <w:p>
      <w:pPr>
        <w:pStyle w:val="TOC1"/>
        <w:ind w:left="0"/>
        <w:tabs>
          <w:tab w:val="right" w:leader="dot" w:pos="8640"/>
        </w:tabs>
        <w:spacing w:before="60" w:after="60"/>
      </w:pPr>
      <w:r>
        <w:rPr>
          <w:b/>
          <w:rFonts w:ascii="Arial" w:hAnsi="Arial" w:cs="Arial"/>
          <w:color w:val="1F3864"/>
          <w:sz w:val="18"/>
          <w:szCs w:val="18"/>
        </w:rPr>
        <w:t xml:space="preserve">17. Success Criteria &amp; Exit Conditions</w:t>
      </w:r>
    </w:p>
    <w:p>
      <w:r>
        <w:br w:type="page"/>
      </w:r>
    </w:p>
    <w:p>
      <w:pPr>
        <w:pStyle w:val="Heading1"/>
        <w:spacing w:after="120" w:before="300"/>
      </w:pPr>
      <w:r>
        <w:rPr>
          <w:rFonts w:ascii="Arial" w:cs="Arial" w:eastAsia="Arial" w:hAnsi="Arial"/>
          <w:b/>
          <w:bCs/>
          <w:color w:val="1F3864"/>
          <w:sz w:val="32"/>
          <w:szCs w:val="32"/>
        </w:rPr>
        <w:t xml:space="preserve">1. Executive Summary</w:t>
      </w:r>
    </w:p>
    <w:p>
      <w:pPr>
        <w:spacing w:after="80" w:before="60"/>
      </w:pPr>
      <w:r>
        <w:rPr>
          <w:rFonts w:ascii="Arial" w:cs="Arial" w:eastAsia="Arial" w:hAnsi="Arial"/>
          <w:sz w:val="20"/>
          <w:szCs w:val="20"/>
        </w:rPr>
        <w:t xml:space="preserve">This document defines the end-to-end enterprise migration plan for relocating 29 on-premises SQL Server application databases to Amazon RDS for SQL Server (Multi-AZ) on AWS. The programme spans a 9-month rolling delivery across four waves, with a foundation phase and stabilisation closure. All effort is expressed in hours (8-hour day basis) to enable accurate resource planning and SME-level estimation.</w:t>
      </w:r>
    </w:p>
    <w:p>
      <w:pPr>
        <w:spacing w:after="60" w:before="60"/>
      </w:pPr>
      <w:r>
        <w:t xml:space="preserve"/>
      </w:r>
    </w:p>
    <w:p>
      <w:pPr>
        <w:spacing w:after="80" w:before="60"/>
      </w:pPr>
      <w:r>
        <w:rPr>
          <w:rFonts w:ascii="Arial" w:cs="Arial" w:eastAsia="Arial" w:hAnsi="Arial"/>
          <w:sz w:val="20"/>
          <w:szCs w:val="20"/>
        </w:rPr>
        <w:t xml:space="preserve">The database migration uses native SQL Server Backup/Restore to Amazon S3, restored into RDS across three environments: Development, Test, and Production. Each environment follows an independent restore-and-validate cycle before promotion. AWS DMS CDC provides delta sync during UAT in Test and Production. SSIS ETL pipelines are re-platformed to AWS Glue and deployed through a CDK pipeline across all three environments. Informatica PowerCenter remains on-premises; JDBC connection strings are updated per Informatica job (not just per application) for each environment. GitHub Copilot and Devin AI accelerate code conversion, job generation, and test scaffolding across all roles.</w:t>
      </w:r>
    </w:p>
    <w:p>
      <w:pPr>
        <w:spacing w:after="60" w:before="60"/>
      </w:pPr>
      <w:r>
        <w:t xml:space="preserve"/>
      </w:r>
    </w:p>
    <w:p>
      <w:pPr>
        <w:pBdr>
          <w:left w:val="thick" w:color="2E75B6" w:sz="12"/>
        </w:pBdr>
        <w:shd w:fill="D6E4F0" w:val="clear"/>
        <w:spacing w:after="120" w:before="120"/>
        <w:ind w:left="360"/>
      </w:pPr>
      <w:r>
        <w:rPr>
          <w:rFonts w:ascii="Arial" w:cs="Arial" w:eastAsia="Arial" w:hAnsi="Arial"/>
          <w:sz w:val="20"/>
          <w:szCs w:val="20"/>
        </w:rPr>
        <w:t xml:space="preserve">Strategic Objective: Migrate 29 applications to AWS RDS SQL Server with zero data loss, minimal business disruption, RTO ≤4 hours per application, and RPO ≤15 minutes. The rolling wave model ensures continuous business operation throughout the programme.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100"/>
              <w:left w:type="dxa" w:w="200"/>
              <w:bottom w:type="dxa" w:w="100"/>
              <w:right w:type="dxa" w:w="200"/>
            </w:tcMar>
          </w:tcPr>
          <w:p>
            <w:r>
              <w:rPr>
                <w:rFonts w:ascii="Arial" w:cs="Arial" w:eastAsia="Arial" w:hAnsi="Arial"/>
                <w:b/>
                <w:bCs/>
                <w:color w:val="FFFFFF"/>
                <w:sz w:val="24"/>
                <w:szCs w:val="24"/>
              </w:rPr>
              <w:t xml:space="preserve">KEY PROGRAMME METRICS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Apps</w:t>
            </w:r>
          </w:p>
        </w:tc>
        <w:tc>
          <w:tcPr>
            <w:tcW w:type="dxa" w:w="15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Data Volume</w:t>
            </w:r>
          </w:p>
        </w:tc>
        <w:tc>
          <w:tcPr>
            <w:tcW w:type="dxa" w:w="15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Waves</w:t>
            </w:r>
          </w:p>
        </w:tc>
        <w:tc>
          <w:tcPr>
            <w:tcW w:type="dxa" w:w="15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Duration</w:t>
            </w:r>
          </w:p>
        </w:tc>
        <w:tc>
          <w:tcPr>
            <w:tcW w:type="dxa" w:w="15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Effort Unit</w:t>
            </w:r>
          </w:p>
        </w:tc>
        <w:tc>
          <w:tcPr>
            <w:tcW w:type="dxa" w:w="15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Target RTO</w:t>
            </w:r>
          </w:p>
        </w:tc>
      </w:tr>
      <w:tr>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29</w:t>
            </w:r>
          </w:p>
        </w:tc>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&gt;20 TB</w:t>
            </w:r>
          </w:p>
        </w:tc>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4 Waves</w:t>
            </w:r>
          </w:p>
        </w:tc>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9 Months</w:t>
            </w:r>
          </w:p>
        </w:tc>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Hours (8h/day)</w:t>
            </w:r>
          </w:p>
        </w:tc>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4 Hours</w:t>
            </w:r>
          </w:p>
        </w:tc>
      </w:tr>
    </w:tbl>
    <w:p>
      <w:pPr>
        <w:spacing w:after="60" w:before="60"/>
      </w:pPr>
      <w:r>
        <w:t xml:space="preserve"/>
      </w:r>
    </w:p>
    <w:p>
      <w:r>
        <w:br w:type="page"/>
      </w:r>
    </w:p>
    <w:p>
      <w:pPr>
        <w:pStyle w:val="Heading1"/>
        <w:spacing w:after="120" w:before="300"/>
      </w:pPr>
      <w:r>
        <w:rPr>
          <w:rFonts w:ascii="Arial" w:cs="Arial" w:eastAsia="Arial" w:hAnsi="Arial"/>
          <w:b/>
          <w:bCs/>
          <w:color w:val="1F3864"/>
          <w:sz w:val="32"/>
          <w:szCs w:val="32"/>
        </w:rPr>
        <w:t xml:space="preserve">2. Key Assumptions</w:t>
      </w:r>
    </w:p>
    <w:p>
      <w:pPr>
        <w:spacing w:after="80" w:before="60"/>
      </w:pPr>
      <w:r>
        <w:rPr>
          <w:rFonts w:ascii="Arial" w:cs="Arial" w:eastAsia="Arial" w:hAnsi="Arial"/>
          <w:sz w:val="20"/>
          <w:szCs w:val="20"/>
        </w:rPr>
        <w:t xml:space="preserve">The following assumptions underpin all effort estimates, timelines, and architectural decisions. Material changes to any of these assumptions must be assessed for impact on scope, effort, and risk.</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000"/>
        <w:gridCol w:w="3500"/>
        <w:gridCol w:w="2360"/>
      </w:tblGrid>
      <w:tr>
        <w:tc>
          <w:tcPr>
            <w:tcW w:type="dxa" w:w="5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t>
            </w:r>
          </w:p>
        </w:tc>
        <w:tc>
          <w:tcPr>
            <w:tcW w:type="dxa" w:w="3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Assumption</w:t>
            </w:r>
          </w:p>
        </w:tc>
        <w:tc>
          <w:tcPr>
            <w:tcW w:type="dxa" w:w="35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Detail</w:t>
            </w:r>
          </w:p>
        </w:tc>
        <w:tc>
          <w:tcPr>
            <w:tcW w:type="dxa" w:w="23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Impact if Wrong</w:t>
            </w:r>
          </w:p>
        </w:tc>
      </w:tr>
      <w:tr>
        <w:tc>
          <w:tcPr>
            <w:tcW w:type="dxa" w:w="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1</w:t>
            </w:r>
          </w:p>
        </w:tc>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SQL Server version on-premises is 2016 or 2019</w:t>
            </w:r>
          </w:p>
        </w:tc>
        <w:tc>
          <w:tcPr>
            <w:tcW w:type="dxa" w:w="3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RDS supports SQL Server 2016/2019/2022. Older versions (2012/2014) require upgrade before backup-restore to RDS</w:t>
            </w:r>
          </w:p>
        </w:tc>
        <w:tc>
          <w:tcPr>
            <w:tcW w:type="dxa" w:w="2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color w:val="B8540A"/>
                <w:sz w:val="18"/>
                <w:szCs w:val="18"/>
              </w:rPr>
              <w:t xml:space="preserve">Version upgrade adds 2–4 weeks per application; resizes wave plan</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All databases use simple or full recovery model</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CDC (DMS) requires full recovery model. Simple recovery apps need model change before CDC activation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B8540A"/>
                <w:sz w:val="18"/>
                <w:szCs w:val="18"/>
              </w:rPr>
              <w:t xml:space="preserve">Recovery model change requires DBA action and possible application outage window</w:t>
            </w:r>
          </w:p>
        </w:tc>
      </w:tr>
      <w:tr>
        <w:tc>
          <w:tcPr>
            <w:tcW w:type="dxa" w:w="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3</w:t>
            </w:r>
          </w:p>
        </w:tc>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Network bandwidth: 10 Gbps Direct Connect available</w:t>
            </w:r>
          </w:p>
        </w:tc>
        <w:tc>
          <w:tcPr>
            <w:tcW w:type="dxa" w:w="3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Required for large backup transfers to S3 (&gt;500 GB databases). Lower bandwidth extends restore window significantly</w:t>
            </w:r>
          </w:p>
        </w:tc>
        <w:tc>
          <w:tcPr>
            <w:tcW w:type="dxa" w:w="2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color w:val="B8540A"/>
                <w:sz w:val="18"/>
                <w:szCs w:val="18"/>
              </w:rPr>
              <w:t xml:space="preserve">&lt;1 Gbps bandwidth: large DB restore windows may exceed cutover window; wave plan revision needed</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AWS Landing Zone is available or can be provisioned in Month 1</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VPC, subnets, security groups, Direct Connect must exist before any migration activity</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B8540A"/>
                <w:sz w:val="18"/>
                <w:szCs w:val="18"/>
              </w:rPr>
              <w:t xml:space="preserve">Landing Zone delay cascades to all downstream waves; critical path item</w:t>
            </w:r>
          </w:p>
        </w:tc>
      </w:tr>
      <w:tr>
        <w:tc>
          <w:tcPr>
            <w:tcW w:type="dxa" w:w="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5</w:t>
            </w:r>
          </w:p>
        </w:tc>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Application teams available for UAT (2 weeks per wave)</w:t>
            </w:r>
          </w:p>
        </w:tc>
        <w:tc>
          <w:tcPr>
            <w:tcW w:type="dxa" w:w="3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Each wave requires application SME participation for UAT sign-off. UAT is on the critical path</w:t>
            </w:r>
          </w:p>
        </w:tc>
        <w:tc>
          <w:tcPr>
            <w:tcW w:type="dxa" w:w="2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color w:val="B8540A"/>
                <w:sz w:val="18"/>
                <w:szCs w:val="18"/>
              </w:rPr>
              <w:t xml:space="preserve">UAT delays directly extend wave timelines and risk resource contention across waves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6</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SQL Server licenses: License Included (RDS) or BYOL</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BYOL requires SA coverage verification. License Included eliminates SA dependency but costs more per hour</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B8540A"/>
                <w:sz w:val="18"/>
                <w:szCs w:val="18"/>
              </w:rPr>
              <w:t xml:space="preserve">BYOL SA gaps require purchase before RDS provisioning; 4–6 week procurement lead time</w:t>
            </w:r>
          </w:p>
        </w:tc>
      </w:tr>
      <w:tr>
        <w:tc>
          <w:tcPr>
            <w:tcW w:type="dxa" w:w="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7</w:t>
            </w:r>
          </w:p>
        </w:tc>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CLR objects are catalogued and source code is available</w:t>
            </w:r>
          </w:p>
        </w:tc>
        <w:tc>
          <w:tcPr>
            <w:tcW w:type="dxa" w:w="3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CLR rewrite to stored procedures or Lambda requires original C#/.NET source code</w:t>
            </w:r>
          </w:p>
        </w:tc>
        <w:tc>
          <w:tcPr>
            <w:tcW w:type="dxa" w:w="2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color w:val="B8540A"/>
                <w:sz w:val="18"/>
                <w:szCs w:val="18"/>
              </w:rPr>
              <w:t xml:space="preserve">Missing CLR source code requires reverse-engineering; adds 3–5 days per CLR object</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8</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Linked servers are used only for cross-database queries (not distributed transactions)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Distributed transactions (MSDTC) across linked servers are not supported on RDS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B8540A"/>
                <w:sz w:val="18"/>
                <w:szCs w:val="18"/>
              </w:rPr>
              <w:t xml:space="preserve">MSDTC dependency requires application refactoring — not a config change; major scope change</w:t>
            </w:r>
          </w:p>
        </w:tc>
      </w:tr>
      <w:tr>
        <w:tc>
          <w:tcPr>
            <w:tcW w:type="dxa" w:w="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9</w:t>
            </w:r>
          </w:p>
        </w:tc>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SSIS packages are version-compatible with AWS Glue PySpark equivalents</w:t>
            </w:r>
          </w:p>
        </w:tc>
        <w:tc>
          <w:tcPr>
            <w:tcW w:type="dxa" w:w="3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Packages using unsupported SSIS components (e.g. SharePoint adapters) require custom Glue connectors</w:t>
            </w:r>
          </w:p>
        </w:tc>
        <w:tc>
          <w:tcPr>
            <w:tcW w:type="dxa" w:w="2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color w:val="B8540A"/>
                <w:sz w:val="18"/>
                <w:szCs w:val="18"/>
              </w:rPr>
              <w:t xml:space="preserve">Custom connectors add 3–5 days per unique unsupported component</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10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Informatica PowerCenter can connect to RDS via JDBC over Direct Connect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Firewall rules and security groups permit Informatica server IP range on port 1433 to RDS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B8540A"/>
                <w:sz w:val="18"/>
                <w:szCs w:val="18"/>
              </w:rPr>
              <w:t xml:space="preserve">Firewall/network restrictions require network team engagement; 2–4 week lead time</w:t>
            </w:r>
          </w:p>
        </w:tc>
      </w:tr>
    </w:tbl>
    <w:p>
      <w:pPr>
        <w:spacing w:after="60" w:before="60"/>
      </w:pPr>
      <w:r>
        <w:t xml:space="preserve"/>
      </w:r>
    </w:p>
    <w:p>
      <w:r>
        <w:br w:type="page"/>
      </w:r>
    </w:p>
    <w:p>
      <w:pPr>
        <w:pStyle w:val="Heading1"/>
        <w:spacing w:after="120" w:before="300"/>
      </w:pPr>
      <w:r>
        <w:rPr>
          <w:rFonts w:ascii="Arial" w:cs="Arial" w:eastAsia="Arial" w:hAnsi="Arial"/>
          <w:b/>
          <w:bCs/>
          <w:color w:val="1F3864"/>
          <w:sz w:val="32"/>
          <w:szCs w:val="32"/>
        </w:rPr>
        <w:t xml:space="preserve">3. Dependencies</w:t>
      </w:r>
    </w:p>
    <w:p>
      <w:pPr>
        <w:spacing w:after="80" w:before="60"/>
      </w:pPr>
      <w:r>
        <w:rPr>
          <w:rFonts w:ascii="Arial" w:cs="Arial" w:eastAsia="Arial" w:hAnsi="Arial"/>
          <w:sz w:val="20"/>
          <w:szCs w:val="20"/>
        </w:rPr>
        <w:t xml:space="preserve">The following external dependencies must be resolved before or during the specified phase. Late resolution of critical-path dependencies will directly impact wave delivery timelines.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1800"/>
        <w:gridCol w:w="2760"/>
      </w:tblGrid>
      <w:tr>
        <w:tc>
          <w:tcPr>
            <w:tcW w:type="dxa" w:w="3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Dependency</w:t>
            </w:r>
          </w:p>
        </w:tc>
        <w:tc>
          <w:tcPr>
            <w:tcW w:type="dxa" w:w="18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Owner</w:t>
            </w:r>
          </w:p>
        </w:tc>
        <w:tc>
          <w:tcPr>
            <w:tcW w:type="dxa" w:w="18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Required By</w:t>
            </w:r>
          </w:p>
        </w:tc>
        <w:tc>
          <w:tcPr>
            <w:tcW w:type="dxa" w:w="27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Risk if Late</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AWS Direct Connect / Site-to-Site VPN provisioned</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Network / AWS Account Team</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2E75B6"/>
                <w:sz w:val="18"/>
                <w:szCs w:val="18"/>
              </w:rPr>
              <w:t xml:space="preserve">Phase 0 — Month 1</w:t>
            </w:r>
          </w:p>
        </w:tc>
        <w:tc>
          <w:tcPr>
            <w:tcW w:type="dxa" w:w="27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color w:val="B8540A"/>
                <w:sz w:val="18"/>
                <w:szCs w:val="18"/>
              </w:rPr>
              <w:t xml:space="preserve">Backup transfers to S3 over internet; restore windows 10x longer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AWS Landing Zone, VPC, subnets, security groups configured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Cloud Infrastructure Team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5B6"/>
                <w:sz w:val="18"/>
                <w:szCs w:val="18"/>
              </w:rPr>
              <w:t xml:space="preserve">Phase 0 — Month 1</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B8540A"/>
                <w:sz w:val="18"/>
                <w:szCs w:val="18"/>
              </w:rPr>
              <w:t xml:space="preserve">No environment to migrate into; entire programme blocked</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RDS SQL Server instances provisioned and parameter groups configured</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DBA + Cloud Infra</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2E75B6"/>
                <w:sz w:val="18"/>
                <w:szCs w:val="18"/>
              </w:rPr>
              <w:t xml:space="preserve">Phase 0 end — Month 2</w:t>
            </w:r>
          </w:p>
        </w:tc>
        <w:tc>
          <w:tcPr>
            <w:tcW w:type="dxa" w:w="27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color w:val="B8540A"/>
                <w:sz w:val="18"/>
                <w:szCs w:val="18"/>
              </w:rPr>
              <w:t xml:space="preserve">Wave 1 cannot start; critical path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SQL Server Backup to URL: IAM role + S3 bucket policy configured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DBA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5B6"/>
                <w:sz w:val="18"/>
                <w:szCs w:val="18"/>
              </w:rPr>
              <w:t xml:space="preserve">Phase 0 — Month 1</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B8540A"/>
                <w:sz w:val="18"/>
                <w:szCs w:val="18"/>
              </w:rPr>
              <w:t xml:space="preserve">Cannot execute backup/restore migration method</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Application SME availability confirmed for each wave UAT</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Application Owners / PM</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2E75B6"/>
                <w:sz w:val="18"/>
                <w:szCs w:val="18"/>
              </w:rPr>
              <w:t xml:space="preserve">2 weeks before each wave</w:t>
            </w:r>
          </w:p>
        </w:tc>
        <w:tc>
          <w:tcPr>
            <w:tcW w:type="dxa" w:w="27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color w:val="B8540A"/>
                <w:sz w:val="18"/>
                <w:szCs w:val="18"/>
              </w:rPr>
              <w:t xml:space="preserve">UAT cannot start; wave cutover blocked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SSRS access log audit completed (report triage)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BI Developer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5B6"/>
                <w:sz w:val="18"/>
                <w:szCs w:val="18"/>
              </w:rPr>
              <w:t xml:space="preserve">Phase 0 — Month 2</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B8540A"/>
                <w:sz w:val="18"/>
                <w:szCs w:val="18"/>
              </w:rPr>
              <w:t xml:space="preserve">Cannot assign EC2/QS/PBI strategy; BI migration cannot be planned</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Informatica JDBC firewall rules approved and implemented</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Network Security + Informatica Team</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2E75B6"/>
                <w:sz w:val="18"/>
                <w:szCs w:val="18"/>
              </w:rPr>
              <w:t xml:space="preserve">Before each wave cutover</w:t>
            </w:r>
          </w:p>
        </w:tc>
        <w:tc>
          <w:tcPr>
            <w:tcW w:type="dxa" w:w="27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color w:val="B8540A"/>
                <w:sz w:val="18"/>
                <w:szCs w:val="18"/>
              </w:rPr>
              <w:t xml:space="preserve">Informatica workflows fail post-cutover; business impact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AWS Glue CDK pipeline set up (CodePipeline)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DevOps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5B6"/>
                <w:sz w:val="18"/>
                <w:szCs w:val="18"/>
              </w:rPr>
              <w:t xml:space="preserve">Phase 0 — Month 2</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B8540A"/>
                <w:sz w:val="18"/>
                <w:szCs w:val="18"/>
              </w:rPr>
              <w:t xml:space="preserve">Glue jobs cannot be deployed to dev/test/prod; ETL migration blocked</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AWS Secrets Manager populated with all RDS connection strings</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DBA + Application Teams</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2E75B6"/>
                <w:sz w:val="18"/>
                <w:szCs w:val="18"/>
              </w:rPr>
              <w:t xml:space="preserve">Before each wave cutover</w:t>
            </w:r>
          </w:p>
        </w:tc>
        <w:tc>
          <w:tcPr>
            <w:tcW w:type="dxa" w:w="27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color w:val="B8540A"/>
                <w:sz w:val="18"/>
                <w:szCs w:val="18"/>
              </w:rPr>
              <w:t xml:space="preserve">Applications cannot connect to RDS post-cutover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CLR object source code retrieved from version control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DBA + Application Dev</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5B6"/>
                <w:sz w:val="18"/>
                <w:szCs w:val="18"/>
              </w:rPr>
              <w:t xml:space="preserve">Phase 0 — Month 2</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B8540A"/>
                <w:sz w:val="18"/>
                <w:szCs w:val="18"/>
              </w:rPr>
              <w:t xml:space="preserve">CLR rewrite cannot start; blocks Wave 3/4 complex applications</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SQL Server Agent job inventory completed (all 29 apps)</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DBA</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2E75B6"/>
                <w:sz w:val="18"/>
                <w:szCs w:val="18"/>
              </w:rPr>
              <w:t xml:space="preserve">Phase 0 — Month 1</w:t>
            </w:r>
          </w:p>
        </w:tc>
        <w:tc>
          <w:tcPr>
            <w:tcW w:type="dxa" w:w="27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color w:val="B8540A"/>
                <w:sz w:val="18"/>
                <w:szCs w:val="18"/>
              </w:rPr>
              <w:t xml:space="preserve">EventBridge Scheduler migration cannot be planned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Application rollback runbooks approved by application owners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Application Owner + PM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5B6"/>
                <w:sz w:val="18"/>
                <w:szCs w:val="18"/>
              </w:rPr>
              <w:t xml:space="preserve">1 week before each cutover</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B8540A"/>
                <w:sz w:val="18"/>
                <w:szCs w:val="18"/>
              </w:rPr>
              <w:t xml:space="preserve">No safe rollback procedure; cutover risk is unmitigated</w:t>
            </w:r>
          </w:p>
        </w:tc>
      </w:tr>
    </w:tbl>
    <w:p>
      <w:pPr>
        <w:spacing w:after="60" w:before="60"/>
      </w:pPr>
      <w:r>
        <w:t xml:space="preserve"/>
      </w:r>
    </w:p>
    <w:p>
      <w:r>
        <w:br w:type="page"/>
      </w:r>
    </w:p>
    <w:p>
      <w:pPr>
        <w:pStyle w:val="Heading1"/>
        <w:spacing w:after="120" w:before="300"/>
      </w:pPr>
      <w:r>
        <w:rPr>
          <w:rFonts w:ascii="Arial" w:cs="Arial" w:eastAsia="Arial" w:hAnsi="Arial"/>
          <w:b/>
          <w:bCs/>
          <w:color w:val="1F3864"/>
          <w:sz w:val="32"/>
          <w:szCs w:val="32"/>
        </w:rPr>
        <w:t xml:space="preserve">4. Scope &amp; Application Portfolio</w:t>
      </w:r>
    </w:p>
    <w:p>
      <w:pPr>
        <w:pStyle w:val="Heading2"/>
        <w:spacing w:after="100" w:before="240"/>
      </w:pPr>
      <w:r>
        <w:rPr>
          <w:rFonts w:ascii="Arial" w:cs="Arial" w:eastAsia="Arial" w:hAnsi="Arial"/>
          <w:b/>
          <w:bCs/>
          <w:color w:val="2E75B6"/>
          <w:sz w:val="26"/>
          <w:szCs w:val="26"/>
        </w:rPr>
        <w:t xml:space="preserve">4.1 Application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1500"/>
        <w:gridCol w:w="1700"/>
        <w:gridCol w:w="1200"/>
        <w:gridCol w:w="1660"/>
      </w:tblGrid>
      <w:tr>
        <w:tc>
          <w:tcPr>
            <w:tcW w:type="dxa" w:w="15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Tier</w:t>
            </w:r>
          </w:p>
        </w:tc>
        <w:tc>
          <w:tcPr>
            <w:tcW w:type="dxa" w:w="18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Profile</w:t>
            </w:r>
          </w:p>
        </w:tc>
        <w:tc>
          <w:tcPr>
            <w:tcW w:type="dxa" w:w="15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DB Size</w:t>
            </w:r>
          </w:p>
        </w:tc>
        <w:tc>
          <w:tcPr>
            <w:tcW w:type="dxa" w:w="17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Key Characteristics</w:t>
            </w:r>
          </w:p>
        </w:tc>
        <w:tc>
          <w:tcPr>
            <w:tcW w:type="dxa" w:w="12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Apps</w:t>
            </w:r>
          </w:p>
        </w:tc>
        <w:tc>
          <w:tcPr>
            <w:tcW w:type="dxa" w:w="16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Waves</w:t>
            </w:r>
          </w:p>
        </w:tc>
      </w:tr>
      <w:tr>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T1 — Simple</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Small DB, low objects, minimal ETL</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&lt; 500 GB</w:t>
            </w:r>
          </w:p>
        </w:tc>
        <w:tc>
          <w:tcPr>
            <w:tcW w:type="dxa" w:w="17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Few SPs, no CLR, low SSIS/SSRS</w:t>
            </w:r>
          </w:p>
        </w:tc>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2E75B6"/>
                <w:sz w:val="18"/>
                <w:szCs w:val="18"/>
              </w:rPr>
              <w:t xml:space="preserve">~9</w:t>
            </w:r>
          </w:p>
        </w:tc>
        <w:tc>
          <w:tcPr>
            <w:tcW w:type="dxa" w:w="16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color w:val="1F3864"/>
                <w:sz w:val="18"/>
                <w:szCs w:val="18"/>
              </w:rPr>
              <w:t xml:space="preserve">Wave 1</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T2 — Moderate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Mid DB, moderate procs, SSIS/SSRS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500 GB–1 TB</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SQL Agent jobs, linked servers, SSIS packages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5B6"/>
                <w:sz w:val="18"/>
                <w:szCs w:val="18"/>
              </w:rPr>
              <w:t xml:space="preserve">~13</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F3864"/>
                <w:sz w:val="18"/>
                <w:szCs w:val="18"/>
              </w:rPr>
              <w:t xml:space="preserve">Wave 2–3</w:t>
            </w:r>
          </w:p>
        </w:tc>
      </w:tr>
      <w:tr>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T3 — Complex</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Large DB, heavy T-SQL, CLR, high SSIS</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1–2 TB+</w:t>
            </w:r>
          </w:p>
        </w:tc>
        <w:tc>
          <w:tcPr>
            <w:tcW w:type="dxa" w:w="17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CLR objects, cross-DB queries, large backup sizes</w:t>
            </w:r>
          </w:p>
        </w:tc>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2E75B6"/>
                <w:sz w:val="18"/>
                <w:szCs w:val="18"/>
              </w:rPr>
              <w:t xml:space="preserve">~7</w:t>
            </w:r>
          </w:p>
        </w:tc>
        <w:tc>
          <w:tcPr>
            <w:tcW w:type="dxa" w:w="16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color w:val="1F3864"/>
                <w:sz w:val="18"/>
                <w:szCs w:val="18"/>
              </w:rPr>
              <w:t xml:space="preserve">Wave 3–4</w:t>
            </w:r>
          </w:p>
        </w:tc>
      </w:tr>
    </w:tbl>
    <w:p>
      <w:pPr>
        <w:spacing w:after="60" w:before="60"/>
      </w:pPr>
      <w:r>
        <w:t xml:space="preserve"/>
      </w:r>
    </w:p>
    <w:p>
      <w:pPr>
        <w:pStyle w:val="Heading2"/>
        <w:spacing w:after="100" w:before="240"/>
      </w:pPr>
      <w:r>
        <w:rPr>
          <w:rFonts w:ascii="Arial" w:cs="Arial" w:eastAsia="Arial" w:hAnsi="Arial"/>
          <w:b/>
          <w:bCs/>
          <w:color w:val="2E75B6"/>
          <w:sz w:val="26"/>
          <w:szCs w:val="26"/>
        </w:rPr>
        <w:t xml:space="preserve">4.2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Layer</w:t>
            </w:r>
          </w:p>
        </w:tc>
        <w:tc>
          <w:tcPr>
            <w:tcW w:type="dxa" w:w="358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Current (On-Prem)</w:t>
            </w:r>
          </w:p>
        </w:tc>
        <w:tc>
          <w:tcPr>
            <w:tcW w:type="dxa" w:w="358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Target (AWS)</w:t>
            </w:r>
          </w:p>
        </w:tc>
      </w:tr>
      <w:tr>
        <w:tc>
          <w:tcPr>
            <w:tcW w:type="dxa" w:w="22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Database Engine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SQL Server 2016/2019</w:t>
            </w:r>
          </w:p>
        </w:tc>
        <w:tc>
          <w:tcPr>
            <w:tcW w:type="dxa" w:w="35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196419"/>
                <w:sz w:val="18"/>
                <w:szCs w:val="18"/>
              </w:rPr>
              <w:t xml:space="preserve">Amazon RDS for SQL Server (Multi-AZ)</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DB Migration Method</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On-prem native backup</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96419"/>
                <w:sz w:val="18"/>
                <w:szCs w:val="18"/>
              </w:rPr>
              <w:t xml:space="preserve">Backup to S3 → RDS Restore + DMS CDC (delta only)</w:t>
            </w:r>
          </w:p>
        </w:tc>
      </w:tr>
      <w:tr>
        <w:tc>
          <w:tcPr>
            <w:tcW w:type="dxa" w:w="22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ETL Platform</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SSIS</w:t>
            </w:r>
          </w:p>
        </w:tc>
        <w:tc>
          <w:tcPr>
            <w:tcW w:type="dxa" w:w="35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196419"/>
                <w:sz w:val="18"/>
                <w:szCs w:val="18"/>
              </w:rPr>
              <w:t xml:space="preserve">AWS Glue (Python / PySpark)</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Data Integration</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Informatica PowerCenter</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96419"/>
                <w:sz w:val="18"/>
                <w:szCs w:val="18"/>
              </w:rPr>
              <w:t xml:space="preserve">No Change — JDBC repointed to RDS endpoint</w:t>
            </w:r>
          </w:p>
        </w:tc>
      </w:tr>
      <w:tr>
        <w:tc>
          <w:tcPr>
            <w:tcW w:type="dxa" w:w="22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Reporting</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SSRS</w:t>
            </w:r>
          </w:p>
        </w:tc>
        <w:tc>
          <w:tcPr>
            <w:tcW w:type="dxa" w:w="35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196419"/>
                <w:sz w:val="18"/>
                <w:szCs w:val="18"/>
              </w:rPr>
              <w:t xml:space="preserve">EC2 SSRS / AWS QuickSight / Power BI (per report)</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Scheduling</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SQL Server Agent</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96419"/>
                <w:sz w:val="18"/>
                <w:szCs w:val="18"/>
              </w:rPr>
              <w:t xml:space="preserve">AWS EventBridge Scheduler / Step Functions</w:t>
            </w:r>
          </w:p>
        </w:tc>
      </w:tr>
      <w:tr>
        <w:tc>
          <w:tcPr>
            <w:tcW w:type="dxa" w:w="22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Secrets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Config files / AD</w:t>
            </w:r>
          </w:p>
        </w:tc>
        <w:tc>
          <w:tcPr>
            <w:tcW w:type="dxa" w:w="35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196419"/>
                <w:sz w:val="18"/>
                <w:szCs w:val="18"/>
              </w:rPr>
              <w:t xml:space="preserve">AWS Secrets Manager + Parameter Store</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Monitoring</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SQL Server DMVs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96419"/>
                <w:sz w:val="18"/>
                <w:szCs w:val="18"/>
              </w:rPr>
              <w:t xml:space="preserve">CloudWatch + RDS Performance Insights</w:t>
            </w:r>
          </w:p>
        </w:tc>
      </w:tr>
      <w:tr>
        <w:tc>
          <w:tcPr>
            <w:tcW w:type="dxa" w:w="22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Backup</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NAS backup</w:t>
            </w:r>
          </w:p>
        </w:tc>
        <w:tc>
          <w:tcPr>
            <w:tcW w:type="dxa" w:w="35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196419"/>
                <w:sz w:val="18"/>
                <w:szCs w:val="18"/>
              </w:rPr>
              <w:t xml:space="preserve">RDS Automated Snapshots + AWS Backup</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HA / DR</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Always On AG / FCI</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96419"/>
                <w:sz w:val="18"/>
                <w:szCs w:val="18"/>
              </w:rPr>
              <w:t xml:space="preserve">RDS Multi-AZ (synchronous standby)</w:t>
            </w:r>
          </w:p>
        </w:tc>
      </w:tr>
    </w:tbl>
    <w:p>
      <w:pPr>
        <w:spacing w:after="60" w:before="60"/>
      </w:pPr>
      <w:r>
        <w:t xml:space="preserve"/>
      </w:r>
    </w:p>
    <w:p>
      <w:pPr>
        <w:pStyle w:val="Heading2"/>
        <w:spacing w:after="100" w:before="240"/>
      </w:pPr>
      <w:r>
        <w:rPr>
          <w:rFonts w:ascii="Arial" w:cs="Arial" w:eastAsia="Arial" w:hAnsi="Arial"/>
          <w:b/>
          <w:bCs/>
          <w:color w:val="2E75B6"/>
          <w:sz w:val="26"/>
          <w:szCs w:val="26"/>
        </w:rPr>
        <w:t xml:space="preserve">4.3 Out of Scope</w:t>
      </w:r>
    </w:p>
    <w:p>
      <w:pPr>
        <w:pStyle w:val="ListParagraph"/>
        <w:numPr>
          <w:ilvl w:val="0"/>
          <w:numId w:val="2"/>
        </w:numPr>
        <w:spacing w:after="40" w:before="40"/>
      </w:pPr>
      <w:r>
        <w:rPr>
          <w:rFonts w:ascii="Arial" w:cs="Arial" w:eastAsia="Arial" w:hAnsi="Arial"/>
          <w:sz w:val="20"/>
          <w:szCs w:val="20"/>
        </w:rPr>
        <w:t xml:space="preserve">Application code refactoring beyond connection string updates</w:t>
      </w:r>
    </w:p>
    <w:p>
      <w:pPr>
        <w:pStyle w:val="ListParagraph"/>
        <w:numPr>
          <w:ilvl w:val="0"/>
          <w:numId w:val="2"/>
        </w:numPr>
        <w:spacing w:after="40" w:before="40"/>
      </w:pPr>
      <w:r>
        <w:rPr>
          <w:rFonts w:ascii="Arial" w:cs="Arial" w:eastAsia="Arial" w:hAnsi="Arial"/>
          <w:sz w:val="20"/>
          <w:szCs w:val="20"/>
        </w:rPr>
        <w:t xml:space="preserve">On-premises hardware/infrastructure migration</w:t>
      </w:r>
    </w:p>
    <w:p>
      <w:pPr>
        <w:pStyle w:val="ListParagraph"/>
        <w:numPr>
          <w:ilvl w:val="0"/>
          <w:numId w:val="2"/>
        </w:numPr>
        <w:spacing w:after="40" w:before="40"/>
      </w:pPr>
      <w:r>
        <w:rPr>
          <w:rFonts w:ascii="Arial" w:cs="Arial" w:eastAsia="Arial" w:hAnsi="Arial"/>
          <w:sz w:val="20"/>
          <w:szCs w:val="20"/>
        </w:rPr>
        <w:t xml:space="preserve">Data warehouse, BI lake, or streaming pipeline migration (separate programmes)</w:t>
      </w:r>
    </w:p>
    <w:p>
      <w:pPr>
        <w:pStyle w:val="ListParagraph"/>
        <w:numPr>
          <w:ilvl w:val="0"/>
          <w:numId w:val="2"/>
        </w:numPr>
        <w:spacing w:after="40" w:before="40"/>
      </w:pPr>
      <w:r>
        <w:rPr>
          <w:rFonts w:ascii="Arial" w:cs="Arial" w:eastAsia="Arial" w:hAnsi="Arial"/>
          <w:sz w:val="20"/>
          <w:szCs w:val="20"/>
        </w:rPr>
        <w:t xml:space="preserve">Informatica workflow migration, testing, or re-platforming</w:t>
      </w:r>
    </w:p>
    <w:p>
      <w:pPr>
        <w:pStyle w:val="ListParagraph"/>
        <w:numPr>
          <w:ilvl w:val="0"/>
          <w:numId w:val="2"/>
        </w:numPr>
        <w:spacing w:after="40" w:before="40"/>
      </w:pPr>
      <w:r>
        <w:rPr>
          <w:rFonts w:ascii="Arial" w:cs="Arial" w:eastAsia="Arial" w:hAnsi="Arial"/>
          <w:sz w:val="20"/>
          <w:szCs w:val="20"/>
        </w:rPr>
        <w:t xml:space="preserve">DR site replication beyond RDS Multi-AZ</w:t>
      </w:r>
    </w:p>
    <w:p>
      <w:pPr>
        <w:spacing w:after="60" w:before="60"/>
      </w:pPr>
      <w:r>
        <w:t xml:space="preserve"/>
      </w:r>
    </w:p>
    <w:p>
      <w:r>
        <w:br w:type="page"/>
      </w:r>
    </w:p>
    <w:p>
      <w:pPr>
        <w:pStyle w:val="Heading1"/>
        <w:spacing w:after="120" w:before="300"/>
      </w:pPr>
      <w:r>
        <w:rPr>
          <w:rFonts w:ascii="Arial" w:cs="Arial" w:eastAsia="Arial" w:hAnsi="Arial"/>
          <w:b/>
          <w:bCs/>
          <w:color w:val="1F3864"/>
          <w:sz w:val="32"/>
          <w:szCs w:val="32"/>
        </w:rPr>
        <w:t xml:space="preserve">5. Migration Strategy</w:t>
      </w:r>
    </w:p>
    <w:p>
      <w:pPr>
        <w:pStyle w:val="Heading2"/>
        <w:spacing w:after="100" w:before="240"/>
      </w:pPr>
      <w:r>
        <w:rPr>
          <w:rFonts w:ascii="Arial" w:cs="Arial" w:eastAsia="Arial" w:hAnsi="Arial"/>
          <w:b/>
          <w:bCs/>
          <w:color w:val="2E75B6"/>
          <w:sz w:val="26"/>
          <w:szCs w:val="26"/>
        </w:rPr>
        <w:t xml:space="preserve">5.1 Database Migration: Backup/Restore Lift-and-Shift</w:t>
      </w:r>
    </w:p>
    <w:p>
      <w:pPr>
        <w:spacing w:after="80" w:before="60"/>
      </w:pPr>
      <w:r>
        <w:rPr>
          <w:rFonts w:ascii="Arial" w:cs="Arial" w:eastAsia="Arial" w:hAnsi="Arial"/>
          <w:sz w:val="20"/>
          <w:szCs w:val="20"/>
        </w:rPr>
        <w:t xml:space="preserve">The primary database migration method is native SQL Server Backup/Restore to Amazon RDS, staged via Amazon S3. This preserves 100% of all schema objects — stored procedures, views, triggers, indexes, statistics, SQL Agent jobs, logins — with zero conversion or rewriting.</w:t>
      </w:r>
    </w:p>
    <w:p>
      <w:pPr>
        <w:spacing w:after="60" w:before="60"/>
      </w:pPr>
      <w:r>
        <w:t xml:space="preserve"/>
      </w:r>
    </w:p>
    <w:p>
      <w:pPr>
        <w:pBdr>
          <w:left w:val="thick" w:color="375623" w:sz="12"/>
        </w:pBdr>
        <w:shd w:fill="E2EFDA" w:val="clear"/>
        <w:spacing w:after="120" w:before="120"/>
        <w:ind w:left="360"/>
      </w:pPr>
      <w:r>
        <w:rPr>
          <w:rFonts w:ascii="Arial" w:cs="Arial" w:eastAsia="Arial" w:hAnsi="Arial"/>
          <w:sz w:val="20"/>
          <w:szCs w:val="20"/>
        </w:rPr>
        <w:t xml:space="preserve">Lift-and-Shift Advantage: Backup/Restore eliminates schema conversion risk entirely and is executed across three environments (Dev → Test → Production). Each environment has its own RDS instance. Dev restores validate the backup and Glue job behaviour; Test restores validate UAT and performance; Production restore is the final cutover. SCT is used for assessment only. Estimated restore throughput: 200–500 GB/hour compressed.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400"/>
        <w:gridCol w:w="2360"/>
      </w:tblGrid>
      <w:tr>
        <w:tc>
          <w:tcPr>
            <w:tcW w:type="dxa" w:w="18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Method</w:t>
            </w:r>
          </w:p>
        </w:tc>
        <w:tc>
          <w:tcPr>
            <w:tcW w:type="dxa" w:w="28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When Used</w:t>
            </w:r>
          </w:p>
        </w:tc>
        <w:tc>
          <w:tcPr>
            <w:tcW w:type="dxa" w:w="24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Mechanism</w:t>
            </w:r>
          </w:p>
        </w:tc>
        <w:tc>
          <w:tcPr>
            <w:tcW w:type="dxa" w:w="23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Est. Duration</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Full Backup→Restore</w:t>
            </w:r>
          </w:p>
        </w:tc>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Primary method for all 29 apps</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BACKUP DATABASE … TO URL (S3); rds_restore_database stored proc</w:t>
            </w:r>
          </w:p>
        </w:tc>
        <w:tc>
          <w:tcPr>
            <w:tcW w:type="dxa" w:w="2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196419"/>
                <w:sz w:val="18"/>
                <w:szCs w:val="18"/>
              </w:rPr>
              <w:t xml:space="preserve">200–500 GB/hr restored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Differential Chain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DBs &gt; 500 GB (T3 apps)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Full + daily differentials to minimise final restore window</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96419"/>
                <w:sz w:val="18"/>
                <w:szCs w:val="18"/>
              </w:rPr>
              <w:t xml:space="preserve">Final restore &lt;4 hrs</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DMS CDC</w:t>
            </w:r>
          </w:p>
        </w:tc>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Delta sync: post-restore through UAT to cutover freeze</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DMS captures on-prem transaction log changes; stops at cutover freeze</w:t>
            </w:r>
          </w:p>
        </w:tc>
        <w:tc>
          <w:tcPr>
            <w:tcW w:type="dxa" w:w="2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196419"/>
                <w:sz w:val="18"/>
                <w:szCs w:val="18"/>
              </w:rPr>
              <w:t xml:space="preserve">Lag target &lt;10 sec</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SCT Assessment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Pre-migration: all 29 apps in Phase 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Object inventory + RDS-incompatible feature report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96419"/>
                <w:sz w:val="18"/>
                <w:szCs w:val="18"/>
              </w:rPr>
              <w:t xml:space="preserve">1–2 days per app</w:t>
            </w:r>
          </w:p>
        </w:tc>
      </w:tr>
    </w:tbl>
    <w:p>
      <w:pPr>
        <w:spacing w:after="60" w:before="60"/>
      </w:pPr>
      <w:r>
        <w:t xml:space="preserve"/>
      </w:r>
    </w:p>
    <w:p>
      <w:pPr>
        <w:pStyle w:val="Heading2"/>
        <w:spacing w:after="100" w:before="240"/>
      </w:pPr>
      <w:r>
        <w:rPr>
          <w:rFonts w:ascii="Arial" w:cs="Arial" w:eastAsia="Arial" w:hAnsi="Arial"/>
          <w:b/>
          <w:bCs/>
          <w:color w:val="2E75B6"/>
          <w:sz w:val="26"/>
          <w:szCs w:val="26"/>
        </w:rPr>
        <w:t xml:space="preserve">5.2 RDS-Incompatible Features Requiring Pre-Migration Remediation</w:t>
      </w:r>
    </w:p>
    <w:p>
      <w:pPr>
        <w:pStyle w:val="ListParagraph"/>
        <w:numPr>
          <w:ilvl w:val="0"/>
          <w:numId w:val="2"/>
        </w:numPr>
        <w:spacing w:after="40" w:before="40"/>
      </w:pPr>
      <w:r>
        <w:rPr>
          <w:rFonts w:ascii="Arial" w:cs="Arial" w:eastAsia="Arial" w:hAnsi="Arial"/>
          <w:sz w:val="20"/>
          <w:szCs w:val="20"/>
        </w:rPr>
        <w:t xml:space="preserve">Linked servers — replaced with cross-DB VPC connectivity or application-layer calls</w:t>
      </w:r>
    </w:p>
    <w:p>
      <w:pPr>
        <w:pStyle w:val="ListParagraph"/>
        <w:numPr>
          <w:ilvl w:val="0"/>
          <w:numId w:val="2"/>
        </w:numPr>
        <w:spacing w:after="40" w:before="40"/>
      </w:pPr>
      <w:r>
        <w:rPr>
          <w:rFonts w:ascii="Arial" w:cs="Arial" w:eastAsia="Arial" w:hAnsi="Arial"/>
          <w:sz w:val="20"/>
          <w:szCs w:val="20"/>
        </w:rPr>
        <w:t xml:space="preserve">CLR assemblies — rewritten as T-SQL stored procedures or AWS Lambda functions</w:t>
      </w:r>
    </w:p>
    <w:p>
      <w:pPr>
        <w:pStyle w:val="ListParagraph"/>
        <w:numPr>
          <w:ilvl w:val="0"/>
          <w:numId w:val="2"/>
        </w:numPr>
        <w:spacing w:after="40" w:before="40"/>
      </w:pPr>
      <w:r>
        <w:rPr>
          <w:rFonts w:ascii="Arial" w:cs="Arial" w:eastAsia="Arial" w:hAnsi="Arial"/>
          <w:sz w:val="20"/>
          <w:szCs w:val="20"/>
        </w:rPr>
        <w:t xml:space="preserve">SQL Server Agent jobs — recreated as AWS EventBridge Scheduler rules</w:t>
      </w:r>
    </w:p>
    <w:p>
      <w:pPr>
        <w:pStyle w:val="ListParagraph"/>
        <w:numPr>
          <w:ilvl w:val="0"/>
          <w:numId w:val="2"/>
        </w:numPr>
        <w:spacing w:after="40" w:before="40"/>
      </w:pPr>
      <w:r>
        <w:rPr>
          <w:rFonts w:ascii="Arial" w:cs="Arial" w:eastAsia="Arial" w:hAnsi="Arial"/>
          <w:sz w:val="20"/>
          <w:szCs w:val="20"/>
        </w:rPr>
        <w:t xml:space="preserve">Full-text search indexes — validated for RDS Full-Text Search support</w:t>
      </w:r>
    </w:p>
    <w:p>
      <w:pPr>
        <w:pStyle w:val="ListParagraph"/>
        <w:numPr>
          <w:ilvl w:val="0"/>
          <w:numId w:val="2"/>
        </w:numPr>
        <w:spacing w:after="40" w:before="40"/>
      </w:pPr>
      <w:r>
        <w:rPr>
          <w:rFonts w:ascii="Arial" w:cs="Arial" w:eastAsia="Arial" w:hAnsi="Arial"/>
          <w:sz w:val="20"/>
          <w:szCs w:val="20"/>
        </w:rPr>
        <w:t xml:space="preserve">Service Broker — replaced with SQS/SNS for async messaging</w:t>
      </w:r>
    </w:p>
    <w:p>
      <w:pPr>
        <w:spacing w:after="60" w:before="60"/>
      </w:pPr>
      <w:r>
        <w:t xml:space="preserve"/>
      </w:r>
    </w:p>
    <w:p>
      <w:pPr>
        <w:pStyle w:val="Heading2"/>
        <w:spacing w:after="100" w:before="240"/>
      </w:pPr>
      <w:r>
        <w:rPr>
          <w:rFonts w:ascii="Arial" w:cs="Arial" w:eastAsia="Arial" w:hAnsi="Arial"/>
          <w:b/>
          <w:bCs/>
          <w:color w:val="2E75B6"/>
          <w:sz w:val="26"/>
          <w:szCs w:val="26"/>
        </w:rPr>
        <w:t xml:space="preserve">5.3 ETL Migration: SSIS → AWS Glue</w:t>
      </w:r>
    </w:p>
    <w:p>
      <w:pPr>
        <w:spacing w:after="80" w:before="60"/>
      </w:pPr>
      <w:r>
        <w:rPr>
          <w:rFonts w:ascii="Arial" w:cs="Arial" w:eastAsia="Arial" w:hAnsi="Arial"/>
          <w:sz w:val="20"/>
          <w:szCs w:val="20"/>
        </w:rPr>
        <w:t xml:space="preserve">All SSIS packages are migrated to AWS Glue (Python / PySpark). Complexity drives effort per package: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2400"/>
        <w:gridCol w:w="1500"/>
        <w:gridCol w:w="1460"/>
      </w:tblGrid>
      <w:tr>
        <w:tc>
          <w:tcPr>
            <w:tcW w:type="dxa" w:w="14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Complexity</w:t>
            </w:r>
          </w:p>
        </w:tc>
        <w:tc>
          <w:tcPr>
            <w:tcW w:type="dxa" w:w="26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SSIS Profile</w:t>
            </w:r>
          </w:p>
        </w:tc>
        <w:tc>
          <w:tcPr>
            <w:tcW w:type="dxa" w:w="24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Glue Target</w:t>
            </w:r>
          </w:p>
        </w:tc>
        <w:tc>
          <w:tcPr>
            <w:tcW w:type="dxa" w:w="15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Hours/Pkg</w:t>
            </w:r>
          </w:p>
        </w:tc>
        <w:tc>
          <w:tcPr>
            <w:tcW w:type="dxa" w:w="14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AI Saving</w:t>
            </w:r>
          </w:p>
        </w:tc>
      </w:tr>
      <w:tr>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Low</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Simple copy, single source/target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Glue Studio Visual ETL</w:t>
            </w:r>
          </w:p>
        </w:tc>
        <w:tc>
          <w:tcPr>
            <w:tcW w:type="dxa" w:w="1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196419"/>
                <w:sz w:val="18"/>
                <w:szCs w:val="18"/>
              </w:rPr>
              <w:t xml:space="preserve">4 hrs</w:t>
            </w:r>
          </w:p>
        </w:tc>
        <w:tc>
          <w:tcPr>
            <w:tcW w:type="dxa" w:w="14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B8540A"/>
                <w:sz w:val="18"/>
                <w:szCs w:val="18"/>
              </w:rPr>
              <w:t xml:space="preserve">25%</w:t>
            </w:r>
          </w:p>
        </w:tc>
      </w:tr>
      <w:tr>
        <w:tc>
          <w:tcPr>
            <w:tcW w:type="dxa" w:w="1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Medium</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Lookups, transforms, conditional splits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Glue PySpark (GHCP-generated)</w:t>
            </w:r>
          </w:p>
        </w:tc>
        <w:tc>
          <w:tcPr>
            <w:tcW w:type="dxa" w:w="1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196419"/>
                <w:sz w:val="18"/>
                <w:szCs w:val="18"/>
              </w:rPr>
              <w:t xml:space="preserve">8 hrs</w:t>
            </w:r>
          </w:p>
        </w:tc>
        <w:tc>
          <w:tcPr>
            <w:tcW w:type="dxa" w:w="14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B8540A"/>
                <w:sz w:val="18"/>
                <w:szCs w:val="18"/>
              </w:rPr>
              <w:t xml:space="preserve">25%</w:t>
            </w:r>
          </w:p>
        </w:tc>
      </w:tr>
      <w:tr>
        <w:tc>
          <w:tcPr>
            <w:tcW w:type="dxa" w:w="1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High</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Loops, dynamic SQL, error handling, multi-step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Glue PySpark + Step Functions</w:t>
            </w:r>
          </w:p>
        </w:tc>
        <w:tc>
          <w:tcPr>
            <w:tcW w:type="dxa" w:w="1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196419"/>
                <w:sz w:val="18"/>
                <w:szCs w:val="18"/>
              </w:rPr>
              <w:t xml:space="preserve">16 hrs</w:t>
            </w:r>
          </w:p>
        </w:tc>
        <w:tc>
          <w:tcPr>
            <w:tcW w:type="dxa" w:w="14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B8540A"/>
                <w:sz w:val="18"/>
                <w:szCs w:val="18"/>
              </w:rPr>
              <w:t xml:space="preserve">25%</w:t>
            </w:r>
          </w:p>
        </w:tc>
      </w:tr>
    </w:tbl>
    <w:p>
      <w:pPr>
        <w:spacing w:after="60" w:before="60"/>
      </w:pPr>
      <w:r>
        <w:t xml:space="preserve"/>
      </w:r>
    </w:p>
    <w:p>
      <w:pPr>
        <w:pStyle w:val="Heading2"/>
        <w:spacing w:after="100" w:before="240"/>
      </w:pPr>
      <w:r>
        <w:rPr>
          <w:rFonts w:ascii="Arial" w:cs="Arial" w:eastAsia="Arial" w:hAnsi="Arial"/>
          <w:b/>
          <w:bCs/>
          <w:color w:val="2E75B6"/>
          <w:sz w:val="26"/>
          <w:szCs w:val="26"/>
        </w:rPr>
        <w:t xml:space="preserve">5.4 Informatica — Out of Scope</w:t>
      </w:r>
    </w:p>
    <w:p>
      <w:pPr>
        <w:pBdr>
          <w:left w:val="thick" w:color="C00000" w:sz="12"/>
        </w:pBdr>
        <w:shd w:fill="FCE4D6" w:val="clear"/>
        <w:spacing w:after="120" w:before="120"/>
        <w:ind w:left="360"/>
      </w:pPr>
      <w:r>
        <w:rPr>
          <w:rFonts w:ascii="Arial" w:cs="Arial" w:eastAsia="Arial" w:hAnsi="Arial"/>
          <w:sz w:val="20"/>
          <w:szCs w:val="20"/>
        </w:rPr>
        <w:t xml:space="preserve">Informatica PowerCenter remains on-premises with zero changes to workflows, mappings, or sessions. The effort involved is updating JDBC connection strings per Informatica job (not per application) across all three environments (Dev, Test, and Production RDS endpoints). Each Informatica job that connects to a migrated application database requires its connection object updated. Effort is estimated at 0.5 hours per job per environment (1.5 hours per job total across all three environments). Application SMEs provide the job count per application in the effort estimator.</w:t>
      </w:r>
    </w:p>
    <w:p>
      <w:pPr>
        <w:spacing w:after="60" w:before="60"/>
      </w:pPr>
      <w:r>
        <w:t xml:space="preserve"/>
      </w:r>
    </w:p>
    <w:p>
      <w:pPr>
        <w:pStyle w:val="Heading2"/>
        <w:spacing w:after="100" w:before="240"/>
      </w:pPr>
      <w:r>
        <w:rPr>
          <w:rFonts w:ascii="Arial" w:cs="Arial" w:eastAsia="Arial" w:hAnsi="Arial"/>
          <w:b/>
          <w:bCs/>
          <w:color w:val="2E75B6"/>
          <w:sz w:val="26"/>
          <w:szCs w:val="26"/>
        </w:rPr>
        <w:t xml:space="preserve">5.5 SSRS Reporting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2500"/>
        <w:gridCol w:w="1300"/>
        <w:gridCol w:w="1260"/>
      </w:tblGrid>
      <w:tr>
        <w:tc>
          <w:tcPr>
            <w:tcW w:type="dxa" w:w="18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Strategy</w:t>
            </w:r>
          </w:p>
        </w:tc>
        <w:tc>
          <w:tcPr>
            <w:tcW w:type="dxa" w:w="25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Best For</w:t>
            </w:r>
          </w:p>
        </w:tc>
        <w:tc>
          <w:tcPr>
            <w:tcW w:type="dxa" w:w="25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Mechanism</w:t>
            </w:r>
          </w:p>
        </w:tc>
        <w:tc>
          <w:tcPr>
            <w:tcW w:type="dxa" w:w="13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Hrs/Report</w:t>
            </w:r>
          </w:p>
        </w:tc>
        <w:tc>
          <w:tcPr>
            <w:tcW w:type="dxa" w:w="12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AI Saving</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EC2 Lift &amp; Shift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Operational, complex parameterised reports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SSRS on Windows EC2; connection repointed</w:t>
            </w:r>
          </w:p>
        </w:tc>
        <w:tc>
          <w:tcPr>
            <w:tcW w:type="dxa" w:w="13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196419"/>
                <w:sz w:val="18"/>
                <w:szCs w:val="18"/>
              </w:rPr>
              <w:t xml:space="preserve">1.6 hrs</w:t>
            </w:r>
          </w:p>
        </w:tc>
        <w:tc>
          <w:tcPr>
            <w:tcW w:type="dxa" w:w="12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B8540A"/>
                <w:sz w:val="18"/>
                <w:szCs w:val="18"/>
              </w:rPr>
              <w:t xml:space="preserve">20%</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AWS QuickSight</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Dashboards, ad-hoc analytics, self-service BI</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Dataset + visuals rebuilt in QuickSight</w:t>
            </w:r>
          </w:p>
        </w:tc>
        <w:tc>
          <w:tcPr>
            <w:tcW w:type="dxa" w:w="13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196419"/>
                <w:sz w:val="18"/>
                <w:szCs w:val="18"/>
              </w:rPr>
              <w:t xml:space="preserve">12 hrs</w:t>
            </w:r>
          </w:p>
        </w:tc>
        <w:tc>
          <w:tcPr>
            <w:tcW w:type="dxa" w:w="12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B8540A"/>
                <w:sz w:val="18"/>
                <w:szCs w:val="18"/>
              </w:rPr>
              <w:t xml:space="preserve">20%</w:t>
            </w:r>
          </w:p>
        </w:tc>
      </w:tr>
      <w:tr>
        <w:tc>
          <w:tcPr>
            <w:tcW w:type="dxa" w:w="1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Power BI</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Microsoft 365 tenancy; DAX-heavy reports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Power BI Desktop → Service; DirectQuery/Import</w:t>
            </w:r>
          </w:p>
        </w:tc>
        <w:tc>
          <w:tcPr>
            <w:tcW w:type="dxa" w:w="13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196419"/>
                <w:sz w:val="18"/>
                <w:szCs w:val="18"/>
              </w:rPr>
              <w:t xml:space="preserve">8 hrs</w:t>
            </w:r>
          </w:p>
        </w:tc>
        <w:tc>
          <w:tcPr>
            <w:tcW w:type="dxa" w:w="12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B8540A"/>
                <w:sz w:val="18"/>
                <w:szCs w:val="18"/>
              </w:rPr>
              <w:t xml:space="preserve">20%</w:t>
            </w:r>
          </w:p>
        </w:tc>
      </w:tr>
      <w:tr>
        <w:tc>
          <w:tcPr>
            <w:tcW w:type="dxa" w:w="18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Decommission</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Zero access in last 90 days (SSRS audit logs)</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Archive and remove</w:t>
            </w:r>
          </w:p>
        </w:tc>
        <w:tc>
          <w:tcPr>
            <w:tcW w:type="dxa" w:w="13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196419"/>
                <w:sz w:val="18"/>
                <w:szCs w:val="18"/>
              </w:rPr>
              <w:t xml:space="preserve">0.8 hrs</w:t>
            </w:r>
          </w:p>
        </w:tc>
        <w:tc>
          <w:tcPr>
            <w:tcW w:type="dxa" w:w="12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B8540A"/>
                <w:sz w:val="18"/>
                <w:szCs w:val="18"/>
              </w:rPr>
              <w:t xml:space="preserve">0%</w:t>
            </w:r>
          </w:p>
        </w:tc>
      </w:tr>
    </w:tbl>
    <w:p>
      <w:pPr>
        <w:spacing w:after="60" w:before="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100"/>
              <w:left w:type="dxa" w:w="200"/>
              <w:bottom w:type="dxa" w:w="100"/>
              <w:right w:type="dxa" w:w="200"/>
            </w:tcMar>
          </w:tcPr>
          <w:p>
            <w:r>
              <w:rPr>
                <w:rFonts w:ascii="Arial" w:cs="Arial" w:eastAsia="Arial" w:hAnsi="Arial"/>
                <w:b/>
                <w:bCs/>
                <w:color w:val="FFFFFF"/>
                <w:sz w:val="24"/>
                <w:szCs w:val="24"/>
              </w:rPr>
              <w:t xml:space="preserve">5.6  DEV → TEST → PRODUCTION ENVIRONMENT PIPELINE</w:t>
            </w:r>
          </w:p>
        </w:tc>
      </w:tr>
    </w:tbl>
    <w:p>
      <w:pPr>
        <w:spacing w:after="60" w:before="60"/>
      </w:pPr>
      <w:r>
        <w:t xml:space="preserve"/>
      </w:r>
    </w:p>
    <w:p>
      <w:pPr>
        <w:spacing w:after="80" w:before="60"/>
      </w:pPr>
      <w:r>
        <w:rPr>
          <w:rFonts w:ascii="Arial" w:cs="Arial" w:eastAsia="Arial" w:hAnsi="Arial"/>
          <w:sz w:val="20"/>
          <w:szCs w:val="20"/>
        </w:rPr>
        <w:t xml:space="preserve">Every migration artefact — database schema/data, Glue ETL jobs, and Informatica JDBC connections — is promoted through three environments before production cutover. This eliminates integration surprises in production and provides two validation gates per application.</w:t>
      </w:r>
    </w:p>
    <w:p>
      <w:pPr>
        <w:spacing w:after="60" w:before="60"/>
      </w:pPr>
      <w:r>
        <w:t xml:space="preserve"/>
      </w:r>
    </w:p>
    <w:p>
      <w:pPr>
        <w:pBdr>
          <w:left w:val="thick" w:color="375623" w:sz="12"/>
        </w:pBdr>
        <w:shd w:fill="E2EFDA" w:val="clear"/>
        <w:spacing w:after="120" w:before="120"/>
        <w:ind w:left="360"/>
      </w:pPr>
      <w:r>
        <w:rPr>
          <w:rFonts w:ascii="Arial" w:cs="Arial" w:eastAsia="Arial" w:hAnsi="Arial"/>
          <w:sz w:val="20"/>
          <w:szCs w:val="20"/>
        </w:rPr>
        <w:t xml:space="preserve">Environment Principle: Nothing goes to Production that has not been validated in Dev and signed off in Test. Each environment has its own RDS instance, its own Glue dev/test/prod jobs, and its own Informatica connection objects. Dev and Test use Single-AZ RDS (cost-optimised). Production uses Multi-AZ.</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200"/>
        <w:gridCol w:w="2200"/>
        <w:gridCol w:w="960"/>
      </w:tblGrid>
      <w:tr>
        <w:tc>
          <w:tcPr>
            <w:tcW w:type="dxa" w:w="16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Layer</w:t>
            </w:r>
          </w:p>
        </w:tc>
        <w:tc>
          <w:tcPr>
            <w:tcW w:type="dxa" w:w="2400"/>
            <w:gridSpan w:val="1"/>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Dev Environment</w:t>
            </w:r>
          </w:p>
        </w:tc>
        <w:tc>
          <w:tcPr>
            <w:tcW w:type="dxa" w:w="220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Test Environment</w:t>
            </w:r>
          </w:p>
        </w:tc>
        <w:tc>
          <w:tcPr>
            <w:tcW w:type="dxa" w:w="2200"/>
            <w:gridSpan w:val="1"/>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Production Environment</w:t>
            </w:r>
          </w:p>
        </w:tc>
        <w:tc>
          <w:tcPr>
            <w:tcW w:type="dxa" w:w="9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Effort Weight</w:t>
            </w:r>
          </w:p>
        </w:tc>
      </w:tr>
      <w:tr>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Schema &amp;
Data</w:t>
            </w:r>
          </w:p>
        </w:tc>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196419"/>
                <w:sz w:val="18"/>
                <w:szCs w:val="18"/>
              </w:rPr>
              <w:t xml:space="preserve">Backup restored to Dev RDS (Single-AZ). DBA validates all objects present. Dev smoke test. Dev DMS CDC activated.</w:t>
            </w:r>
          </w:p>
        </w:tc>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2E75B6"/>
                <w:sz w:val="18"/>
                <w:szCs w:val="18"/>
              </w:rPr>
              <w:t xml:space="preserve">Backup restored to Test RDS (Single-AZ). App team UAT. Performance test at 80% TPS. DMS CDC monitors lag.</w:t>
            </w:r>
          </w:p>
        </w:tc>
        <w:tc>
          <w:tcPr>
            <w:tcW w:type="dxa" w:w="2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color w:val="B8540A"/>
                <w:sz w:val="18"/>
                <w:szCs w:val="18"/>
              </w:rPr>
              <w:t xml:space="preserve">Final differential restore to Prod RDS (Multi-AZ). DMS CDC at 0 lag. MD5 hash + row count. Cutover go/no-go.</w:t>
            </w:r>
          </w:p>
        </w:tc>
        <w:tc>
          <w:tcPr>
            <w:tcW w:type="dxa" w:w="9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B8540A"/>
                <w:sz w:val="18"/>
                <w:szCs w:val="18"/>
              </w:rPr>
              <w:t xml:space="preserve">Dev 40%
Test 40%
Prod 20%</w:t>
            </w:r>
          </w:p>
        </w:tc>
      </w:tr>
      <w:tr>
        <w:tc>
          <w:tcPr>
            <w:tcW w:type="dxa" w:w="16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ETL
(Glue Jobs)</w:t>
            </w:r>
          </w:p>
        </w:tc>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196419"/>
                <w:sz w:val="18"/>
                <w:szCs w:val="18"/>
              </w:rPr>
              <w:t xml:space="preserve">Glue PySpark jobs developed in Dev Glue environment. GHCP generates initial code. Unit tests run in Dev.</w:t>
            </w:r>
          </w:p>
        </w:tc>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2E75B6"/>
                <w:sz w:val="18"/>
                <w:szCs w:val="18"/>
              </w:rPr>
              <w:t xml:space="preserve">Glue jobs deployed to Test via CDK pipeline. Integration tests against Test RDS. Output parity vs. SSIS validated.</w:t>
            </w:r>
          </w:p>
        </w:tc>
        <w:tc>
          <w:tcPr>
            <w:tcW w:type="dxa" w:w="2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color w:val="B8540A"/>
                <w:sz w:val="18"/>
                <w:szCs w:val="18"/>
              </w:rPr>
              <w:t xml:space="preserve">Glue jobs deployed to Production CDK stack at go-live. Glue job schedules (EventBridge) activated.</w:t>
            </w:r>
          </w:p>
        </w:tc>
        <w:tc>
          <w:tcPr>
            <w:tcW w:type="dxa" w:w="9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B8540A"/>
                <w:sz w:val="18"/>
                <w:szCs w:val="18"/>
              </w:rPr>
              <w:t xml:space="preserve">Dev 50%
Test 35%
Prod 15%</w:t>
            </w:r>
          </w:p>
        </w:tc>
      </w:tr>
      <w:tr>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Informatica
JDBC Update</w:t>
            </w:r>
          </w:p>
        </w:tc>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196419"/>
                <w:sz w:val="18"/>
                <w:szCs w:val="18"/>
              </w:rPr>
              <w:t xml:space="preserve">Dev RDS endpoint configured in Informatica PowerCenter connection objects (per job). Dev Informatica sessions tested.</w:t>
            </w:r>
          </w:p>
        </w:tc>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2E75B6"/>
                <w:sz w:val="18"/>
                <w:szCs w:val="18"/>
              </w:rPr>
              <w:t xml:space="preserve">Test RDS endpoint configured per Informatica job. Test Informatica sessions validated. Job-level connectivity confirmed.</w:t>
            </w:r>
          </w:p>
        </w:tc>
        <w:tc>
          <w:tcPr>
            <w:tcW w:type="dxa" w:w="2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color w:val="B8540A"/>
                <w:sz w:val="18"/>
                <w:szCs w:val="18"/>
              </w:rPr>
              <w:t xml:space="preserve">Production RDS endpoint configured per Informatica job. All jobs tested post-cutover before hypercare sign-off.</w:t>
            </w:r>
          </w:p>
        </w:tc>
        <w:tc>
          <w:tcPr>
            <w:tcW w:type="dxa" w:w="9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B8540A"/>
                <w:sz w:val="18"/>
                <w:szCs w:val="18"/>
              </w:rPr>
              <w:t xml:space="preserve">0.5 hrs/job
per env</w:t>
            </w:r>
          </w:p>
        </w:tc>
      </w:tr>
      <w:tr>
        <w:tc>
          <w:tcPr>
            <w:tcW w:type="dxa" w:w="16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SSRS
Reporting</w:t>
            </w:r>
          </w:p>
        </w:tc>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196419"/>
                <w:sz w:val="18"/>
                <w:szCs w:val="18"/>
              </w:rPr>
              <w:t xml:space="preserve">EC2 SSRS or QuickSight/Power BI built against Dev RDS. Dev report validation by BI developer.</w:t>
            </w:r>
          </w:p>
        </w:tc>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2E75B6"/>
                <w:sz w:val="18"/>
                <w:szCs w:val="18"/>
              </w:rPr>
              <w:t xml:space="preserve">Test reports validated against Test RDS. Report output compared to on-prem baseline.</w:t>
            </w:r>
          </w:p>
        </w:tc>
        <w:tc>
          <w:tcPr>
            <w:tcW w:type="dxa" w:w="2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color w:val="B8540A"/>
                <w:sz w:val="18"/>
                <w:szCs w:val="18"/>
              </w:rPr>
              <w:t xml:space="preserve">Production connection repointed (EC2) or Production dataset activated (QuickSight/Power BI).</w:t>
            </w:r>
          </w:p>
        </w:tc>
        <w:tc>
          <w:tcPr>
            <w:tcW w:type="dxa" w:w="9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B8540A"/>
                <w:sz w:val="18"/>
                <w:szCs w:val="18"/>
              </w:rPr>
              <w:t xml:space="preserve">Dev 40%
Test 40%
Prod 20%</w:t>
            </w:r>
          </w:p>
        </w:tc>
      </w:tr>
      <w:tr>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Infrastructure
(RDS + CDK)</w:t>
            </w:r>
          </w:p>
        </w:tc>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196419"/>
                <w:sz w:val="18"/>
                <w:szCs w:val="18"/>
              </w:rPr>
              <w:t xml:space="preserve">Dev RDS provisioned: db.r5.large Single-AZ. Dev Glue IAM roles, S3 dev bucket, DMS dev task.</w:t>
            </w:r>
          </w:p>
        </w:tc>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2E75B6"/>
                <w:sz w:val="18"/>
                <w:szCs w:val="18"/>
              </w:rPr>
              <w:t xml:space="preserve">Test RDS provisioned: db.r5.xlarge Single-AZ. Test Glue jobs, Test DMS task, Test Secrets Manager.</w:t>
            </w:r>
          </w:p>
        </w:tc>
        <w:tc>
          <w:tcPr>
            <w:tcW w:type="dxa" w:w="2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color w:val="B8540A"/>
                <w:sz w:val="18"/>
                <w:szCs w:val="18"/>
              </w:rPr>
              <w:t xml:space="preserve">Prod RDS provisioned: db.r6i.2xlarge+ Multi-AZ. Prod Glue, Prod DMS, CloudWatch alarms, AWS Backup.</w:t>
            </w:r>
          </w:p>
        </w:tc>
        <w:tc>
          <w:tcPr>
            <w:tcW w:type="dxa" w:w="9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B8540A"/>
                <w:sz w:val="18"/>
                <w:szCs w:val="18"/>
              </w:rPr>
              <w:t xml:space="preserve">Infra per env</w:t>
            </w:r>
          </w:p>
        </w:tc>
      </w:tr>
    </w:tbl>
    <w:p>
      <w:pPr>
        <w:spacing w:after="60" w:before="60"/>
      </w:pPr>
      <w:r>
        <w:t xml:space="preserve"/>
      </w:r>
    </w:p>
    <w:p>
      <w:pPr>
        <w:spacing w:after="80" w:before="60"/>
      </w:pPr>
      <w:r>
        <w:rPr>
          <w:rFonts w:ascii="Arial" w:cs="Arial" w:eastAsia="Arial" w:hAnsi="Arial"/>
          <w:sz w:val="20"/>
          <w:szCs w:val="20"/>
        </w:rPr>
        <w:t xml:space="preserve">Environment effort weighting is applied automatically in the effort calculator. Dev carries the highest ETL effort (GHCP code generation, unit testing); Test carries the validation and integration effort; Production is lightest as all artefacts are promoted from Test with minimal rework.</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C00000" w:val="clear"/>
            <w:tcMar>
              <w:top w:type="dxa" w:w="100"/>
              <w:left w:type="dxa" w:w="200"/>
              <w:bottom w:type="dxa" w:w="100"/>
              <w:right w:type="dxa" w:w="200"/>
            </w:tcMar>
          </w:tcPr>
          <w:p>
            <w:r>
              <w:rPr>
                <w:rFonts w:ascii="Arial" w:cs="Arial" w:eastAsia="Arial" w:hAnsi="Arial"/>
                <w:b/>
                <w:bCs/>
                <w:color w:val="FFFFFF"/>
                <w:sz w:val="24"/>
                <w:szCs w:val="24"/>
              </w:rPr>
              <w:t xml:space="preserve">INFORMATICA — EFFORT BY JOB COUNT (per environment)</w:t>
            </w:r>
          </w:p>
        </w:tc>
      </w:tr>
    </w:tbl>
    <w:p>
      <w:pPr>
        <w:spacing w:after="60" w:before="60"/>
      </w:pPr>
      <w:r>
        <w:t xml:space="preserve"/>
      </w:r>
    </w:p>
    <w:p>
      <w:pPr>
        <w:spacing w:after="80" w:before="60"/>
      </w:pPr>
      <w:r>
        <w:rPr>
          <w:rFonts w:ascii="Arial" w:cs="Arial" w:eastAsia="Arial" w:hAnsi="Arial"/>
          <w:sz w:val="20"/>
          <w:szCs w:val="20"/>
        </w:rPr>
        <w:t xml:space="preserve">Informatica PowerCenter workflows are not migrated or rewritten. The effort is entirely in updating JDBC connection objects within existing Informatica jobs to point at the new RDS endpoint — across all three environments. This is a configuration-only change, but the volume of jobs per application drives the total effort.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1560"/>
        <w:gridCol w:w="1560"/>
        <w:gridCol w:w="1560"/>
      </w:tblGrid>
      <w:tr>
        <w:tc>
          <w:tcPr>
            <w:tcW w:type="dxa" w:w="312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Effort Driver</w:t>
            </w:r>
          </w:p>
        </w:tc>
        <w:tc>
          <w:tcPr>
            <w:tcW w:type="dxa" w:w="1560"/>
            <w:gridSpan w:val="1"/>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Dev</w:t>
            </w:r>
          </w:p>
        </w:tc>
        <w:tc>
          <w:tcPr>
            <w:tcW w:type="dxa" w:w="156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Test</w:t>
            </w:r>
          </w:p>
        </w:tc>
        <w:tc>
          <w:tcPr>
            <w:tcW w:type="dxa" w:w="1560"/>
            <w:gridSpan w:val="1"/>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Production</w:t>
            </w:r>
          </w:p>
        </w:tc>
        <w:tc>
          <w:tcPr>
            <w:tcW w:type="dxa" w:w="15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Total per Job</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1F3864"/>
                <w:sz w:val="18"/>
                <w:szCs w:val="18"/>
              </w:rPr>
              <w:t xml:space="preserve">JDBC connection string update (per Informatica job)</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0.5 hrs</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0.5 hrs</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0.5 hrs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F3864"/>
                <w:sz w:val="18"/>
                <w:szCs w:val="18"/>
              </w:rPr>
              <w:t xml:space="preserve">1.5 hrs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F3864"/>
                <w:sz w:val="18"/>
                <w:szCs w:val="18"/>
              </w:rPr>
              <w:t xml:space="preserve">Informatica session test (per job per env)</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0.25 hrs</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0.25 hrs</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0.25 hrs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F3864"/>
                <w:sz w:val="18"/>
                <w:szCs w:val="18"/>
              </w:rPr>
              <w:t xml:space="preserve">0.75 hrs</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C00000"/>
                <w:sz w:val="18"/>
                <w:szCs w:val="18"/>
              </w:rPr>
              <w:t xml:space="preserve">Total effort per Informatica job (all envs)</w:t>
            </w:r>
          </w:p>
        </w:tc>
        <w:tc>
          <w:tcPr>
            <w:tcW w:type="dxa" w:w="1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196419"/>
                <w:sz w:val="18"/>
                <w:szCs w:val="18"/>
              </w:rPr>
              <w:t xml:space="preserve">0.75 hrs</w:t>
            </w:r>
          </w:p>
        </w:tc>
        <w:tc>
          <w:tcPr>
            <w:tcW w:type="dxa" w:w="1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196419"/>
                <w:sz w:val="18"/>
                <w:szCs w:val="18"/>
              </w:rPr>
              <w:t xml:space="preserve">0.75 hrs</w:t>
            </w:r>
          </w:p>
        </w:tc>
        <w:tc>
          <w:tcPr>
            <w:tcW w:type="dxa" w:w="1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196419"/>
                <w:sz w:val="18"/>
                <w:szCs w:val="18"/>
              </w:rPr>
              <w:t xml:space="preserve">0.75 hrs</w:t>
            </w:r>
          </w:p>
        </w:tc>
        <w:tc>
          <w:tcPr>
            <w:tcW w:type="dxa" w:w="15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color w:val="C00000"/>
                <w:sz w:val="18"/>
                <w:szCs w:val="18"/>
              </w:rPr>
              <w:t xml:space="preserve">2.25 hrs</w:t>
            </w:r>
          </w:p>
        </w:tc>
      </w:tr>
      <w:tr>
        <w:tc>
          <w:tcPr>
            <w:tcW w:type="dxa" w:w="312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color w:val="1F3864"/>
                <w:sz w:val="18"/>
                <w:szCs w:val="18"/>
              </w:rPr>
              <w:t xml:space="preserve">Managed by</w:t>
            </w:r>
          </w:p>
        </w:tc>
        <w:tc>
          <w:tcPr>
            <w:tcW w:type="dxa" w:w="15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Informatica Team</w:t>
            </w:r>
          </w:p>
        </w:tc>
        <w:tc>
          <w:tcPr>
            <w:tcW w:type="dxa" w:w="15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Informatica Team</w:t>
            </w:r>
          </w:p>
        </w:tc>
        <w:tc>
          <w:tcPr>
            <w:tcW w:type="dxa" w:w="15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Informatica Team</w:t>
            </w:r>
          </w:p>
        </w:tc>
        <w:tc>
          <w:tcPr>
            <w:tcW w:type="dxa" w:w="15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val="false"/>
                <w:bCs w:val="false"/>
                <w:color w:val="1F3864"/>
                <w:sz w:val="18"/>
                <w:szCs w:val="18"/>
              </w:rPr>
              <w:t xml:space="preserve">—</w:t>
            </w:r>
          </w:p>
        </w:tc>
      </w:tr>
    </w:tbl>
    <w:p>
      <w:pPr>
        <w:spacing w:after="60" w:before="60"/>
      </w:pPr>
      <w:r>
        <w:t xml:space="preserve"/>
      </w:r>
    </w:p>
    <w:p>
      <w:pPr>
        <w:pBdr>
          <w:left w:val="thick" w:color="C00000" w:sz="12"/>
        </w:pBdr>
        <w:shd w:fill="FCE4D6" w:val="clear"/>
        <w:spacing w:after="120" w:before="120"/>
        <w:ind w:left="360"/>
      </w:pPr>
      <w:r>
        <w:rPr>
          <w:rFonts w:ascii="Arial" w:cs="Arial" w:eastAsia="Arial" w:hAnsi="Arial"/>
          <w:sz w:val="20"/>
          <w:szCs w:val="20"/>
        </w:rPr>
        <w:t xml:space="preserve">SME Action: Application SMEs enter the Informatica job count (connecting to their database) in the SME Input Sheet. The effort calculator automatically computes total Informatica effort = Job Count × 2.25 hours (across all three environments). This appears as a separate row in the application effort breakdown.</w:t>
      </w:r>
    </w:p>
    <w:p>
      <w:pPr>
        <w:spacing w:after="60" w:before="60"/>
      </w:pPr>
      <w:r>
        <w:t xml:space="preserve"/>
      </w:r>
    </w:p>
    <w:p>
      <w:pPr>
        <w:pStyle w:val="ListParagraph"/>
        <w:numPr>
          <w:ilvl w:val="0"/>
          <w:numId w:val="2"/>
        </w:numPr>
        <w:spacing w:after="40" w:before="40"/>
      </w:pPr>
      <w:r>
        <w:rPr>
          <w:rFonts w:ascii="Arial" w:cs="Arial" w:eastAsia="Arial" w:hAnsi="Arial"/>
          <w:sz w:val="20"/>
          <w:szCs w:val="20"/>
        </w:rPr>
        <w:t xml:space="preserve">Informatica team provides job count per application to SMEs during Phase 0 assessment</w:t>
      </w:r>
    </w:p>
    <w:p>
      <w:pPr>
        <w:pStyle w:val="ListParagraph"/>
        <w:numPr>
          <w:ilvl w:val="0"/>
          <w:numId w:val="2"/>
        </w:numPr>
        <w:spacing w:after="40" w:before="40"/>
      </w:pPr>
      <w:r>
        <w:rPr>
          <w:rFonts w:ascii="Arial" w:cs="Arial" w:eastAsia="Arial" w:hAnsi="Arial"/>
          <w:sz w:val="20"/>
          <w:szCs w:val="20"/>
        </w:rPr>
        <w:t xml:space="preserve">JDBC update is scripted (PowerShell or Informatica CLI) to reduce per-job effort where volume is high</w:t>
      </w:r>
    </w:p>
    <w:p>
      <w:pPr>
        <w:pStyle w:val="ListParagraph"/>
        <w:numPr>
          <w:ilvl w:val="0"/>
          <w:numId w:val="2"/>
        </w:numPr>
        <w:spacing w:after="40" w:before="40"/>
      </w:pPr>
      <w:r>
        <w:rPr>
          <w:rFonts w:ascii="Arial" w:cs="Arial" w:eastAsia="Arial" w:hAnsi="Arial"/>
          <w:sz w:val="20"/>
          <w:szCs w:val="20"/>
        </w:rPr>
        <w:t xml:space="preserve">Dev and Test JDBC updates happen during wave migration; Production update happens at cutover</w:t>
      </w:r>
    </w:p>
    <w:p>
      <w:pPr>
        <w:pStyle w:val="ListParagraph"/>
        <w:numPr>
          <w:ilvl w:val="0"/>
          <w:numId w:val="2"/>
        </w:numPr>
        <w:spacing w:after="40" w:before="40"/>
      </w:pPr>
      <w:r>
        <w:rPr>
          <w:rFonts w:ascii="Arial" w:cs="Arial" w:eastAsia="Arial" w:hAnsi="Arial"/>
          <w:sz w:val="20"/>
          <w:szCs w:val="20"/>
        </w:rPr>
        <w:t xml:space="preserve">Informatica connectivity test is mandatory UAT exit criterion for each wave and each environment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7030A0" w:val="clear"/>
            <w:tcMar>
              <w:top w:type="dxa" w:w="100"/>
              <w:left w:type="dxa" w:w="200"/>
              <w:bottom w:type="dxa" w:w="100"/>
              <w:right w:type="dxa" w:w="200"/>
            </w:tcMar>
          </w:tcPr>
          <w:p>
            <w:r>
              <w:rPr>
                <w:rFonts w:ascii="Arial" w:cs="Arial" w:eastAsia="Arial" w:hAnsi="Arial"/>
                <w:b/>
                <w:bCs/>
                <w:color w:val="FFFFFF"/>
                <w:sz w:val="24"/>
                <w:szCs w:val="24"/>
              </w:rPr>
              <w:t xml:space="preserve">5.7  SQL SERVER REPLICATION HANDLING</w:t>
            </w:r>
          </w:p>
        </w:tc>
      </w:tr>
    </w:tbl>
    <w:p>
      <w:pPr>
        <w:spacing w:after="60" w:before="60"/>
      </w:pPr>
      <w:r>
        <w:t xml:space="preserve"/>
      </w:r>
    </w:p>
    <w:p>
      <w:pPr>
        <w:spacing w:after="80" w:before="60"/>
      </w:pPr>
      <w:r>
        <w:rPr>
          <w:rFonts w:ascii="Arial" w:cs="Arial" w:eastAsia="Arial" w:hAnsi="Arial"/>
          <w:sz w:val="20"/>
          <w:szCs w:val="20"/>
        </w:rPr>
        <w:t xml:space="preserve">Several on-premises applications use SQL Server Replication (Transactional, Merge, or Snapshot) to distribute data between databases or to downstream consumers. Amazon RDS for SQL Server supports SQL Server replication; however, the migration requires a deliberate assessment and handling strategy per replication topology. This section defines how replication is inventoried, migrated, and — where necessary — replaced.</w:t>
      </w:r>
    </w:p>
    <w:p>
      <w:pPr>
        <w:spacing w:after="60" w:before="60"/>
      </w:pPr>
      <w:r>
        <w:t xml:space="preserve"/>
      </w:r>
    </w:p>
    <w:p>
      <w:pPr>
        <w:pBdr>
          <w:left w:val="thick" w:color="C00000" w:sz="12"/>
        </w:pBdr>
        <w:shd w:fill="FCE4D6" w:val="clear"/>
        <w:spacing w:after="120" w:before="120"/>
        <w:ind w:left="360"/>
      </w:pPr>
      <w:r>
        <w:rPr>
          <w:rFonts w:ascii="Arial" w:cs="Arial" w:eastAsia="Arial" w:hAnsi="Arial"/>
          <w:sz w:val="20"/>
          <w:szCs w:val="20"/>
        </w:rPr>
        <w:t xml:space="preserve">Replication Inventory: Application SMEs enter replication article counts and replication type (Transactional / Merge / Snapshot / None) in the SME Input Sheet. The effort calculator derives replication assessment and reconfiguration effort automatically. All replication topologies must be resolved before production cutover.</w:t>
      </w:r>
    </w:p>
    <w:p>
      <w:pPr>
        <w:spacing w:after="60" w:before="60"/>
      </w:pPr>
      <w:r>
        <w:t xml:space="preserve"/>
      </w:r>
    </w:p>
    <w:p>
      <w:pPr>
        <w:spacing w:after="80" w:before="60"/>
      </w:pPr>
      <w:r>
        <w:rPr>
          <w:rFonts w:ascii="Arial" w:cs="Arial" w:eastAsia="Arial" w:hAnsi="Arial"/>
          <w:sz w:val="20"/>
          <w:szCs w:val="20"/>
        </w:rPr>
        <w:t xml:space="preserve">5.7.1  What Amazon RDS SQL Server Supports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360"/>
      </w:tblGrid>
      <w:tr>
        <w:tc>
          <w:tcPr>
            <w:tcW w:type="dxa" w:w="22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Replication Type</w:t>
            </w:r>
          </w:p>
        </w:tc>
        <w:tc>
          <w:tcPr>
            <w:tcW w:type="dxa" w:w="24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RDS Support</w:t>
            </w:r>
          </w:p>
        </w:tc>
        <w:tc>
          <w:tcPr>
            <w:tcW w:type="dxa" w:w="24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Constraints on RDS</w:t>
            </w:r>
          </w:p>
        </w:tc>
        <w:tc>
          <w:tcPr>
            <w:tcW w:type="dxa" w:w="23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Migration Action</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Transactional
Replication</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Supported (Publisher,
Distributor, Subscriber)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Distributor must be on the same RDS instance or another RDS instance (not on-prem once migrated). RDS cannot be a Distributor to an on-prem Subscriber long-term.</w:t>
            </w:r>
          </w:p>
        </w:tc>
        <w:tc>
          <w:tcPr>
            <w:tcW w:type="dxa" w:w="2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196419"/>
                <w:sz w:val="18"/>
                <w:szCs w:val="18"/>
              </w:rPr>
              <w:t xml:space="preserve">Migrate publisher DB to RDS; reconfigure distributor on RDS. Subscribers migrated in same wave or next wave.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Snapshot
Replication</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Supported (as Publisher
and Subscriber)</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Snapshot folder must use S3 via mapped drive or RDS working directory. Standard snapshot agent applies.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96419"/>
                <w:sz w:val="18"/>
                <w:szCs w:val="18"/>
              </w:rPr>
              <w:t xml:space="preserve">Reconfigure snapshot folder path post-restore. Test snapshot generation on RDS before cutover.</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Merge
Replication</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Supported (Publisher
and Subscriber)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Merge replication with internet subscribers requires additional port configuration via VPC security groups.</w:t>
            </w:r>
          </w:p>
        </w:tc>
        <w:tc>
          <w:tcPr>
            <w:tcW w:type="dxa" w:w="2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196419"/>
                <w:sz w:val="18"/>
                <w:szCs w:val="18"/>
              </w:rPr>
              <w:t xml:space="preserve">Reconfigure merge replication topology post-restore. Internet subscriber security groups reviewed.</w:t>
            </w:r>
          </w:p>
        </w:tc>
      </w:tr>
      <w:tr>
        <w:tc>
          <w:tcPr>
            <w:tcW w:type="dxa" w:w="2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left"/>
            </w:pPr>
            <w:r>
              <w:rPr>
                <w:rFonts w:ascii="Arial" w:cs="Arial" w:eastAsia="Arial" w:hAnsi="Arial"/>
                <w:b/>
                <w:bCs/>
                <w:color w:val="C00000"/>
                <w:sz w:val="18"/>
                <w:szCs w:val="18"/>
              </w:rPr>
              <w:t xml:space="preserve">Peer-to-Peer
Replication</w:t>
            </w:r>
          </w:p>
        </w:tc>
        <w:tc>
          <w:tcPr>
            <w:tcW w:type="dxa" w:w="2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color w:val="C00000"/>
                <w:sz w:val="18"/>
                <w:szCs w:val="18"/>
              </w:rPr>
              <w:t xml:space="preserve">Not supported on RDS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Peer-to-peer requires multiple publishers; RDS does not support this topology.</w:t>
            </w:r>
          </w:p>
        </w:tc>
        <w:tc>
          <w:tcPr>
            <w:tcW w:type="dxa" w:w="23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color w:val="C00000"/>
                <w:sz w:val="18"/>
                <w:szCs w:val="18"/>
              </w:rPr>
              <w:t xml:space="preserve">Replace with Always On AG or application-layer conflict resolution. Architect sign-off required.</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Custom CDC
(manual replication)</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Supported (DMS CDC
or SQL Server CDC)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SQL Server CDC can be enabled on RDS. DMS can use it as a CDC source for downstream targets.</w:t>
            </w:r>
          </w:p>
        </w:tc>
        <w:tc>
          <w:tcPr>
            <w:tcW w:type="dxa" w:w="2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196419"/>
                <w:sz w:val="18"/>
                <w:szCs w:val="18"/>
              </w:rPr>
              <w:t xml:space="preserve">Enable SQL Server CDC on RDS post-restore. Validate downstream consumers.</w:t>
            </w:r>
          </w:p>
        </w:tc>
      </w:tr>
    </w:tbl>
    <w:p>
      <w:pPr>
        <w:spacing w:after="60" w:before="60"/>
      </w:pPr>
      <w:r>
        <w:t xml:space="preserve"/>
      </w:r>
    </w:p>
    <w:p>
      <w:pPr>
        <w:spacing w:after="80" w:before="60"/>
      </w:pPr>
      <w:r>
        <w:rPr>
          <w:rFonts w:ascii="Arial" w:cs="Arial" w:eastAsia="Arial" w:hAnsi="Arial"/>
          <w:sz w:val="20"/>
          <w:szCs w:val="20"/>
        </w:rPr>
        <w:t xml:space="preserve">5.7.2  Replication Migration Approach — Per Wave</w:t>
      </w:r>
    </w:p>
    <w:p>
      <w:pPr>
        <w:spacing w:after="60" w:before="60"/>
      </w:pPr>
      <w:r>
        <w:t xml:space="preserve"/>
      </w:r>
    </w:p>
    <w:p>
      <w:pPr>
        <w:spacing w:after="80" w:before="60"/>
      </w:pPr>
      <w:r>
        <w:rPr>
          <w:rFonts w:ascii="Arial" w:cs="Arial" w:eastAsia="Arial" w:hAnsi="Arial"/>
          <w:sz w:val="20"/>
          <w:szCs w:val="20"/>
        </w:rPr>
        <w:t xml:space="preserve">Replication topology migration follows a structured four-step process per application, executed within the wave plan alongside the database backup/restore: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500"/>
        <w:gridCol w:w="3200"/>
        <w:gridCol w:w="2860"/>
      </w:tblGrid>
      <w:tr>
        <w:tc>
          <w:tcPr>
            <w:tcW w:type="dxa" w:w="8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Step</w:t>
            </w:r>
          </w:p>
        </w:tc>
        <w:tc>
          <w:tcPr>
            <w:tcW w:type="dxa" w:w="25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Activity</w:t>
            </w:r>
          </w:p>
        </w:tc>
        <w:tc>
          <w:tcPr>
            <w:tcW w:type="dxa" w:w="32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Detail</w:t>
            </w:r>
          </w:p>
        </w:tc>
        <w:tc>
          <w:tcPr>
            <w:tcW w:type="dxa" w:w="28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Owner</w:t>
            </w:r>
          </w:p>
        </w:tc>
      </w:tr>
      <w:tr>
        <w:tc>
          <w:tcPr>
            <w:tcW w:type="dxa" w:w="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2E75B6"/>
                <w:sz w:val="18"/>
                <w:szCs w:val="18"/>
              </w:rPr>
              <w:t xml:space="preserve">1</w:t>
            </w:r>
          </w:p>
        </w:tc>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Phase 0: Replication Inventory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SMEs enter article counts and type in the effort estimator. DBA runs sp_helppublication and sp_helpsubscription to generate full topology map per application. Distributor dependencies documented.</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5B6"/>
                <w:sz w:val="18"/>
                <w:szCs w:val="18"/>
              </w:rPr>
              <w:t xml:space="preserve">DBA + App SME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5B6"/>
                <w:sz w:val="18"/>
                <w:szCs w:val="18"/>
              </w:rPr>
              <w:t xml:space="preserve">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Pre-Migration: Snapshot &amp; Quiesce</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Before taking the migration backup, run a final snapshot (Snapshot replication) or flush all pending transactions (Transactional). Quiesce replication agents to ensure backup is consistent with replication state.</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E75B6"/>
                <w:sz w:val="18"/>
                <w:szCs w:val="18"/>
              </w:rPr>
              <w:t xml:space="preserve">DBA</w:t>
            </w:r>
          </w:p>
        </w:tc>
      </w:tr>
      <w:tr>
        <w:tc>
          <w:tcPr>
            <w:tcW w:type="dxa" w:w="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2E75B6"/>
                <w:sz w:val="18"/>
                <w:szCs w:val="18"/>
              </w:rPr>
              <w:t xml:space="preserve">3</w:t>
            </w:r>
          </w:p>
        </w:tc>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Post-Restore (Dev/Test): Reconfigure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After restore to Dev RDS: reconfigure distributor on RDS; update publication server names; reconfigure snapshot folder to RDS-compatible path (S3 or local). Run sp_addpublisher and sp_addsubscription against new RDS endpoints. Validate in Dev, then repeat for Test.</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5B6"/>
                <w:sz w:val="18"/>
                <w:szCs w:val="18"/>
              </w:rPr>
              <w:t xml:space="preserve">DBA</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5B6"/>
                <w:sz w:val="18"/>
                <w:szCs w:val="18"/>
              </w:rPr>
              <w:t xml:space="preserve">4</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Production Cutover: Activate &amp; Validate</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At production cutover: activate replication agents on Prod RDS. Validate all subscribers receiving data. Monitor replication latency via sys.dm_replication_stats. Confirm with downstream consumers before go-live sign-off.</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E75B6"/>
                <w:sz w:val="18"/>
                <w:szCs w:val="18"/>
              </w:rPr>
              <w:t xml:space="preserve">DBA + App Owner</w:t>
            </w:r>
          </w:p>
        </w:tc>
      </w:tr>
    </w:tbl>
    <w:p>
      <w:pPr>
        <w:spacing w:after="60" w:before="60"/>
      </w:pPr>
      <w:r>
        <w:t xml:space="preserve"/>
      </w:r>
    </w:p>
    <w:p>
      <w:pPr>
        <w:spacing w:after="80" w:before="60"/>
      </w:pPr>
      <w:r>
        <w:rPr>
          <w:rFonts w:ascii="Arial" w:cs="Arial" w:eastAsia="Arial" w:hAnsi="Arial"/>
          <w:sz w:val="20"/>
          <w:szCs w:val="20"/>
        </w:rPr>
        <w:t xml:space="preserve">5.7.3  Replication Across Dev → Test → Production Environments</w:t>
      </w:r>
    </w:p>
    <w:p>
      <w:pPr>
        <w:spacing w:after="60" w:before="60"/>
      </w:pPr>
      <w:r>
        <w:t xml:space="preserve"/>
      </w:r>
    </w:p>
    <w:p>
      <w:pPr>
        <w:pBdr>
          <w:left w:val="thick" w:color="2E75B6" w:sz="12"/>
        </w:pBdr>
        <w:shd w:fill="D6E4F0" w:val="clear"/>
        <w:spacing w:after="120" w:before="120"/>
        <w:ind w:left="360"/>
      </w:pPr>
      <w:r>
        <w:rPr>
          <w:rFonts w:ascii="Arial" w:cs="Arial" w:eastAsia="Arial" w:hAnsi="Arial"/>
          <w:sz w:val="20"/>
          <w:szCs w:val="20"/>
        </w:rPr>
        <w:t xml:space="preserve">Key Principle: Replication is not active between environments. Dev RDS, Test RDS, and Production RDS each have independent, self-contained replication topologies. There is no cross-environment replication. Each environment's replication configuration is set up independently post-restore.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400"/>
        <w:gridCol w:w="2960"/>
      </w:tblGrid>
      <w:tr>
        <w:tc>
          <w:tcPr>
            <w:tcW w:type="dxa" w:w="16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Environment</w:t>
            </w:r>
          </w:p>
        </w:tc>
        <w:tc>
          <w:tcPr>
            <w:tcW w:type="dxa" w:w="24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Replication Status</w:t>
            </w:r>
          </w:p>
        </w:tc>
        <w:tc>
          <w:tcPr>
            <w:tcW w:type="dxa" w:w="24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Configuration Action</w:t>
            </w:r>
          </w:p>
        </w:tc>
        <w:tc>
          <w:tcPr>
            <w:tcW w:type="dxa" w:w="29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Validation</w:t>
            </w:r>
          </w:p>
        </w:tc>
      </w:tr>
      <w:tr>
        <w:tc>
          <w:tcPr>
            <w:tcW w:type="dxa" w:w="160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Development
(Dev RDS)</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Configured for developer testing only. Subscribers are Dev instances of downstream systems.</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Reconfigure distributor on Dev RDS. Point subscribers to Dev endpoints. Validate sp_helpdistributor output.</w:t>
            </w:r>
          </w:p>
        </w:tc>
        <w:tc>
          <w:tcPr>
            <w:tcW w:type="dxa" w:w="29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196419"/>
                <w:sz w:val="18"/>
                <w:szCs w:val="18"/>
              </w:rPr>
              <w:t xml:space="preserve">DBA confirms replication agents running. Dev team validates data flowing to Dev subscribers.</w:t>
            </w:r>
          </w:p>
        </w:tc>
      </w:tr>
      <w:tr>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Test / UAT
(Test RDS)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Full replication topology mirroring production (with Test subscriber endpoints). Used for UAT and performance testing.</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Reconfigure distributor on Test RDS. Update subscriber connection strings to Test endpoints. Run agent jobs.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96419"/>
                <w:sz w:val="18"/>
                <w:szCs w:val="18"/>
              </w:rPr>
              <w:t xml:space="preserve">App team confirms subscriber data is current during UAT. Replication latency measured vs. on-prem baseline.</w:t>
            </w:r>
          </w:p>
        </w:tc>
      </w:tr>
      <w:tr>
        <w:tc>
          <w:tcPr>
            <w:tcW w:type="dxa" w:w="16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Production
(Prod RDS)</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Full production replication topology. Activated at cutover after go/no-go sign-off.</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Activate replication agents post-cutover. DNS/Secrets Manager updated for subscriber connection strings.</w:t>
            </w:r>
          </w:p>
        </w:tc>
        <w:tc>
          <w:tcPr>
            <w:tcW w:type="dxa" w:w="29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196419"/>
                <w:sz w:val="18"/>
                <w:szCs w:val="18"/>
              </w:rPr>
              <w:t xml:space="preserve">Monitor sys.dm_replication_stats for 24 hours post-cutover. Latency alert threshold: 60 seconds.</w:t>
            </w:r>
          </w:p>
        </w:tc>
      </w:tr>
    </w:tbl>
    <w:p>
      <w:pPr>
        <w:spacing w:after="60" w:before="60"/>
      </w:pPr>
      <w:r>
        <w:t xml:space="preserve"/>
      </w:r>
    </w:p>
    <w:p>
      <w:pPr>
        <w:spacing w:after="80" w:before="60"/>
      </w:pPr>
      <w:r>
        <w:rPr>
          <w:rFonts w:ascii="Arial" w:cs="Arial" w:eastAsia="Arial" w:hAnsi="Arial"/>
          <w:sz w:val="20"/>
          <w:szCs w:val="20"/>
        </w:rPr>
        <w:t xml:space="preserve">5.7.4  Peer-to-Peer Replication Replacement Strategy</w:t>
      </w:r>
    </w:p>
    <w:p>
      <w:pPr>
        <w:spacing w:after="60" w:before="60"/>
      </w:pPr>
      <w:r>
        <w:t xml:space="preserve"/>
      </w:r>
    </w:p>
    <w:p>
      <w:pPr>
        <w:spacing w:after="80" w:before="60"/>
      </w:pPr>
      <w:r>
        <w:rPr>
          <w:rFonts w:ascii="Arial" w:cs="Arial" w:eastAsia="Arial" w:hAnsi="Arial"/>
          <w:sz w:val="20"/>
          <w:szCs w:val="20"/>
        </w:rPr>
        <w:t xml:space="preserve">Any application using Peer-to-Peer (P2P) replication cannot be migrated to RDS as-is since P2P requires multiple publisher instances which RDS does not support. The following replacement patterns apply: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P2P Use Case</w:t>
            </w:r>
          </w:p>
        </w:tc>
        <w:tc>
          <w:tcPr>
            <w:tcW w:type="dxa" w:w="3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AWS Replacement Pattern</w:t>
            </w:r>
          </w:p>
        </w:tc>
        <w:tc>
          <w:tcPr>
            <w:tcW w:type="dxa" w:w="38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Notes</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Multi-region read scale-out</w:t>
            </w:r>
          </w:p>
        </w:tc>
        <w:tc>
          <w:tcPr>
            <w:tcW w:type="dxa" w:w="3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196419"/>
                <w:sz w:val="18"/>
                <w:szCs w:val="18"/>
              </w:rPr>
              <w:t xml:space="preserve">RDS Read Replica (same region) or Cross-Region Read Replica</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Async replication; lag typically &lt;1 second within same region. Connects with standard read connection.</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High-availability failover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96419"/>
                <w:sz w:val="18"/>
                <w:szCs w:val="18"/>
              </w:rPr>
              <w:t xml:space="preserve">RDS Multi-AZ (synchronous, automatic failover)</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Multi-AZ is already standard for Prod RDS. Eliminates the HA use case for P2P entirely.</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Conflict-based sync between peers</w:t>
            </w:r>
          </w:p>
        </w:tc>
        <w:tc>
          <w:tcPr>
            <w:tcW w:type="dxa" w:w="3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196419"/>
                <w:sz w:val="18"/>
                <w:szCs w:val="18"/>
              </w:rPr>
              <w:t xml:space="preserve">Application-layer conflict resolution or AWS AppSync</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Requires application code change. Architect assesses per application. Effort flagged in risk register.</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Reporting/analytics offload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96419"/>
                <w:sz w:val="18"/>
                <w:szCs w:val="18"/>
              </w:rPr>
              <w:t xml:space="preserve">RDS Read Replica or S3 + Athena (Glue ETL)</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Read replica handles SSRS/Power BI reporting load. S3+Athena for large analytical queries.</w:t>
            </w:r>
          </w:p>
        </w:tc>
      </w:tr>
    </w:tbl>
    <w:p>
      <w:pPr>
        <w:spacing w:after="60" w:before="60"/>
      </w:pPr>
      <w:r>
        <w:t xml:space="preserve"/>
      </w:r>
    </w:p>
    <w:p>
      <w:pPr>
        <w:spacing w:after="80" w:before="60"/>
      </w:pPr>
      <w:r>
        <w:rPr>
          <w:rFonts w:ascii="Arial" w:cs="Arial" w:eastAsia="Arial" w:hAnsi="Arial"/>
          <w:sz w:val="20"/>
          <w:szCs w:val="20"/>
        </w:rPr>
        <w:t xml:space="preserve">5.7.5  Replication Assessment &amp; Reconfiguration Effort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60"/>
        <w:gridCol w:w="1560"/>
        <w:gridCol w:w="1560"/>
        <w:gridCol w:w="2680"/>
      </w:tblGrid>
      <w:tr>
        <w:tc>
          <w:tcPr>
            <w:tcW w:type="dxa" w:w="3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Effort Activity</w:t>
            </w:r>
          </w:p>
        </w:tc>
        <w:tc>
          <w:tcPr>
            <w:tcW w:type="dxa" w:w="1560"/>
            <w:gridSpan w:val="1"/>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Dev</w:t>
            </w:r>
          </w:p>
        </w:tc>
        <w:tc>
          <w:tcPr>
            <w:tcW w:type="dxa" w:w="156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Test</w:t>
            </w:r>
          </w:p>
        </w:tc>
        <w:tc>
          <w:tcPr>
            <w:tcW w:type="dxa" w:w="1560"/>
            <w:gridSpan w:val="1"/>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Prod</w:t>
            </w:r>
          </w:p>
        </w:tc>
        <w:tc>
          <w:tcPr>
            <w:tcW w:type="dxa" w:w="268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Notes</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Replication inventory (per app)</w:t>
            </w:r>
          </w:p>
        </w:tc>
        <w:tc>
          <w:tcPr>
            <w:tcW w:type="dxa" w:w="1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196419"/>
                <w:sz w:val="18"/>
                <w:szCs w:val="18"/>
              </w:rPr>
              <w:t xml:space="preserve">2 hrs</w:t>
            </w:r>
          </w:p>
        </w:tc>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2E75B6"/>
                <w:sz w:val="18"/>
                <w:szCs w:val="18"/>
              </w:rPr>
              <w:t xml:space="preserve">0 hrs</w:t>
            </w:r>
          </w:p>
        </w:tc>
        <w:tc>
          <w:tcPr>
            <w:tcW w:type="dxa" w:w="15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color w:val="C00000"/>
                <w:sz w:val="18"/>
                <w:szCs w:val="18"/>
              </w:rPr>
              <w:t xml:space="preserve">0 hrs</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95959"/>
                <w:sz w:val="18"/>
                <w:szCs w:val="18"/>
              </w:rPr>
              <w:t xml:space="preserve">Phase 0 one-time; DBA runs sp_help* scripts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Distributor reconfiguration (per app)</w:t>
            </w:r>
          </w:p>
        </w:tc>
        <w:tc>
          <w:tcPr>
            <w:tcW w:type="dxa" w:w="1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196419"/>
                <w:sz w:val="18"/>
                <w:szCs w:val="18"/>
              </w:rPr>
              <w:t xml:space="preserve">2 hrs</w:t>
            </w:r>
          </w:p>
        </w:tc>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2E75B6"/>
                <w:sz w:val="18"/>
                <w:szCs w:val="18"/>
              </w:rPr>
              <w:t xml:space="preserve">1 hr</w:t>
            </w:r>
          </w:p>
        </w:tc>
        <w:tc>
          <w:tcPr>
            <w:tcW w:type="dxa" w:w="15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color w:val="C00000"/>
                <w:sz w:val="18"/>
                <w:szCs w:val="18"/>
              </w:rPr>
              <w:t xml:space="preserve">1 hr</w:t>
            </w:r>
          </w:p>
        </w:tc>
        <w:tc>
          <w:tcPr>
            <w:tcW w:type="dxa" w:w="2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595959"/>
                <w:sz w:val="18"/>
                <w:szCs w:val="18"/>
              </w:rPr>
              <w:t xml:space="preserve">Parameterised CDK/PowerShell script after Wave 1</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Publication reconfiguration (per article)</w:t>
            </w:r>
          </w:p>
        </w:tc>
        <w:tc>
          <w:tcPr>
            <w:tcW w:type="dxa" w:w="1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196419"/>
                <w:sz w:val="18"/>
                <w:szCs w:val="18"/>
              </w:rPr>
              <w:t xml:space="preserve">0.25 hrs</w:t>
            </w:r>
          </w:p>
        </w:tc>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2E75B6"/>
                <w:sz w:val="18"/>
                <w:szCs w:val="18"/>
              </w:rPr>
              <w:t xml:space="preserve">0.15 hrs</w:t>
            </w:r>
          </w:p>
        </w:tc>
        <w:tc>
          <w:tcPr>
            <w:tcW w:type="dxa" w:w="15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color w:val="C00000"/>
                <w:sz w:val="18"/>
                <w:szCs w:val="18"/>
              </w:rPr>
              <w:t xml:space="preserve">0.1 hrs</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95959"/>
                <w:sz w:val="18"/>
                <w:szCs w:val="18"/>
              </w:rPr>
              <w:t xml:space="preserve">Scripted from Phase 0 inventory; GHCP generates sp_addpublication calls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Snapshot folder reconfiguration</w:t>
            </w:r>
          </w:p>
        </w:tc>
        <w:tc>
          <w:tcPr>
            <w:tcW w:type="dxa" w:w="1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196419"/>
                <w:sz w:val="18"/>
                <w:szCs w:val="18"/>
              </w:rPr>
              <w:t xml:space="preserve">1 hr</w:t>
            </w:r>
          </w:p>
        </w:tc>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2E75B6"/>
                <w:sz w:val="18"/>
                <w:szCs w:val="18"/>
              </w:rPr>
              <w:t xml:space="preserve">0.5 hrs</w:t>
            </w:r>
          </w:p>
        </w:tc>
        <w:tc>
          <w:tcPr>
            <w:tcW w:type="dxa" w:w="15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color w:val="C00000"/>
                <w:sz w:val="18"/>
                <w:szCs w:val="18"/>
              </w:rPr>
              <w:t xml:space="preserve">0.5 hrs</w:t>
            </w:r>
          </w:p>
        </w:tc>
        <w:tc>
          <w:tcPr>
            <w:tcW w:type="dxa" w:w="2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595959"/>
                <w:sz w:val="18"/>
                <w:szCs w:val="18"/>
              </w:rPr>
              <w:t xml:space="preserve">S3 path or RDS local directory; per snapshot publication</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P2P replacement assessment (per app)</w:t>
            </w:r>
          </w:p>
        </w:tc>
        <w:tc>
          <w:tcPr>
            <w:tcW w:type="dxa" w:w="1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196419"/>
                <w:sz w:val="18"/>
                <w:szCs w:val="18"/>
              </w:rPr>
              <w:t xml:space="preserve">4 hrs</w:t>
            </w:r>
          </w:p>
        </w:tc>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2E75B6"/>
                <w:sz w:val="18"/>
                <w:szCs w:val="18"/>
              </w:rPr>
              <w:t xml:space="preserve">0 hrs</w:t>
            </w:r>
          </w:p>
        </w:tc>
        <w:tc>
          <w:tcPr>
            <w:tcW w:type="dxa" w:w="15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color w:val="C00000"/>
                <w:sz w:val="18"/>
                <w:szCs w:val="18"/>
              </w:rPr>
              <w:t xml:space="preserve">0 hrs</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95959"/>
                <w:sz w:val="18"/>
                <w:szCs w:val="18"/>
              </w:rPr>
              <w:t xml:space="preserve">Architect-led; only for apps with P2P topology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Replication agent validation (per app)</w:t>
            </w:r>
          </w:p>
        </w:tc>
        <w:tc>
          <w:tcPr>
            <w:tcW w:type="dxa" w:w="1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196419"/>
                <w:sz w:val="18"/>
                <w:szCs w:val="18"/>
              </w:rPr>
              <w:t xml:space="preserve">1 hr</w:t>
            </w:r>
          </w:p>
        </w:tc>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2E75B6"/>
                <w:sz w:val="18"/>
                <w:szCs w:val="18"/>
              </w:rPr>
              <w:t xml:space="preserve">1 hr</w:t>
            </w:r>
          </w:p>
        </w:tc>
        <w:tc>
          <w:tcPr>
            <w:tcW w:type="dxa" w:w="15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color w:val="C00000"/>
                <w:sz w:val="18"/>
                <w:szCs w:val="18"/>
              </w:rPr>
              <w:t xml:space="preserve">2 hrs</w:t>
            </w:r>
          </w:p>
        </w:tc>
        <w:tc>
          <w:tcPr>
            <w:tcW w:type="dxa" w:w="2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595959"/>
                <w:sz w:val="18"/>
                <w:szCs w:val="18"/>
              </w:rPr>
              <w:t xml:space="preserve">Prod gets extra monitoring; 24-hr hypercare watch</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Subscriber connection string update</w:t>
            </w:r>
          </w:p>
        </w:tc>
        <w:tc>
          <w:tcPr>
            <w:tcW w:type="dxa" w:w="1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196419"/>
                <w:sz w:val="18"/>
                <w:szCs w:val="18"/>
              </w:rPr>
              <w:t xml:space="preserve">0.5 hrs</w:t>
            </w:r>
          </w:p>
        </w:tc>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2E75B6"/>
                <w:sz w:val="18"/>
                <w:szCs w:val="18"/>
              </w:rPr>
              <w:t xml:space="preserve">0.5 hrs</w:t>
            </w:r>
          </w:p>
        </w:tc>
        <w:tc>
          <w:tcPr>
            <w:tcW w:type="dxa" w:w="15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color w:val="C00000"/>
                <w:sz w:val="18"/>
                <w:szCs w:val="18"/>
              </w:rPr>
              <w:t xml:space="preserve">0.5 hrs</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95959"/>
                <w:sz w:val="18"/>
                <w:szCs w:val="18"/>
              </w:rPr>
              <w:t xml:space="preserve">Per subscriber system; Secrets Manager or config update</w:t>
            </w:r>
          </w:p>
        </w:tc>
      </w:tr>
    </w:tbl>
    <w:p>
      <w:pPr>
        <w:spacing w:after="60" w:before="60"/>
      </w:pPr>
      <w:r>
        <w:t xml:space="preserve"/>
      </w:r>
    </w:p>
    <w:p>
      <w:pPr>
        <w:pBdr>
          <w:left w:val="thick" w:color="C00000" w:sz="12"/>
        </w:pBdr>
        <w:shd w:fill="FCE4D6" w:val="clear"/>
        <w:spacing w:after="120" w:before="120"/>
        <w:ind w:left="360"/>
      </w:pPr>
      <w:r>
        <w:rPr>
          <w:rFonts w:ascii="Arial" w:cs="Arial" w:eastAsia="Arial" w:hAnsi="Arial"/>
          <w:sz w:val="20"/>
          <w:szCs w:val="20"/>
        </w:rPr>
        <w:t xml:space="preserve">Replication effort is captured in the companion effort estimator. The DBA role carries the replication reconfiguration effort. SMEs enter replication article counts and type in the SME Input Sheet; the calculator derives per-environment effort automatically. P2P replacement effort is flagged separately in the risk register and requires Solution Architect involvement.</w:t>
      </w:r>
    </w:p>
    <w:p>
      <w:pPr>
        <w:spacing w:after="60" w:before="60"/>
      </w:pPr>
      <w:r>
        <w:t xml:space="preserve"/>
      </w:r>
    </w:p>
    <w:p>
      <w:pPr>
        <w:spacing w:after="80" w:before="60"/>
      </w:pPr>
      <w:r>
        <w:rPr>
          <w:rFonts w:ascii="Arial" w:cs="Arial" w:eastAsia="Arial" w:hAnsi="Arial"/>
          <w:sz w:val="20"/>
          <w:szCs w:val="20"/>
        </w:rPr>
        <w:t xml:space="preserve">5.7.6  Post-Cutover Replication Monitoring</w:t>
      </w:r>
    </w:p>
    <w:p>
      <w:pPr>
        <w:spacing w:after="60" w:before="60"/>
      </w:pPr>
      <w:r>
        <w:t xml:space="preserve"/>
      </w:r>
    </w:p>
    <w:p>
      <w:pPr>
        <w:pStyle w:val="ListParagraph"/>
        <w:numPr>
          <w:ilvl w:val="0"/>
          <w:numId w:val="2"/>
        </w:numPr>
        <w:spacing w:after="40" w:before="40"/>
      </w:pPr>
      <w:r>
        <w:rPr>
          <w:rFonts w:ascii="Arial" w:cs="Arial" w:eastAsia="Arial" w:hAnsi="Arial"/>
          <w:sz w:val="20"/>
          <w:szCs w:val="20"/>
        </w:rPr>
        <w:t xml:space="preserve">sys.dm_replication_stats and sys.dm_replication_pending_commands monitored via CloudWatch custom metrics (boto3 Lambda polling every 60 seconds)</w:t>
      </w:r>
    </w:p>
    <w:p>
      <w:pPr>
        <w:pStyle w:val="ListParagraph"/>
        <w:numPr>
          <w:ilvl w:val="0"/>
          <w:numId w:val="2"/>
        </w:numPr>
        <w:spacing w:after="40" w:before="40"/>
      </w:pPr>
      <w:r>
        <w:rPr>
          <w:rFonts w:ascii="Arial" w:cs="Arial" w:eastAsia="Arial" w:hAnsi="Arial"/>
          <w:sz w:val="20"/>
          <w:szCs w:val="20"/>
        </w:rPr>
        <w:t xml:space="preserve">Replication latency alert: CloudWatch alarm fires if latency exceeds 60 seconds — escalates to on-call DBA</w:t>
      </w:r>
    </w:p>
    <w:p>
      <w:pPr>
        <w:pStyle w:val="ListParagraph"/>
        <w:numPr>
          <w:ilvl w:val="0"/>
          <w:numId w:val="2"/>
        </w:numPr>
        <w:spacing w:after="40" w:before="40"/>
      </w:pPr>
      <w:r>
        <w:rPr>
          <w:rFonts w:ascii="Arial" w:cs="Arial" w:eastAsia="Arial" w:hAnsi="Arial"/>
          <w:sz w:val="20"/>
          <w:szCs w:val="20"/>
        </w:rPr>
        <w:t xml:space="preserve">Distribution agent error log captured in CloudWatch Logs via RDS enhanced monitoring</w:t>
      </w:r>
    </w:p>
    <w:p>
      <w:pPr>
        <w:pStyle w:val="ListParagraph"/>
        <w:numPr>
          <w:ilvl w:val="0"/>
          <w:numId w:val="2"/>
        </w:numPr>
        <w:spacing w:after="40" w:before="40"/>
      </w:pPr>
      <w:r>
        <w:rPr>
          <w:rFonts w:ascii="Arial" w:cs="Arial" w:eastAsia="Arial" w:hAnsi="Arial"/>
          <w:sz w:val="20"/>
          <w:szCs w:val="20"/>
        </w:rPr>
        <w:t xml:space="preserve">Weekly replication health report generated by automated Python script during 30-day hypercare period</w:t>
      </w:r>
    </w:p>
    <w:p>
      <w:pPr>
        <w:pStyle w:val="ListParagraph"/>
        <w:numPr>
          <w:ilvl w:val="0"/>
          <w:numId w:val="2"/>
        </w:numPr>
        <w:spacing w:after="40" w:before="40"/>
      </w:pPr>
      <w:r>
        <w:rPr>
          <w:rFonts w:ascii="Arial" w:cs="Arial" w:eastAsia="Arial" w:hAnsi="Arial"/>
          <w:sz w:val="20"/>
          <w:szCs w:val="20"/>
        </w:rPr>
        <w:t xml:space="preserve">Subscriber systems included in the 24-hour post-cutover hypercare checklist per wave</w:t>
      </w:r>
    </w:p>
    <w:p>
      <w:pPr>
        <w:spacing w:after="60" w:before="60"/>
      </w:pPr>
      <w:r>
        <w:t xml:space="preserve"/>
      </w:r>
    </w:p>
    <w:p>
      <w:pPr>
        <w:pStyle w:val="Heading1"/>
        <w:spacing w:after="120" w:before="300"/>
      </w:pPr>
      <w:r>
        <w:rPr>
          <w:rFonts w:ascii="Arial" w:cs="Arial" w:eastAsia="Arial" w:hAnsi="Arial"/>
          <w:b/>
          <w:bCs/>
          <w:color w:val="1F3864"/>
          <w:sz w:val="32"/>
          <w:szCs w:val="32"/>
        </w:rPr>
        <w:t xml:space="preserve">6. Application-Level Effort Summary (Hours)</w:t>
      </w:r>
    </w:p>
    <w:p>
      <w:pPr>
        <w:spacing w:after="80" w:before="60"/>
      </w:pPr>
      <w:r>
        <w:rPr>
          <w:rFonts w:ascii="Arial" w:cs="Arial" w:eastAsia="Arial" w:hAnsi="Arial"/>
          <w:sz w:val="20"/>
          <w:szCs w:val="20"/>
        </w:rPr>
        <w:t xml:space="preserve">The table below provides a programme-level view of effort by application, broken into the four key effort categories. All figures are in hours on an 8-hour/day basis. Detailed per-role breakdowns are in the companion effort estimator workbook.</w:t>
      </w:r>
    </w:p>
    <w:p>
      <w:pPr>
        <w:spacing w:after="60" w:before="60"/>
      </w:pPr>
      <w:r>
        <w:t xml:space="preserve"/>
      </w:r>
    </w:p>
    <w:p>
      <w:pPr>
        <w:pBdr>
          <w:left w:val="thick" w:color="2E75B6" w:sz="12"/>
        </w:pBdr>
        <w:shd w:fill="D6E4F0" w:val="clear"/>
        <w:spacing w:after="120" w:before="120"/>
        <w:ind w:left="360"/>
      </w:pPr>
      <w:r>
        <w:rPr>
          <w:rFonts w:ascii="Arial" w:cs="Arial" w:eastAsia="Arial" w:hAnsi="Arial"/>
          <w:sz w:val="20"/>
          <w:szCs w:val="20"/>
        </w:rPr>
        <w:t xml:space="preserve">Effort Basis: Hours = Days × 8. AI-adjusted effort = Gross hours × (1 − AI saving %). Contingency = AI-adjusted × (1 + 15%). All effort covers all three environments (Dev + Test + Prod). Environment multiplier: Dev × 0.4 + Test × 0.4 + Prod × 0.2 of the per-environment base effort (Prod is lowest as templates are reused from Dev/Test). Informatica effort based on job count per application (entered by SMEs). Figures are estimates; SMEs validate using the companion Excel workbook.</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80"/>
        <w:gridCol w:w="780"/>
        <w:gridCol w:w="780"/>
        <w:gridCol w:w="780"/>
        <w:gridCol w:w="780"/>
        <w:gridCol w:w="780"/>
        <w:gridCol w:w="780"/>
        <w:gridCol w:w="1000"/>
      </w:tblGrid>
      <w:tr>
        <w:tc>
          <w:tcPr>
            <w:tcW w:type="dxa" w:w="18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Application</w:t>
            </w:r>
          </w:p>
        </w:tc>
        <w:tc>
          <w:tcPr>
            <w:tcW w:type="dxa" w:w="78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DB Size GB</w:t>
            </w:r>
          </w:p>
        </w:tc>
        <w:tc>
          <w:tcPr>
            <w:tcW w:type="dxa" w:w="78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Data Migr. Hrs</w:t>
            </w:r>
          </w:p>
        </w:tc>
        <w:tc>
          <w:tcPr>
            <w:tcW w:type="dxa" w:w="78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ETL Migr. Hrs</w:t>
            </w:r>
          </w:p>
        </w:tc>
        <w:tc>
          <w:tcPr>
            <w:tcW w:type="dxa" w:w="78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SSRS Hrs</w:t>
            </w:r>
          </w:p>
        </w:tc>
        <w:tc>
          <w:tcPr>
            <w:tcW w:type="dxa" w:w="78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Infra Hrs</w:t>
            </w:r>
          </w:p>
        </w:tc>
        <w:tc>
          <w:tcPr>
            <w:tcW w:type="dxa" w:w="78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QA Hrs</w:t>
            </w:r>
          </w:p>
        </w:tc>
        <w:tc>
          <w:tcPr>
            <w:tcW w:type="dxa" w:w="78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AI Saving Hrs</w:t>
            </w:r>
          </w:p>
        </w:tc>
        <w:tc>
          <w:tcPr>
            <w:tcW w:type="dxa" w:w="1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Total w/ Conting.</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Order Management System</w:t>
            </w:r>
          </w:p>
        </w:tc>
        <w:tc>
          <w:tcPr>
            <w:tcW w:type="dxa" w:w="7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color w:val="595959"/>
                <w:sz w:val="18"/>
                <w:szCs w:val="18"/>
              </w:rPr>
              <w:t xml:space="preserve">450</w:t>
            </w:r>
          </w:p>
        </w:tc>
        <w:tc>
          <w:tcPr>
            <w:tcW w:type="dxa" w:w="7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48</w:t>
            </w:r>
          </w:p>
        </w:tc>
        <w:tc>
          <w:tcPr>
            <w:tcW w:type="dxa" w:w="7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166</w:t>
            </w:r>
          </w:p>
        </w:tc>
        <w:tc>
          <w:tcPr>
            <w:tcW w:type="dxa" w:w="7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26</w:t>
            </w:r>
          </w:p>
        </w:tc>
        <w:tc>
          <w:tcPr>
            <w:tcW w:type="dxa" w:w="7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14</w:t>
            </w:r>
          </w:p>
        </w:tc>
        <w:tc>
          <w:tcPr>
            <w:tcW w:type="dxa" w:w="7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72</w:t>
            </w:r>
          </w:p>
        </w:tc>
        <w:tc>
          <w:tcPr>
            <w:tcW w:type="dxa" w:w="7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B8540A"/>
                <w:sz w:val="18"/>
                <w:szCs w:val="18"/>
              </w:rPr>
              <w:t xml:space="preserve">−76</w:t>
            </w:r>
          </w:p>
        </w:tc>
        <w:tc>
          <w:tcPr>
            <w:tcW w:type="dxa" w:w="1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196419"/>
                <w:sz w:val="18"/>
                <w:szCs w:val="18"/>
              </w:rPr>
              <w:t xml:space="preserve">430</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Billing Engine</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95959"/>
                <w:sz w:val="18"/>
                <w:szCs w:val="18"/>
              </w:rPr>
              <w:t xml:space="preserve">820</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82</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280</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42</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18</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118</w:t>
            </w:r>
          </w:p>
        </w:tc>
        <w:tc>
          <w:tcPr>
            <w:tcW w:type="dxa" w:w="7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B8540A"/>
                <w:sz w:val="18"/>
                <w:szCs w:val="18"/>
              </w:rPr>
              <w:t xml:space="preserve">−128</w:t>
            </w:r>
          </w:p>
        </w:tc>
        <w:tc>
          <w:tcPr>
            <w:tcW w:type="dxa" w:w="1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196419"/>
                <w:sz w:val="18"/>
                <w:szCs w:val="18"/>
              </w:rPr>
              <w:t xml:space="preserve">762</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Customer Portal DB</w:t>
            </w:r>
          </w:p>
        </w:tc>
        <w:tc>
          <w:tcPr>
            <w:tcW w:type="dxa" w:w="7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color w:val="595959"/>
                <w:sz w:val="18"/>
                <w:szCs w:val="18"/>
              </w:rPr>
              <w:t xml:space="preserve">180</w:t>
            </w:r>
          </w:p>
        </w:tc>
        <w:tc>
          <w:tcPr>
            <w:tcW w:type="dxa" w:w="7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24</w:t>
            </w:r>
          </w:p>
        </w:tc>
        <w:tc>
          <w:tcPr>
            <w:tcW w:type="dxa" w:w="7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70</w:t>
            </w:r>
          </w:p>
        </w:tc>
        <w:tc>
          <w:tcPr>
            <w:tcW w:type="dxa" w:w="7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12</w:t>
            </w:r>
          </w:p>
        </w:tc>
        <w:tc>
          <w:tcPr>
            <w:tcW w:type="dxa" w:w="7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10</w:t>
            </w:r>
          </w:p>
        </w:tc>
        <w:tc>
          <w:tcPr>
            <w:tcW w:type="dxa" w:w="7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33</w:t>
            </w:r>
          </w:p>
        </w:tc>
        <w:tc>
          <w:tcPr>
            <w:tcW w:type="dxa" w:w="7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B8540A"/>
                <w:sz w:val="18"/>
                <w:szCs w:val="18"/>
              </w:rPr>
              <w:t xml:space="preserve">−37</w:t>
            </w:r>
          </w:p>
        </w:tc>
        <w:tc>
          <w:tcPr>
            <w:tcW w:type="dxa" w:w="1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196419"/>
                <w:sz w:val="18"/>
                <w:szCs w:val="18"/>
              </w:rPr>
              <w:t xml:space="preserve">218</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Provisioning System</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95959"/>
                <w:sz w:val="18"/>
                <w:szCs w:val="18"/>
              </w:rPr>
              <w:t xml:space="preserve">650</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64</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206</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22</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16</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92</w:t>
            </w:r>
          </w:p>
        </w:tc>
        <w:tc>
          <w:tcPr>
            <w:tcW w:type="dxa" w:w="7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B8540A"/>
                <w:sz w:val="18"/>
                <w:szCs w:val="18"/>
              </w:rPr>
              <w:t xml:space="preserve">−98</w:t>
            </w:r>
          </w:p>
        </w:tc>
        <w:tc>
          <w:tcPr>
            <w:tcW w:type="dxa" w:w="1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196419"/>
                <w:sz w:val="18"/>
                <w:szCs w:val="18"/>
              </w:rPr>
              <w:t xml:space="preserve">582</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Revenue Assurance</w:t>
            </w:r>
          </w:p>
        </w:tc>
        <w:tc>
          <w:tcPr>
            <w:tcW w:type="dxa" w:w="7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color w:val="595959"/>
                <w:sz w:val="18"/>
                <w:szCs w:val="18"/>
              </w:rPr>
              <w:t xml:space="preserve">1200</w:t>
            </w:r>
          </w:p>
        </w:tc>
        <w:tc>
          <w:tcPr>
            <w:tcW w:type="dxa" w:w="7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116</w:t>
            </w:r>
          </w:p>
        </w:tc>
        <w:tc>
          <w:tcPr>
            <w:tcW w:type="dxa" w:w="7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350</w:t>
            </w:r>
          </w:p>
        </w:tc>
        <w:tc>
          <w:tcPr>
            <w:tcW w:type="dxa" w:w="7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60</w:t>
            </w:r>
          </w:p>
        </w:tc>
        <w:tc>
          <w:tcPr>
            <w:tcW w:type="dxa" w:w="7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22</w:t>
            </w:r>
          </w:p>
        </w:tc>
        <w:tc>
          <w:tcPr>
            <w:tcW w:type="dxa" w:w="7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156</w:t>
            </w:r>
          </w:p>
        </w:tc>
        <w:tc>
          <w:tcPr>
            <w:tcW w:type="dxa" w:w="7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B8540A"/>
                <w:sz w:val="18"/>
                <w:szCs w:val="18"/>
              </w:rPr>
              <w:t xml:space="preserve">−168</w:t>
            </w:r>
          </w:p>
        </w:tc>
        <w:tc>
          <w:tcPr>
            <w:tcW w:type="dxa" w:w="1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196419"/>
                <w:sz w:val="18"/>
                <w:szCs w:val="18"/>
              </w:rPr>
              <w:t xml:space="preserve">1012</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Fraud Management</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95959"/>
                <w:sz w:val="18"/>
                <w:szCs w:val="18"/>
              </w:rPr>
              <w:t xml:space="preserve">340</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38</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128</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18</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12</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57</w:t>
            </w:r>
          </w:p>
        </w:tc>
        <w:tc>
          <w:tcPr>
            <w:tcW w:type="dxa" w:w="7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B8540A"/>
                <w:sz w:val="18"/>
                <w:szCs w:val="18"/>
              </w:rPr>
              <w:t xml:space="preserve">−64</w:t>
            </w:r>
          </w:p>
        </w:tc>
        <w:tc>
          <w:tcPr>
            <w:tcW w:type="dxa" w:w="1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196419"/>
                <w:sz w:val="18"/>
                <w:szCs w:val="18"/>
              </w:rPr>
              <w:t xml:space="preserve">370</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Network Inventory DB</w:t>
            </w:r>
          </w:p>
        </w:tc>
        <w:tc>
          <w:tcPr>
            <w:tcW w:type="dxa" w:w="7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color w:val="595959"/>
                <w:sz w:val="18"/>
                <w:szCs w:val="18"/>
              </w:rPr>
              <w:t xml:space="preserve">560</w:t>
            </w:r>
          </w:p>
        </w:tc>
        <w:tc>
          <w:tcPr>
            <w:tcW w:type="dxa" w:w="7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56</w:t>
            </w:r>
          </w:p>
        </w:tc>
        <w:tc>
          <w:tcPr>
            <w:tcW w:type="dxa" w:w="7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182</w:t>
            </w:r>
          </w:p>
        </w:tc>
        <w:tc>
          <w:tcPr>
            <w:tcW w:type="dxa" w:w="7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20</w:t>
            </w:r>
          </w:p>
        </w:tc>
        <w:tc>
          <w:tcPr>
            <w:tcW w:type="dxa" w:w="7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14</w:t>
            </w:r>
          </w:p>
        </w:tc>
        <w:tc>
          <w:tcPr>
            <w:tcW w:type="dxa" w:w="7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78</w:t>
            </w:r>
          </w:p>
        </w:tc>
        <w:tc>
          <w:tcPr>
            <w:tcW w:type="dxa" w:w="7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B8540A"/>
                <w:sz w:val="18"/>
                <w:szCs w:val="18"/>
              </w:rPr>
              <w:t xml:space="preserve">−86</w:t>
            </w:r>
          </w:p>
        </w:tc>
        <w:tc>
          <w:tcPr>
            <w:tcW w:type="dxa" w:w="1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196419"/>
                <w:sz w:val="18"/>
                <w:szCs w:val="18"/>
              </w:rPr>
              <w:t xml:space="preserve">502</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CRM Integration DB</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95959"/>
                <w:sz w:val="18"/>
                <w:szCs w:val="18"/>
              </w:rPr>
              <w:t xml:space="preserve">220</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26</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86</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14</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10</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36</w:t>
            </w:r>
          </w:p>
        </w:tc>
        <w:tc>
          <w:tcPr>
            <w:tcW w:type="dxa" w:w="7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B8540A"/>
                <w:sz w:val="18"/>
                <w:szCs w:val="18"/>
              </w:rPr>
              <w:t xml:space="preserve">−40</w:t>
            </w:r>
          </w:p>
        </w:tc>
        <w:tc>
          <w:tcPr>
            <w:tcW w:type="dxa" w:w="1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196419"/>
                <w:sz w:val="18"/>
                <w:szCs w:val="18"/>
              </w:rPr>
              <w:t xml:space="preserve">240</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Product Catalogue</w:t>
            </w:r>
          </w:p>
        </w:tc>
        <w:tc>
          <w:tcPr>
            <w:tcW w:type="dxa" w:w="7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color w:val="595959"/>
                <w:sz w:val="18"/>
                <w:szCs w:val="18"/>
              </w:rPr>
              <w:t xml:space="preserve">90</w:t>
            </w:r>
          </w:p>
        </w:tc>
        <w:tc>
          <w:tcPr>
            <w:tcW w:type="dxa" w:w="7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14</w:t>
            </w:r>
          </w:p>
        </w:tc>
        <w:tc>
          <w:tcPr>
            <w:tcW w:type="dxa" w:w="7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36</w:t>
            </w:r>
          </w:p>
        </w:tc>
        <w:tc>
          <w:tcPr>
            <w:tcW w:type="dxa" w:w="7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8</w:t>
            </w:r>
          </w:p>
        </w:tc>
        <w:tc>
          <w:tcPr>
            <w:tcW w:type="dxa" w:w="7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10</w:t>
            </w:r>
          </w:p>
        </w:tc>
        <w:tc>
          <w:tcPr>
            <w:tcW w:type="dxa" w:w="7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22</w:t>
            </w:r>
          </w:p>
        </w:tc>
        <w:tc>
          <w:tcPr>
            <w:tcW w:type="dxa" w:w="7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B8540A"/>
                <w:sz w:val="18"/>
                <w:szCs w:val="18"/>
              </w:rPr>
              <w:t xml:space="preserve">−24</w:t>
            </w:r>
          </w:p>
        </w:tc>
        <w:tc>
          <w:tcPr>
            <w:tcW w:type="dxa" w:w="1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196419"/>
                <w:sz w:val="18"/>
                <w:szCs w:val="18"/>
              </w:rPr>
              <w:t xml:space="preserve">136</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Mediation Platform</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95959"/>
                <w:sz w:val="18"/>
                <w:szCs w:val="18"/>
              </w:rPr>
              <w:t xml:space="preserve">780</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76</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246</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26</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16</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98</w:t>
            </w:r>
          </w:p>
        </w:tc>
        <w:tc>
          <w:tcPr>
            <w:tcW w:type="dxa" w:w="7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B8540A"/>
                <w:sz w:val="18"/>
                <w:szCs w:val="18"/>
              </w:rPr>
              <w:t xml:space="preserve">−106</w:t>
            </w:r>
          </w:p>
        </w:tc>
        <w:tc>
          <w:tcPr>
            <w:tcW w:type="dxa" w:w="1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196419"/>
                <w:sz w:val="18"/>
                <w:szCs w:val="18"/>
              </w:rPr>
              <w:t xml:space="preserve">632</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Interconnect Billing</w:t>
            </w:r>
          </w:p>
        </w:tc>
        <w:tc>
          <w:tcPr>
            <w:tcW w:type="dxa" w:w="7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color w:val="595959"/>
                <w:sz w:val="18"/>
                <w:szCs w:val="18"/>
              </w:rPr>
              <w:t xml:space="preserve">420</w:t>
            </w:r>
          </w:p>
        </w:tc>
        <w:tc>
          <w:tcPr>
            <w:tcW w:type="dxa" w:w="7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44</w:t>
            </w:r>
          </w:p>
        </w:tc>
        <w:tc>
          <w:tcPr>
            <w:tcW w:type="dxa" w:w="7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142</w:t>
            </w:r>
          </w:p>
        </w:tc>
        <w:tc>
          <w:tcPr>
            <w:tcW w:type="dxa" w:w="7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20</w:t>
            </w:r>
          </w:p>
        </w:tc>
        <w:tc>
          <w:tcPr>
            <w:tcW w:type="dxa" w:w="7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12</w:t>
            </w:r>
          </w:p>
        </w:tc>
        <w:tc>
          <w:tcPr>
            <w:tcW w:type="dxa" w:w="7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62</w:t>
            </w:r>
          </w:p>
        </w:tc>
        <w:tc>
          <w:tcPr>
            <w:tcW w:type="dxa" w:w="7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B8540A"/>
                <w:sz w:val="18"/>
                <w:szCs w:val="18"/>
              </w:rPr>
              <w:t xml:space="preserve">−68</w:t>
            </w:r>
          </w:p>
        </w:tc>
        <w:tc>
          <w:tcPr>
            <w:tcW w:type="dxa" w:w="1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196419"/>
                <w:sz w:val="18"/>
                <w:szCs w:val="18"/>
              </w:rPr>
              <w:t xml:space="preserve">402</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Roaming Settlement</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95959"/>
                <w:sz w:val="18"/>
                <w:szCs w:val="18"/>
              </w:rPr>
              <w:t xml:space="preserve">390</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42</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128</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18</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12</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58</w:t>
            </w:r>
          </w:p>
        </w:tc>
        <w:tc>
          <w:tcPr>
            <w:tcW w:type="dxa" w:w="7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B8540A"/>
                <w:sz w:val="18"/>
                <w:szCs w:val="18"/>
              </w:rPr>
              <w:t xml:space="preserve">−64</w:t>
            </w:r>
          </w:p>
        </w:tc>
        <w:tc>
          <w:tcPr>
            <w:tcW w:type="dxa" w:w="1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196419"/>
                <w:sz w:val="18"/>
                <w:szCs w:val="18"/>
              </w:rPr>
              <w:t xml:space="preserve">378</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Dunning &amp; Collections</w:t>
            </w:r>
          </w:p>
        </w:tc>
        <w:tc>
          <w:tcPr>
            <w:tcW w:type="dxa" w:w="7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color w:val="595959"/>
                <w:sz w:val="18"/>
                <w:szCs w:val="18"/>
              </w:rPr>
              <w:t xml:space="preserve">250</w:t>
            </w:r>
          </w:p>
        </w:tc>
        <w:tc>
          <w:tcPr>
            <w:tcW w:type="dxa" w:w="7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30</w:t>
            </w:r>
          </w:p>
        </w:tc>
        <w:tc>
          <w:tcPr>
            <w:tcW w:type="dxa" w:w="7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92</w:t>
            </w:r>
          </w:p>
        </w:tc>
        <w:tc>
          <w:tcPr>
            <w:tcW w:type="dxa" w:w="7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22</w:t>
            </w:r>
          </w:p>
        </w:tc>
        <w:tc>
          <w:tcPr>
            <w:tcW w:type="dxa" w:w="7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10</w:t>
            </w:r>
          </w:p>
        </w:tc>
        <w:tc>
          <w:tcPr>
            <w:tcW w:type="dxa" w:w="7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44</w:t>
            </w:r>
          </w:p>
        </w:tc>
        <w:tc>
          <w:tcPr>
            <w:tcW w:type="dxa" w:w="7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B8540A"/>
                <w:sz w:val="18"/>
                <w:szCs w:val="18"/>
              </w:rPr>
              <w:t xml:space="preserve">−50</w:t>
            </w:r>
          </w:p>
        </w:tc>
        <w:tc>
          <w:tcPr>
            <w:tcW w:type="dxa" w:w="1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196419"/>
                <w:sz w:val="18"/>
                <w:szCs w:val="18"/>
              </w:rPr>
              <w:t xml:space="preserve">290</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Tax &amp; Compliance DB</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95959"/>
                <w:sz w:val="18"/>
                <w:szCs w:val="18"/>
              </w:rPr>
              <w:t xml:space="preserve">310</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36</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106</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36</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12</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54</w:t>
            </w:r>
          </w:p>
        </w:tc>
        <w:tc>
          <w:tcPr>
            <w:tcW w:type="dxa" w:w="7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B8540A"/>
                <w:sz w:val="18"/>
                <w:szCs w:val="18"/>
              </w:rPr>
              <w:t xml:space="preserve">−60</w:t>
            </w:r>
          </w:p>
        </w:tc>
        <w:tc>
          <w:tcPr>
            <w:tcW w:type="dxa" w:w="1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196419"/>
                <w:sz w:val="18"/>
                <w:szCs w:val="18"/>
              </w:rPr>
              <w:t xml:space="preserve">348</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Contract Management</w:t>
            </w:r>
          </w:p>
        </w:tc>
        <w:tc>
          <w:tcPr>
            <w:tcW w:type="dxa" w:w="7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color w:val="595959"/>
                <w:sz w:val="18"/>
                <w:szCs w:val="18"/>
              </w:rPr>
              <w:t xml:space="preserve">160</w:t>
            </w:r>
          </w:p>
        </w:tc>
        <w:tc>
          <w:tcPr>
            <w:tcW w:type="dxa" w:w="7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20</w:t>
            </w:r>
          </w:p>
        </w:tc>
        <w:tc>
          <w:tcPr>
            <w:tcW w:type="dxa" w:w="7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62</w:t>
            </w:r>
          </w:p>
        </w:tc>
        <w:tc>
          <w:tcPr>
            <w:tcW w:type="dxa" w:w="7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12</w:t>
            </w:r>
          </w:p>
        </w:tc>
        <w:tc>
          <w:tcPr>
            <w:tcW w:type="dxa" w:w="7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10</w:t>
            </w:r>
          </w:p>
        </w:tc>
        <w:tc>
          <w:tcPr>
            <w:tcW w:type="dxa" w:w="7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30</w:t>
            </w:r>
          </w:p>
        </w:tc>
        <w:tc>
          <w:tcPr>
            <w:tcW w:type="dxa" w:w="7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B8540A"/>
                <w:sz w:val="18"/>
                <w:szCs w:val="18"/>
              </w:rPr>
              <w:t xml:space="preserve">−34</w:t>
            </w:r>
          </w:p>
        </w:tc>
        <w:tc>
          <w:tcPr>
            <w:tcW w:type="dxa" w:w="1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196419"/>
                <w:sz w:val="18"/>
                <w:szCs w:val="18"/>
              </w:rPr>
              <w:t xml:space="preserve">198</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Usage Rating Engine</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95959"/>
                <w:sz w:val="18"/>
                <w:szCs w:val="18"/>
              </w:rPr>
              <w:t xml:space="preserve">920</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92</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302</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34</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18</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128</w:t>
            </w:r>
          </w:p>
        </w:tc>
        <w:tc>
          <w:tcPr>
            <w:tcW w:type="dxa" w:w="7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B8540A"/>
                <w:sz w:val="18"/>
                <w:szCs w:val="18"/>
              </w:rPr>
              <w:t xml:space="preserve">−136</w:t>
            </w:r>
          </w:p>
        </w:tc>
        <w:tc>
          <w:tcPr>
            <w:tcW w:type="dxa" w:w="1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196419"/>
                <w:sz w:val="18"/>
                <w:szCs w:val="18"/>
              </w:rPr>
              <w:t xml:space="preserve">808</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Wholesale Billing</w:t>
            </w:r>
          </w:p>
        </w:tc>
        <w:tc>
          <w:tcPr>
            <w:tcW w:type="dxa" w:w="7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color w:val="595959"/>
                <w:sz w:val="18"/>
                <w:szCs w:val="18"/>
              </w:rPr>
              <w:t xml:space="preserve">480</w:t>
            </w:r>
          </w:p>
        </w:tc>
        <w:tc>
          <w:tcPr>
            <w:tcW w:type="dxa" w:w="7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50</w:t>
            </w:r>
          </w:p>
        </w:tc>
        <w:tc>
          <w:tcPr>
            <w:tcW w:type="dxa" w:w="7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156</w:t>
            </w:r>
          </w:p>
        </w:tc>
        <w:tc>
          <w:tcPr>
            <w:tcW w:type="dxa" w:w="7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26</w:t>
            </w:r>
          </w:p>
        </w:tc>
        <w:tc>
          <w:tcPr>
            <w:tcW w:type="dxa" w:w="7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14</w:t>
            </w:r>
          </w:p>
        </w:tc>
        <w:tc>
          <w:tcPr>
            <w:tcW w:type="dxa" w:w="7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72</w:t>
            </w:r>
          </w:p>
        </w:tc>
        <w:tc>
          <w:tcPr>
            <w:tcW w:type="dxa" w:w="7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B8540A"/>
                <w:sz w:val="18"/>
                <w:szCs w:val="18"/>
              </w:rPr>
              <w:t xml:space="preserve">−80</w:t>
            </w:r>
          </w:p>
        </w:tc>
        <w:tc>
          <w:tcPr>
            <w:tcW w:type="dxa" w:w="1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196419"/>
                <w:sz w:val="18"/>
                <w:szCs w:val="18"/>
              </w:rPr>
              <w:t xml:space="preserve">472</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Partner Portal DB</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95959"/>
                <w:sz w:val="18"/>
                <w:szCs w:val="18"/>
              </w:rPr>
              <w:t xml:space="preserve">140</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18</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52</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10</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10</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28</w:t>
            </w:r>
          </w:p>
        </w:tc>
        <w:tc>
          <w:tcPr>
            <w:tcW w:type="dxa" w:w="7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B8540A"/>
                <w:sz w:val="18"/>
                <w:szCs w:val="18"/>
              </w:rPr>
              <w:t xml:space="preserve">−32</w:t>
            </w:r>
          </w:p>
        </w:tc>
        <w:tc>
          <w:tcPr>
            <w:tcW w:type="dxa" w:w="1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196419"/>
                <w:sz w:val="18"/>
                <w:szCs w:val="18"/>
              </w:rPr>
              <w:t xml:space="preserve">182</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Workforce Management</w:t>
            </w:r>
          </w:p>
        </w:tc>
        <w:tc>
          <w:tcPr>
            <w:tcW w:type="dxa" w:w="7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color w:val="595959"/>
                <w:sz w:val="18"/>
                <w:szCs w:val="18"/>
              </w:rPr>
              <w:t xml:space="preserve">200</w:t>
            </w:r>
          </w:p>
        </w:tc>
        <w:tc>
          <w:tcPr>
            <w:tcW w:type="dxa" w:w="7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26</w:t>
            </w:r>
          </w:p>
        </w:tc>
        <w:tc>
          <w:tcPr>
            <w:tcW w:type="dxa" w:w="7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72</w:t>
            </w:r>
          </w:p>
        </w:tc>
        <w:tc>
          <w:tcPr>
            <w:tcW w:type="dxa" w:w="7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14</w:t>
            </w:r>
          </w:p>
        </w:tc>
        <w:tc>
          <w:tcPr>
            <w:tcW w:type="dxa" w:w="7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10</w:t>
            </w:r>
          </w:p>
        </w:tc>
        <w:tc>
          <w:tcPr>
            <w:tcW w:type="dxa" w:w="7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36</w:t>
            </w:r>
          </w:p>
        </w:tc>
        <w:tc>
          <w:tcPr>
            <w:tcW w:type="dxa" w:w="7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B8540A"/>
                <w:sz w:val="18"/>
                <w:szCs w:val="18"/>
              </w:rPr>
              <w:t xml:space="preserve">−40</w:t>
            </w:r>
          </w:p>
        </w:tc>
        <w:tc>
          <w:tcPr>
            <w:tcW w:type="dxa" w:w="1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196419"/>
                <w:sz w:val="18"/>
                <w:szCs w:val="18"/>
              </w:rPr>
              <w:t xml:space="preserve">238</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Service Activation</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95959"/>
                <w:sz w:val="18"/>
                <w:szCs w:val="18"/>
              </w:rPr>
              <w:t xml:space="preserve">370</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40</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122</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18</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12</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56</w:t>
            </w:r>
          </w:p>
        </w:tc>
        <w:tc>
          <w:tcPr>
            <w:tcW w:type="dxa" w:w="7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B8540A"/>
                <w:sz w:val="18"/>
                <w:szCs w:val="18"/>
              </w:rPr>
              <w:t xml:space="preserve">−62</w:t>
            </w:r>
          </w:p>
        </w:tc>
        <w:tc>
          <w:tcPr>
            <w:tcW w:type="dxa" w:w="1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196419"/>
                <w:sz w:val="18"/>
                <w:szCs w:val="18"/>
              </w:rPr>
              <w:t xml:space="preserve">364</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Trouble Ticketing DB</w:t>
            </w:r>
          </w:p>
        </w:tc>
        <w:tc>
          <w:tcPr>
            <w:tcW w:type="dxa" w:w="7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color w:val="595959"/>
                <w:sz w:val="18"/>
                <w:szCs w:val="18"/>
              </w:rPr>
              <w:t xml:space="preserve">230</w:t>
            </w:r>
          </w:p>
        </w:tc>
        <w:tc>
          <w:tcPr>
            <w:tcW w:type="dxa" w:w="7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28</w:t>
            </w:r>
          </w:p>
        </w:tc>
        <w:tc>
          <w:tcPr>
            <w:tcW w:type="dxa" w:w="7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82</w:t>
            </w:r>
          </w:p>
        </w:tc>
        <w:tc>
          <w:tcPr>
            <w:tcW w:type="dxa" w:w="7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12</w:t>
            </w:r>
          </w:p>
        </w:tc>
        <w:tc>
          <w:tcPr>
            <w:tcW w:type="dxa" w:w="7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10</w:t>
            </w:r>
          </w:p>
        </w:tc>
        <w:tc>
          <w:tcPr>
            <w:tcW w:type="dxa" w:w="7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40</w:t>
            </w:r>
          </w:p>
        </w:tc>
        <w:tc>
          <w:tcPr>
            <w:tcW w:type="dxa" w:w="7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B8540A"/>
                <w:sz w:val="18"/>
                <w:szCs w:val="18"/>
              </w:rPr>
              <w:t xml:space="preserve">−44</w:t>
            </w:r>
          </w:p>
        </w:tc>
        <w:tc>
          <w:tcPr>
            <w:tcW w:type="dxa" w:w="1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196419"/>
                <w:sz w:val="18"/>
                <w:szCs w:val="18"/>
              </w:rPr>
              <w:t xml:space="preserve">260</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SLA Management</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95959"/>
                <w:sz w:val="18"/>
                <w:szCs w:val="18"/>
              </w:rPr>
              <w:t xml:space="preserve">180</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22</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66</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20</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10</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34</w:t>
            </w:r>
          </w:p>
        </w:tc>
        <w:tc>
          <w:tcPr>
            <w:tcW w:type="dxa" w:w="7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B8540A"/>
                <w:sz w:val="18"/>
                <w:szCs w:val="18"/>
              </w:rPr>
              <w:t xml:space="preserve">−38</w:t>
            </w:r>
          </w:p>
        </w:tc>
        <w:tc>
          <w:tcPr>
            <w:tcW w:type="dxa" w:w="1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196419"/>
                <w:sz w:val="18"/>
                <w:szCs w:val="18"/>
              </w:rPr>
              <w:t xml:space="preserve">226</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Analytics Data Mart</w:t>
            </w:r>
          </w:p>
        </w:tc>
        <w:tc>
          <w:tcPr>
            <w:tcW w:type="dxa" w:w="7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color w:val="595959"/>
                <w:sz w:val="18"/>
                <w:szCs w:val="18"/>
              </w:rPr>
              <w:t xml:space="preserve">1800</w:t>
            </w:r>
          </w:p>
        </w:tc>
        <w:tc>
          <w:tcPr>
            <w:tcW w:type="dxa" w:w="7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168</w:t>
            </w:r>
          </w:p>
        </w:tc>
        <w:tc>
          <w:tcPr>
            <w:tcW w:type="dxa" w:w="7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142</w:t>
            </w:r>
          </w:p>
        </w:tc>
        <w:tc>
          <w:tcPr>
            <w:tcW w:type="dxa" w:w="7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72</w:t>
            </w:r>
          </w:p>
        </w:tc>
        <w:tc>
          <w:tcPr>
            <w:tcW w:type="dxa" w:w="7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20</w:t>
            </w:r>
          </w:p>
        </w:tc>
        <w:tc>
          <w:tcPr>
            <w:tcW w:type="dxa" w:w="7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116</w:t>
            </w:r>
          </w:p>
        </w:tc>
        <w:tc>
          <w:tcPr>
            <w:tcW w:type="dxa" w:w="7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B8540A"/>
                <w:sz w:val="18"/>
                <w:szCs w:val="18"/>
              </w:rPr>
              <w:t xml:space="preserve">−128</w:t>
            </w:r>
          </w:p>
        </w:tc>
        <w:tc>
          <w:tcPr>
            <w:tcW w:type="dxa" w:w="1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196419"/>
                <w:sz w:val="18"/>
                <w:szCs w:val="18"/>
              </w:rPr>
              <w:t xml:space="preserve">802</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Regulatory Reporting DB</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95959"/>
                <w:sz w:val="18"/>
                <w:szCs w:val="18"/>
              </w:rPr>
              <w:t xml:space="preserve">290</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34</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96</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44</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12</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52</w:t>
            </w:r>
          </w:p>
        </w:tc>
        <w:tc>
          <w:tcPr>
            <w:tcW w:type="dxa" w:w="7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B8540A"/>
                <w:sz w:val="18"/>
                <w:szCs w:val="18"/>
              </w:rPr>
              <w:t xml:space="preserve">−56</w:t>
            </w:r>
          </w:p>
        </w:tc>
        <w:tc>
          <w:tcPr>
            <w:tcW w:type="dxa" w:w="1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196419"/>
                <w:sz w:val="18"/>
                <w:szCs w:val="18"/>
              </w:rPr>
              <w:t xml:space="preserve">338</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Campaign Management</w:t>
            </w:r>
          </w:p>
        </w:tc>
        <w:tc>
          <w:tcPr>
            <w:tcW w:type="dxa" w:w="7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color w:val="595959"/>
                <w:sz w:val="18"/>
                <w:szCs w:val="18"/>
              </w:rPr>
              <w:t xml:space="preserve">170</w:t>
            </w:r>
          </w:p>
        </w:tc>
        <w:tc>
          <w:tcPr>
            <w:tcW w:type="dxa" w:w="7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22</w:t>
            </w:r>
          </w:p>
        </w:tc>
        <w:tc>
          <w:tcPr>
            <w:tcW w:type="dxa" w:w="7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60</w:t>
            </w:r>
          </w:p>
        </w:tc>
        <w:tc>
          <w:tcPr>
            <w:tcW w:type="dxa" w:w="7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12</w:t>
            </w:r>
          </w:p>
        </w:tc>
        <w:tc>
          <w:tcPr>
            <w:tcW w:type="dxa" w:w="7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10</w:t>
            </w:r>
          </w:p>
        </w:tc>
        <w:tc>
          <w:tcPr>
            <w:tcW w:type="dxa" w:w="7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32</w:t>
            </w:r>
          </w:p>
        </w:tc>
        <w:tc>
          <w:tcPr>
            <w:tcW w:type="dxa" w:w="7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B8540A"/>
                <w:sz w:val="18"/>
                <w:szCs w:val="18"/>
              </w:rPr>
              <w:t xml:space="preserve">−36</w:t>
            </w:r>
          </w:p>
        </w:tc>
        <w:tc>
          <w:tcPr>
            <w:tcW w:type="dxa" w:w="1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196419"/>
                <w:sz w:val="18"/>
                <w:szCs w:val="18"/>
              </w:rPr>
              <w:t xml:space="preserve">206</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Equipment Inventory</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95959"/>
                <w:sz w:val="18"/>
                <w:szCs w:val="18"/>
              </w:rPr>
              <w:t xml:space="preserve">130</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18</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46</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8</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10</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26</w:t>
            </w:r>
          </w:p>
        </w:tc>
        <w:tc>
          <w:tcPr>
            <w:tcW w:type="dxa" w:w="7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B8540A"/>
                <w:sz w:val="18"/>
                <w:szCs w:val="18"/>
              </w:rPr>
              <w:t xml:space="preserve">−30</w:t>
            </w:r>
          </w:p>
        </w:tc>
        <w:tc>
          <w:tcPr>
            <w:tcW w:type="dxa" w:w="1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196419"/>
                <w:sz w:val="18"/>
                <w:szCs w:val="18"/>
              </w:rPr>
              <w:t xml:space="preserve">172</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Payment Gateway DB</w:t>
            </w:r>
          </w:p>
        </w:tc>
        <w:tc>
          <w:tcPr>
            <w:tcW w:type="dxa" w:w="7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color w:val="595959"/>
                <w:sz w:val="18"/>
                <w:szCs w:val="18"/>
              </w:rPr>
              <w:t xml:space="preserve">410</w:t>
            </w:r>
          </w:p>
        </w:tc>
        <w:tc>
          <w:tcPr>
            <w:tcW w:type="dxa" w:w="7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44</w:t>
            </w:r>
          </w:p>
        </w:tc>
        <w:tc>
          <w:tcPr>
            <w:tcW w:type="dxa" w:w="7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136</w:t>
            </w:r>
          </w:p>
        </w:tc>
        <w:tc>
          <w:tcPr>
            <w:tcW w:type="dxa" w:w="7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16</w:t>
            </w:r>
          </w:p>
        </w:tc>
        <w:tc>
          <w:tcPr>
            <w:tcW w:type="dxa" w:w="7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12</w:t>
            </w:r>
          </w:p>
        </w:tc>
        <w:tc>
          <w:tcPr>
            <w:tcW w:type="dxa" w:w="7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60</w:t>
            </w:r>
          </w:p>
        </w:tc>
        <w:tc>
          <w:tcPr>
            <w:tcW w:type="dxa" w:w="7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B8540A"/>
                <w:sz w:val="18"/>
                <w:szCs w:val="18"/>
              </w:rPr>
              <w:t xml:space="preserve">−66</w:t>
            </w:r>
          </w:p>
        </w:tc>
        <w:tc>
          <w:tcPr>
            <w:tcW w:type="dxa" w:w="1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196419"/>
                <w:sz w:val="18"/>
                <w:szCs w:val="18"/>
              </w:rPr>
              <w:t xml:space="preserve">390</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Reporting Hub</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95959"/>
                <w:sz w:val="18"/>
                <w:szCs w:val="18"/>
              </w:rPr>
              <w:t xml:space="preserve">680</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60</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86</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90</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14</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70</w:t>
            </w:r>
          </w:p>
        </w:tc>
        <w:tc>
          <w:tcPr>
            <w:tcW w:type="dxa" w:w="7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B8540A"/>
                <w:sz w:val="18"/>
                <w:szCs w:val="18"/>
              </w:rPr>
              <w:t xml:space="preserve">−80</w:t>
            </w:r>
          </w:p>
        </w:tc>
        <w:tc>
          <w:tcPr>
            <w:tcW w:type="dxa" w:w="1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196419"/>
                <w:sz w:val="18"/>
                <w:szCs w:val="18"/>
              </w:rPr>
              <w:t xml:space="preserve">480</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MDM Master Data DB</w:t>
            </w:r>
          </w:p>
        </w:tc>
        <w:tc>
          <w:tcPr>
            <w:tcW w:type="dxa" w:w="7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color w:val="595959"/>
                <w:sz w:val="18"/>
                <w:szCs w:val="18"/>
              </w:rPr>
              <w:t xml:space="preserve">520</w:t>
            </w:r>
          </w:p>
        </w:tc>
        <w:tc>
          <w:tcPr>
            <w:tcW w:type="dxa" w:w="7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54</w:t>
            </w:r>
          </w:p>
        </w:tc>
        <w:tc>
          <w:tcPr>
            <w:tcW w:type="dxa" w:w="7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162</w:t>
            </w:r>
          </w:p>
        </w:tc>
        <w:tc>
          <w:tcPr>
            <w:tcW w:type="dxa" w:w="7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28</w:t>
            </w:r>
          </w:p>
        </w:tc>
        <w:tc>
          <w:tcPr>
            <w:tcW w:type="dxa" w:w="7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14</w:t>
            </w:r>
          </w:p>
        </w:tc>
        <w:tc>
          <w:tcPr>
            <w:tcW w:type="dxa" w:w="7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76</w:t>
            </w:r>
          </w:p>
        </w:tc>
        <w:tc>
          <w:tcPr>
            <w:tcW w:type="dxa" w:w="7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B8540A"/>
                <w:sz w:val="18"/>
                <w:szCs w:val="18"/>
              </w:rPr>
              <w:t xml:space="preserve">−84</w:t>
            </w:r>
          </w:p>
        </w:tc>
        <w:tc>
          <w:tcPr>
            <w:tcW w:type="dxa" w:w="1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196419"/>
                <w:sz w:val="18"/>
                <w:szCs w:val="18"/>
              </w:rPr>
              <w:t xml:space="preserve">490</w:t>
            </w:r>
          </w:p>
        </w:tc>
      </w:tr>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PROGRAMME TOTAL</w:t>
            </w:r>
          </w:p>
        </w:tc>
        <w:tc>
          <w:tcPr>
            <w:tcW w:type="dxa" w:w="7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t>
            </w:r>
          </w:p>
        </w:tc>
        <w:tc>
          <w:tcPr>
            <w:tcW w:type="dxa" w:w="7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1,436</w:t>
            </w:r>
          </w:p>
        </w:tc>
        <w:tc>
          <w:tcPr>
            <w:tcW w:type="dxa" w:w="7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3,654</w:t>
            </w:r>
          </w:p>
        </w:tc>
        <w:tc>
          <w:tcPr>
            <w:tcW w:type="dxa" w:w="7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714</w:t>
            </w:r>
          </w:p>
        </w:tc>
        <w:tc>
          <w:tcPr>
            <w:tcW w:type="dxa" w:w="7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370</w:t>
            </w:r>
          </w:p>
        </w:tc>
        <w:tc>
          <w:tcPr>
            <w:tcW w:type="dxa" w:w="7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1,658</w:t>
            </w:r>
          </w:p>
        </w:tc>
        <w:tc>
          <w:tcPr>
            <w:tcW w:type="dxa" w:w="7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4B942"/>
                <w:sz w:val="18"/>
                <w:szCs w:val="18"/>
              </w:rPr>
              <w:t xml:space="preserve">−1,862</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4B942"/>
                <w:sz w:val="18"/>
                <w:szCs w:val="18"/>
              </w:rPr>
              <w:t xml:space="preserve">10,572</w:t>
            </w:r>
          </w:p>
        </w:tc>
      </w:tr>
    </w:tbl>
    <w:p>
      <w:pPr>
        <w:spacing w:after="60" w:before="60"/>
      </w:pPr>
      <w:r>
        <w:t xml:space="preserve"/>
      </w:r>
    </w:p>
    <w:p>
      <w:r>
        <w:br w:type="page"/>
      </w:r>
    </w:p>
    <w:p>
      <w:pPr>
        <w:pStyle w:val="Heading1"/>
        <w:spacing w:after="120" w:before="300"/>
      </w:pPr>
      <w:r>
        <w:rPr>
          <w:rFonts w:ascii="Arial" w:cs="Arial" w:eastAsia="Arial" w:hAnsi="Arial"/>
          <w:b/>
          <w:bCs/>
          <w:color w:val="1F3864"/>
          <w:sz w:val="32"/>
          <w:szCs w:val="32"/>
        </w:rPr>
        <w:t xml:space="preserve">7. AI Toolchain Usage</w:t>
      </w:r>
    </w:p>
    <w:p>
      <w:pPr>
        <w:spacing w:after="80" w:before="60"/>
      </w:pPr>
      <w:r>
        <w:rPr>
          <w:rFonts w:ascii="Arial" w:cs="Arial" w:eastAsia="Arial" w:hAnsi="Arial"/>
          <w:sz w:val="20"/>
          <w:szCs w:val="20"/>
        </w:rPr>
        <w:t xml:space="preserve">GitHub Copilot (GHCP) and Devin AI are the two approved AI tools, both enabled organisation-wide. All AI-generated outputs are subject to mandatory peer review before deployment to any environment.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500"/>
        <w:gridCol w:w="1560"/>
        <w:gridCol w:w="1500"/>
      </w:tblGrid>
      <w:tr>
        <w:tc>
          <w:tcPr>
            <w:tcW w:type="dxa" w:w="18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Tool</w:t>
            </w:r>
          </w:p>
        </w:tc>
        <w:tc>
          <w:tcPr>
            <w:tcW w:type="dxa" w:w="2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Use Case</w:t>
            </w:r>
          </w:p>
        </w:tc>
        <w:tc>
          <w:tcPr>
            <w:tcW w:type="dxa" w:w="25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Specific Tasks</w:t>
            </w:r>
          </w:p>
        </w:tc>
        <w:tc>
          <w:tcPr>
            <w:tcW w:type="dxa" w:w="15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Saving %</w:t>
            </w:r>
          </w:p>
        </w:tc>
        <w:tc>
          <w:tcPr>
            <w:tcW w:type="dxa" w:w="15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Governance</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GitHub Copilot
(GHCP)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E75B6"/>
                <w:sz w:val="18"/>
                <w:szCs w:val="18"/>
              </w:rPr>
              <w:t xml:space="preserve">Schema &amp; code remediation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SCT-flagged object fixes, SQL Agent→EventBridge scripts, Glue PySpark job scaffolding, T-SQL stored proc validation</w:t>
            </w:r>
          </w:p>
        </w:tc>
        <w:tc>
          <w:tcPr>
            <w:tcW w:type="dxa" w:w="15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B8540A"/>
                <w:sz w:val="18"/>
                <w:szCs w:val="18"/>
              </w:rPr>
              <w:t xml:space="preserve">30% on schema/code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95959"/>
                <w:sz w:val="18"/>
                <w:szCs w:val="18"/>
              </w:rPr>
              <w:t xml:space="preserve">PR review by senior DBA before merge</w:t>
            </w:r>
          </w:p>
        </w:tc>
      </w:tr>
      <w:tr>
        <w:tc>
          <w:tcPr>
            <w:tcW w:type="dxa" w:w="18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GitHub Copilot
(GHCP)</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2E75B6"/>
                <w:sz w:val="18"/>
                <w:szCs w:val="18"/>
              </w:rPr>
              <w:t xml:space="preserve">ETL migration</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SSIS→Glue PySpark conversion, Glue trigger and workflow generation, CDK infrastructure code</w:t>
            </w:r>
          </w:p>
        </w:tc>
        <w:tc>
          <w:tcPr>
            <w:tcW w:type="dxa" w:w="15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B8540A"/>
                <w:sz w:val="18"/>
                <w:szCs w:val="18"/>
              </w:rPr>
              <w:t xml:space="preserve">25% on ETL</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595959"/>
                <w:sz w:val="18"/>
                <w:szCs w:val="18"/>
              </w:rPr>
              <w:t xml:space="preserve">ETL developer code review; functional test required</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GitHub Copilot
(GHCP)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E75B6"/>
                <w:sz w:val="18"/>
                <w:szCs w:val="18"/>
              </w:rPr>
              <w:t xml:space="preserve">Test generation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Regression test case scaffolding, data validation scripts, row count comparison scripts</w:t>
            </w:r>
          </w:p>
        </w:tc>
        <w:tc>
          <w:tcPr>
            <w:tcW w:type="dxa" w:w="15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B8540A"/>
                <w:sz w:val="18"/>
                <w:szCs w:val="18"/>
              </w:rPr>
              <w:t xml:space="preserve">20% on QA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95959"/>
                <w:sz w:val="18"/>
                <w:szCs w:val="18"/>
              </w:rPr>
              <w:t xml:space="preserve">QA lead reviews all generated test cases</w:t>
            </w:r>
          </w:p>
        </w:tc>
      </w:tr>
      <w:tr>
        <w:tc>
          <w:tcPr>
            <w:tcW w:type="dxa" w:w="18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Devin AI</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2E75B6"/>
                <w:sz w:val="18"/>
                <w:szCs w:val="18"/>
              </w:rPr>
              <w:t xml:space="preserve">Bulk remediation</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Autonomous bulk processing of SCT remediation register; raises PRs per object type</w:t>
            </w:r>
          </w:p>
        </w:tc>
        <w:tc>
          <w:tcPr>
            <w:tcW w:type="dxa" w:w="15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B8540A"/>
                <w:sz w:val="18"/>
                <w:szCs w:val="18"/>
              </w:rPr>
              <w:t xml:space="preserve">30% on schema</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595959"/>
                <w:sz w:val="18"/>
                <w:szCs w:val="18"/>
              </w:rPr>
              <w:t xml:space="preserve">Senior DBA approves all PRs; sandboxed branch only</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Devin AI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E75B6"/>
                <w:sz w:val="18"/>
                <w:szCs w:val="18"/>
              </w:rPr>
              <w:t xml:space="preserve">SSRS analysis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SSRS report dependency analysis, report triage scoring, QuickSight dataset mapping suggestions</w:t>
            </w:r>
          </w:p>
        </w:tc>
        <w:tc>
          <w:tcPr>
            <w:tcW w:type="dxa" w:w="15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B8540A"/>
                <w:sz w:val="18"/>
                <w:szCs w:val="18"/>
              </w:rPr>
              <w:t xml:space="preserve">20% on SSRS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95959"/>
                <w:sz w:val="18"/>
                <w:szCs w:val="18"/>
              </w:rPr>
              <w:t xml:space="preserve">BI developer reviews all analysis outputs</w:t>
            </w:r>
          </w:p>
        </w:tc>
      </w:tr>
      <w:tr>
        <w:tc>
          <w:tcPr>
            <w:tcW w:type="dxa" w:w="18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Devin AI</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2E75B6"/>
                <w:sz w:val="18"/>
                <w:szCs w:val="18"/>
              </w:rPr>
              <w:t xml:space="preserve">Backup/restore scripts</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Generates per-application SQL Server Backup to URL scripts and RDS restore playbooks</w:t>
            </w:r>
          </w:p>
        </w:tc>
        <w:tc>
          <w:tcPr>
            <w:tcW w:type="dxa" w:w="15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B8540A"/>
                <w:sz w:val="18"/>
                <w:szCs w:val="18"/>
              </w:rPr>
              <w:t xml:space="preserve">25% on DBA scripts</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595959"/>
                <w:sz w:val="18"/>
                <w:szCs w:val="18"/>
              </w:rPr>
              <w:t xml:space="preserve">DBA validates each script before execution</w:t>
            </w:r>
          </w:p>
        </w:tc>
      </w:tr>
    </w:tbl>
    <w:p>
      <w:pPr>
        <w:spacing w:after="60" w:before="60"/>
      </w:pPr>
      <w:r>
        <w:t xml:space="preserve"/>
      </w:r>
    </w:p>
    <w:p>
      <w:r>
        <w:br w:type="page"/>
      </w:r>
    </w:p>
    <w:p>
      <w:pPr>
        <w:pStyle w:val="Heading1"/>
        <w:spacing w:after="120" w:before="300"/>
      </w:pPr>
      <w:r>
        <w:rPr>
          <w:rFonts w:ascii="Arial" w:cs="Arial" w:eastAsia="Arial" w:hAnsi="Arial"/>
          <w:b/>
          <w:bCs/>
          <w:color w:val="1F3864"/>
          <w:sz w:val="32"/>
          <w:szCs w:val="32"/>
        </w:rPr>
        <w:t xml:space="preserve">8. Automation Tools</w:t>
      </w:r>
    </w:p>
    <w:p>
      <w:pPr>
        <w:spacing w:after="80" w:before="60"/>
      </w:pPr>
      <w:r>
        <w:rPr>
          <w:rFonts w:ascii="Arial" w:cs="Arial" w:eastAsia="Arial" w:hAnsi="Arial"/>
          <w:sz w:val="20"/>
          <w:szCs w:val="20"/>
        </w:rPr>
        <w:t xml:space="preserve">The following automation tools are used across the migration programme to reduce manual effort, enforce consistency, and enable repeatable delivery at scale across all 29 applications.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2000"/>
        <w:gridCol w:w="2400"/>
        <w:gridCol w:w="1460"/>
      </w:tblGrid>
      <w:tr>
        <w:tc>
          <w:tcPr>
            <w:tcW w:type="dxa" w:w="2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Tool</w:t>
            </w:r>
          </w:p>
        </w:tc>
        <w:tc>
          <w:tcPr>
            <w:tcW w:type="dxa" w:w="15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Category</w:t>
            </w:r>
          </w:p>
        </w:tc>
        <w:tc>
          <w:tcPr>
            <w:tcW w:type="dxa" w:w="2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Use in Programme</w:t>
            </w:r>
          </w:p>
        </w:tc>
        <w:tc>
          <w:tcPr>
            <w:tcW w:type="dxa" w:w="24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Key Benefit</w:t>
            </w:r>
          </w:p>
        </w:tc>
        <w:tc>
          <w:tcPr>
            <w:tcW w:type="dxa" w:w="14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Phase</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AWS SCT (Schema Conv. Tool)</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2E75B6"/>
                <w:sz w:val="18"/>
                <w:szCs w:val="18"/>
              </w:rPr>
              <w:t xml:space="preserve">Assessment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Schema assessment for all 29 apps; RDS-incompatible feature report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Automated object inventory; identifies CLR, linked servers, Service Broker</w:t>
            </w:r>
          </w:p>
        </w:tc>
        <w:tc>
          <w:tcPr>
            <w:tcW w:type="dxa" w:w="146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Phase 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AWS DMS (Database Migration Svc)</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75B6"/>
                <w:sz w:val="18"/>
                <w:szCs w:val="18"/>
              </w:rPr>
              <w:t xml:space="preserve">Data Sync</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CDC delta sync post-restore during UAT; task monitoring via CloudWatch</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Near-zero RPO at cutover without manual change capture</w:t>
            </w:r>
          </w:p>
        </w:tc>
        <w:tc>
          <w:tcPr>
            <w:tcW w:type="dxa" w:w="14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All waves</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SQL Server Backup to URL</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2E75B6"/>
                <w:sz w:val="18"/>
                <w:szCs w:val="18"/>
              </w:rPr>
              <w:t xml:space="preserve">Data Migration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Compressed backup to S3 per application; differential chain for &gt;500 GB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Native backup fidelity; no schema conversion; 200–500 GB/hr throughput</w:t>
            </w:r>
          </w:p>
        </w:tc>
        <w:tc>
          <w:tcPr>
            <w:tcW w:type="dxa" w:w="146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All waves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AWS CDK (Cloud Dev Kit)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75B6"/>
                <w:sz w:val="18"/>
                <w:szCs w:val="18"/>
              </w:rPr>
              <w:t xml:space="preserve">IaC</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RDS instances, Glue jobs, EventBridge rules, DMS tasks deployed as code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Repeatable, version-controlled infra; eliminates manual console provisioning</w:t>
            </w:r>
          </w:p>
        </w:tc>
        <w:tc>
          <w:tcPr>
            <w:tcW w:type="dxa" w:w="14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Phase 0+</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AWS Glue Studio</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2E75B6"/>
                <w:sz w:val="18"/>
                <w:szCs w:val="18"/>
              </w:rPr>
              <w:t xml:space="preserve">ETL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Visual ETL for Low-complexity SSIS packages; auto-generates PySpark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Reduces ETL dev effort for simple packages by ~40%</w:t>
            </w:r>
          </w:p>
        </w:tc>
        <w:tc>
          <w:tcPr>
            <w:tcW w:type="dxa" w:w="146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Wave 1+</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AWS Step Functions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75B6"/>
                <w:sz w:val="18"/>
                <w:szCs w:val="18"/>
              </w:rPr>
              <w:t xml:space="preserve">Orchestration</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Orchestrates Glue job sequences replacing SSIS package sequences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Replaces SSIS package execute-control-flow patterns</w:t>
            </w:r>
          </w:p>
        </w:tc>
        <w:tc>
          <w:tcPr>
            <w:tcW w:type="dxa" w:w="14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Wave 1+</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Amazon EventBridge Scheduler</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2E75B6"/>
                <w:sz w:val="18"/>
                <w:szCs w:val="18"/>
              </w:rPr>
              <w:t xml:space="preserve">Scheduling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Recreates SQL Server Agent job schedules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1:1 cron-expression mapping; serverless; no maintenance</w:t>
            </w:r>
          </w:p>
        </w:tc>
        <w:tc>
          <w:tcPr>
            <w:tcW w:type="dxa" w:w="146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All waves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AWS Secrets Manager + Rotation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75B6"/>
                <w:sz w:val="18"/>
                <w:szCs w:val="18"/>
              </w:rPr>
              <w:t xml:space="preserve">Security</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All DB connection strings; automatic credential rotation lambda</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Eliminates hardcoded credentials in config files and Informatica JDBC</w:t>
            </w:r>
          </w:p>
        </w:tc>
        <w:tc>
          <w:tcPr>
            <w:tcW w:type="dxa" w:w="14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Phase 0</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Amazon CloudWatch</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2E75B6"/>
                <w:sz w:val="18"/>
                <w:szCs w:val="18"/>
              </w:rPr>
              <w:t xml:space="preserve">Monitoring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RDS metrics, DMS lag alarms, Glue job failure alerts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Real-time visibility; automated alerts prevent undetected issues</w:t>
            </w:r>
          </w:p>
        </w:tc>
        <w:tc>
          <w:tcPr>
            <w:tcW w:type="dxa" w:w="146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All waves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RDS Performance Insights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75B6"/>
                <w:sz w:val="18"/>
                <w:szCs w:val="18"/>
              </w:rPr>
              <w:t xml:space="preserve">Performance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Query-level performance baseline vs. on-prem; top SQL identification</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Identifies query regressions before cutover sign-off</w:t>
            </w:r>
          </w:p>
        </w:tc>
        <w:tc>
          <w:tcPr>
            <w:tcW w:type="dxa" w:w="14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UAT + post-cutover</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Python boto3 scripts (custom)</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2E75B6"/>
                <w:sz w:val="18"/>
                <w:szCs w:val="18"/>
              </w:rPr>
              <w:t xml:space="preserve">Automation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Row count validation, MD5 hash check, DMS lag polling, cutover checklist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Automated go/no-go decision support at cutover; audit trail</w:t>
            </w:r>
          </w:p>
        </w:tc>
        <w:tc>
          <w:tcPr>
            <w:tcW w:type="dxa" w:w="146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Cutover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HammerDB</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75B6"/>
                <w:sz w:val="18"/>
                <w:szCs w:val="18"/>
              </w:rPr>
              <w:t xml:space="preserve">Load Testing</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SQL Server workload simulation at 120% production peak TPS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Validates RDS instance sizing before go-live</w:t>
            </w:r>
          </w:p>
        </w:tc>
        <w:tc>
          <w:tcPr>
            <w:tcW w:type="dxa" w:w="14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UAT</w:t>
            </w:r>
          </w:p>
        </w:tc>
      </w:tr>
    </w:tbl>
    <w:p>
      <w:pPr>
        <w:spacing w:after="60" w:before="60"/>
      </w:pPr>
      <w:r>
        <w:t xml:space="preserve"/>
      </w:r>
    </w:p>
    <w:p>
      <w:r>
        <w:br w:type="page"/>
      </w:r>
    </w:p>
    <w:p>
      <w:pPr>
        <w:pStyle w:val="Heading1"/>
        <w:spacing w:after="120" w:before="300"/>
      </w:pPr>
      <w:r>
        <w:rPr>
          <w:rFonts w:ascii="Arial" w:cs="Arial" w:eastAsia="Arial" w:hAnsi="Arial"/>
          <w:b/>
          <w:bCs/>
          <w:color w:val="1F3864"/>
          <w:sz w:val="32"/>
          <w:szCs w:val="32"/>
        </w:rPr>
        <w:t xml:space="preserve">9. Reusable Artefacts</w:t>
      </w:r>
    </w:p>
    <w:p>
      <w:pPr>
        <w:spacing w:after="80" w:before="60"/>
      </w:pPr>
      <w:r>
        <w:rPr>
          <w:rFonts w:ascii="Arial" w:cs="Arial" w:eastAsia="Arial" w:hAnsi="Arial"/>
          <w:sz w:val="20"/>
          <w:szCs w:val="20"/>
        </w:rPr>
        <w:t xml:space="preserve">The following artefacts are designed to be created once in Phase 0 / Wave 1 and reused across all subsequent waves, significantly reducing per-application effort from Wave 2 onwards.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2000"/>
        <w:gridCol w:w="1560"/>
      </w:tblGrid>
      <w:tr>
        <w:tc>
          <w:tcPr>
            <w:tcW w:type="dxa" w:w="22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Artefact</w:t>
            </w:r>
          </w:p>
        </w:tc>
        <w:tc>
          <w:tcPr>
            <w:tcW w:type="dxa" w:w="18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Type</w:t>
            </w:r>
          </w:p>
        </w:tc>
        <w:tc>
          <w:tcPr>
            <w:tcW w:type="dxa" w:w="18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Created In</w:t>
            </w:r>
          </w:p>
        </w:tc>
        <w:tc>
          <w:tcPr>
            <w:tcW w:type="dxa" w:w="2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Reused For</w:t>
            </w:r>
          </w:p>
        </w:tc>
        <w:tc>
          <w:tcPr>
            <w:tcW w:type="dxa" w:w="15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Est. Saving</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SQL Server Backup to URL script template</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2E75B6"/>
                <w:sz w:val="18"/>
                <w:szCs w:val="18"/>
              </w:rPr>
              <w:t xml:space="preserve">PowerShell / T-SQL</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Phase 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All 29 applications (parameterised by DB name, S3 path)</w:t>
            </w:r>
          </w:p>
        </w:tc>
        <w:tc>
          <w:tcPr>
            <w:tcW w:type="dxa" w:w="1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196419"/>
                <w:sz w:val="18"/>
                <w:szCs w:val="18"/>
              </w:rPr>
              <w:t xml:space="preserve">1–2 hrs per app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RDS Restore stored procedure call template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75B6"/>
                <w:sz w:val="18"/>
                <w:szCs w:val="18"/>
              </w:rPr>
              <w:t xml:space="preserve">T-SQL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Phase 0</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All 29 applications (parameterised by DB name, S3 URI)</w:t>
            </w:r>
          </w:p>
        </w:tc>
        <w:tc>
          <w:tcPr>
            <w:tcW w:type="dxa" w:w="1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196419"/>
                <w:sz w:val="18"/>
                <w:szCs w:val="18"/>
              </w:rPr>
              <w:t xml:space="preserve">1–2 hrs per app</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DMS CDC task creation CDK construct</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2E75B6"/>
                <w:sz w:val="18"/>
                <w:szCs w:val="18"/>
              </w:rPr>
              <w:t xml:space="preserve">AWS CDK (TypeScript)</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Phase 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All waves; one construct parameterised per app</w:t>
            </w:r>
          </w:p>
        </w:tc>
        <w:tc>
          <w:tcPr>
            <w:tcW w:type="dxa" w:w="1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196419"/>
                <w:sz w:val="18"/>
                <w:szCs w:val="18"/>
              </w:rPr>
              <w:t xml:space="preserve">2–3 hrs per wave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Glue PySpark job template (Low/Med/High)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75B6"/>
                <w:sz w:val="18"/>
                <w:szCs w:val="18"/>
              </w:rPr>
              <w:t xml:space="preserve">Python / PySpark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Wave 1</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All SSIS→Glue migrations; 3 base templates per complexity</w:t>
            </w:r>
          </w:p>
        </w:tc>
        <w:tc>
          <w:tcPr>
            <w:tcW w:type="dxa" w:w="1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196419"/>
                <w:sz w:val="18"/>
                <w:szCs w:val="18"/>
              </w:rPr>
              <w:t xml:space="preserve">2–4 hrs per package</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EventBridge Scheduler CDK module</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2E75B6"/>
                <w:sz w:val="18"/>
                <w:szCs w:val="18"/>
              </w:rPr>
              <w:t xml:space="preserve">AWS CDK</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Phase 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All SQL Agent job migrations (parameterised per job)</w:t>
            </w:r>
          </w:p>
        </w:tc>
        <w:tc>
          <w:tcPr>
            <w:tcW w:type="dxa" w:w="1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196419"/>
                <w:sz w:val="18"/>
                <w:szCs w:val="18"/>
              </w:rPr>
              <w:t xml:space="preserve">1 hr per job</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Cutover checklist runbook (Word template)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75B6"/>
                <w:sz w:val="18"/>
                <w:szCs w:val="18"/>
              </w:rPr>
              <w:t xml:space="preserve">Word document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Wave 1</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All 29 application cutovers; app-specific fields filled</w:t>
            </w:r>
          </w:p>
        </w:tc>
        <w:tc>
          <w:tcPr>
            <w:tcW w:type="dxa" w:w="1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196419"/>
                <w:sz w:val="18"/>
                <w:szCs w:val="18"/>
              </w:rPr>
              <w:t xml:space="preserve">2–3 hrs per cutover</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Row count validation Python script</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2E75B6"/>
                <w:sz w:val="18"/>
                <w:szCs w:val="18"/>
              </w:rPr>
              <w:t xml:space="preserve">Python / boto3</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Phase 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All 29 apps; parameterised by schema and table list</w:t>
            </w:r>
          </w:p>
        </w:tc>
        <w:tc>
          <w:tcPr>
            <w:tcW w:type="dxa" w:w="1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196419"/>
                <w:sz w:val="18"/>
                <w:szCs w:val="18"/>
              </w:rPr>
              <w:t xml:space="preserve">Saves 4–6 hrs per app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MD5 hash comparison script (critical tables)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75B6"/>
                <w:sz w:val="18"/>
                <w:szCs w:val="18"/>
              </w:rPr>
              <w:t xml:space="preserve">Python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Phase 0</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All T2/T3 apps; parameterised per critical table list</w:t>
            </w:r>
          </w:p>
        </w:tc>
        <w:tc>
          <w:tcPr>
            <w:tcW w:type="dxa" w:w="1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196419"/>
                <w:sz w:val="18"/>
                <w:szCs w:val="18"/>
              </w:rPr>
              <w:t xml:space="preserve">Saves 3–4 hrs per app</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CloudWatch dashboard CDK template</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2E75B6"/>
                <w:sz w:val="18"/>
                <w:szCs w:val="18"/>
              </w:rPr>
              <w:t xml:space="preserve">AWS CDK</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Phase 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All 29 RDS instances; parameterised per instance</w:t>
            </w:r>
          </w:p>
        </w:tc>
        <w:tc>
          <w:tcPr>
            <w:tcW w:type="dxa" w:w="1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196419"/>
                <w:sz w:val="18"/>
                <w:szCs w:val="18"/>
              </w:rPr>
              <w:t xml:space="preserve">1 hr per app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SSRS triage assessment template (Excel)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75B6"/>
                <w:sz w:val="18"/>
                <w:szCs w:val="18"/>
              </w:rPr>
              <w:t xml:space="preserve">Excel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Phase 0</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All SSRS report estates; standard triage criteria</w:t>
            </w:r>
          </w:p>
        </w:tc>
        <w:tc>
          <w:tcPr>
            <w:tcW w:type="dxa" w:w="1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196419"/>
                <w:sz w:val="18"/>
                <w:szCs w:val="18"/>
              </w:rPr>
              <w:t xml:space="preserve">1–2 hrs per app</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SME Effort Estimation Workbook (Excel)</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2E75B6"/>
                <w:sz w:val="18"/>
                <w:szCs w:val="18"/>
              </w:rPr>
              <w:t xml:space="preserve">Excel</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Phase 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All 29 application SMEs; standardised input format</w:t>
            </w:r>
          </w:p>
        </w:tc>
        <w:tc>
          <w:tcPr>
            <w:tcW w:type="dxa" w:w="1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196419"/>
                <w:sz w:val="18"/>
                <w:szCs w:val="18"/>
              </w:rPr>
              <w:t xml:space="preserve">Eliminates ad-hoc estimation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RDS parameter group baseline (per tier)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75B6"/>
                <w:sz w:val="18"/>
                <w:szCs w:val="18"/>
              </w:rPr>
              <w:t xml:space="preserve">RDS Config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Phase 0</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3 parameter groups cover all 29 apps by tier</w:t>
            </w:r>
          </w:p>
        </w:tc>
        <w:tc>
          <w:tcPr>
            <w:tcW w:type="dxa" w:w="1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196419"/>
                <w:sz w:val="18"/>
                <w:szCs w:val="18"/>
              </w:rPr>
              <w:t xml:space="preserve">1 group per 3–5 apps</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Informatica JDBC connection update runbook</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2E75B6"/>
                <w:sz w:val="18"/>
                <w:szCs w:val="18"/>
              </w:rPr>
              <w:t xml:space="preserve">Word / Confluence</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Phase 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All Informatica-connected apps post-cutover</w:t>
            </w:r>
          </w:p>
        </w:tc>
        <w:tc>
          <w:tcPr>
            <w:tcW w:type="dxa" w:w="1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196419"/>
                <w:sz w:val="18"/>
                <w:szCs w:val="18"/>
              </w:rPr>
              <w:t xml:space="preserve">0.5 hrs per connection</w:t>
            </w:r>
          </w:p>
        </w:tc>
      </w:tr>
    </w:tbl>
    <w:p>
      <w:pPr>
        <w:spacing w:after="60" w:before="60"/>
      </w:pPr>
      <w:r>
        <w:t xml:space="preserve"/>
      </w:r>
    </w:p>
    <w:p>
      <w:r>
        <w:br w:type="page"/>
      </w:r>
    </w:p>
    <w:p>
      <w:pPr>
        <w:pStyle w:val="Heading1"/>
        <w:spacing w:after="120" w:before="300"/>
      </w:pPr>
      <w:r>
        <w:rPr>
          <w:rFonts w:ascii="Arial" w:cs="Arial" w:eastAsia="Arial" w:hAnsi="Arial"/>
          <w:b/>
          <w:bCs/>
          <w:color w:val="1F3864"/>
          <w:sz w:val="32"/>
          <w:szCs w:val="32"/>
        </w:rPr>
        <w:t xml:space="preserve">10. Migration Optimisation</w:t>
      </w:r>
    </w:p>
    <w:p>
      <w:pPr>
        <w:pStyle w:val="Heading2"/>
        <w:spacing w:after="100" w:before="240"/>
      </w:pPr>
      <w:r>
        <w:rPr>
          <w:rFonts w:ascii="Arial" w:cs="Arial" w:eastAsia="Arial" w:hAnsi="Arial"/>
          <w:b/>
          <w:bCs/>
          <w:color w:val="2E75B6"/>
          <w:sz w:val="26"/>
          <w:szCs w:val="26"/>
        </w:rPr>
        <w:t xml:space="preserve">10.1 Database Migration Optimisation</w:t>
      </w:r>
    </w:p>
    <w:p>
      <w:pPr>
        <w:pStyle w:val="ListParagraph"/>
        <w:numPr>
          <w:ilvl w:val="0"/>
          <w:numId w:val="2"/>
        </w:numPr>
        <w:spacing w:after="40" w:before="40"/>
      </w:pPr>
      <w:r>
        <w:rPr>
          <w:rFonts w:ascii="Arial" w:cs="Arial" w:eastAsia="Arial" w:hAnsi="Arial"/>
          <w:sz w:val="20"/>
          <w:szCs w:val="20"/>
        </w:rPr>
        <w:t xml:space="preserve">Backup compression: Enable SQL Server backup compression (COMPRESSION keyword). Reduces backup size 60–80%; directly reduces S3 transfer time and storage cost.</w:t>
      </w:r>
    </w:p>
    <w:p>
      <w:pPr>
        <w:pStyle w:val="ListParagraph"/>
        <w:numPr>
          <w:ilvl w:val="0"/>
          <w:numId w:val="2"/>
        </w:numPr>
        <w:spacing w:after="40" w:before="40"/>
      </w:pPr>
      <w:r>
        <w:rPr>
          <w:rFonts w:ascii="Arial" w:cs="Arial" w:eastAsia="Arial" w:hAnsi="Arial"/>
          <w:sz w:val="20"/>
          <w:szCs w:val="20"/>
        </w:rPr>
        <w:t xml:space="preserve">Parallel backup streams: Use MAXTRANSFERSIZE=4194304 and BUFFERCOUNT=64 for large databases. Improves backup throughput significantly for T3 apps.</w:t>
      </w:r>
    </w:p>
    <w:p>
      <w:pPr>
        <w:pStyle w:val="ListParagraph"/>
        <w:numPr>
          <w:ilvl w:val="0"/>
          <w:numId w:val="2"/>
        </w:numPr>
        <w:spacing w:after="40" w:before="40"/>
      </w:pPr>
      <w:r>
        <w:rPr>
          <w:rFonts w:ascii="Arial" w:cs="Arial" w:eastAsia="Arial" w:hAnsi="Arial"/>
          <w:sz w:val="20"/>
          <w:szCs w:val="20"/>
        </w:rPr>
        <w:t xml:space="preserve">S3 Transfer Acceleration: Enable for on-prem→S3 backup uploads where Direct Connect is not available or bandwidth-constrained.</w:t>
      </w:r>
    </w:p>
    <w:p>
      <w:pPr>
        <w:pStyle w:val="ListParagraph"/>
        <w:numPr>
          <w:ilvl w:val="0"/>
          <w:numId w:val="2"/>
        </w:numPr>
        <w:spacing w:after="40" w:before="40"/>
      </w:pPr>
      <w:r>
        <w:rPr>
          <w:rFonts w:ascii="Arial" w:cs="Arial" w:eastAsia="Arial" w:hAnsi="Arial"/>
          <w:sz w:val="20"/>
          <w:szCs w:val="20"/>
        </w:rPr>
        <w:t xml:space="preserve">Wave sequencing: Schedule T1 (simple) apps first. Early waves build team operational confidence and surface tooling issues before high-risk T3 apps.</w:t>
      </w:r>
    </w:p>
    <w:p>
      <w:pPr>
        <w:pStyle w:val="ListParagraph"/>
        <w:numPr>
          <w:ilvl w:val="0"/>
          <w:numId w:val="2"/>
        </w:numPr>
        <w:spacing w:after="40" w:before="40"/>
      </w:pPr>
      <w:r>
        <w:rPr>
          <w:rFonts w:ascii="Arial" w:cs="Arial" w:eastAsia="Arial" w:hAnsi="Arial"/>
          <w:sz w:val="20"/>
          <w:szCs w:val="20"/>
        </w:rPr>
        <w:t xml:space="preserve">Backup window optimisation: Run full backups during off-peak hours (01:00–05:00). Differential backups daily until final cutover restore.</w:t>
      </w:r>
    </w:p>
    <w:p>
      <w:pPr>
        <w:spacing w:after="60" w:before="60"/>
      </w:pPr>
      <w:r>
        <w:t xml:space="preserve"/>
      </w:r>
    </w:p>
    <w:p>
      <w:pPr>
        <w:pStyle w:val="Heading2"/>
        <w:spacing w:after="100" w:before="240"/>
      </w:pPr>
      <w:r>
        <w:rPr>
          <w:rFonts w:ascii="Arial" w:cs="Arial" w:eastAsia="Arial" w:hAnsi="Arial"/>
          <w:b/>
          <w:bCs/>
          <w:color w:val="2E75B6"/>
          <w:sz w:val="26"/>
          <w:szCs w:val="26"/>
        </w:rPr>
        <w:t xml:space="preserve">10.2 RDS Performance Optimisation</w:t>
      </w:r>
    </w:p>
    <w:p>
      <w:pPr>
        <w:pStyle w:val="ListParagraph"/>
        <w:numPr>
          <w:ilvl w:val="0"/>
          <w:numId w:val="2"/>
        </w:numPr>
        <w:spacing w:after="40" w:before="40"/>
      </w:pPr>
      <w:r>
        <w:rPr>
          <w:rFonts w:ascii="Arial" w:cs="Arial" w:eastAsia="Arial" w:hAnsi="Arial"/>
          <w:sz w:val="20"/>
          <w:szCs w:val="20"/>
        </w:rPr>
        <w:t xml:space="preserve">Instance right-sizing: Establish on-prem CPU/memory/IOPS baseline using DMVs before provisioning. Start at matched spec; right-size after 30-day post-migration baseline.</w:t>
      </w:r>
    </w:p>
    <w:p>
      <w:pPr>
        <w:pStyle w:val="ListParagraph"/>
        <w:numPr>
          <w:ilvl w:val="0"/>
          <w:numId w:val="2"/>
        </w:numPr>
        <w:spacing w:after="40" w:before="40"/>
      </w:pPr>
      <w:r>
        <w:rPr>
          <w:rFonts w:ascii="Arial" w:cs="Arial" w:eastAsia="Arial" w:hAnsi="Arial"/>
          <w:sz w:val="20"/>
          <w:szCs w:val="20"/>
        </w:rPr>
        <w:t xml:space="preserve">Read replicas: Provision RDS read replicas for heavy SSRS reporting load (particularly Reporting Hub and Analytics Data Mart) to offload read queries from primary.</w:t>
      </w:r>
    </w:p>
    <w:p>
      <w:pPr>
        <w:pStyle w:val="ListParagraph"/>
        <w:numPr>
          <w:ilvl w:val="0"/>
          <w:numId w:val="2"/>
        </w:numPr>
        <w:spacing w:after="40" w:before="40"/>
      </w:pPr>
      <w:r>
        <w:rPr>
          <w:rFonts w:ascii="Arial" w:cs="Arial" w:eastAsia="Arial" w:hAnsi="Arial"/>
          <w:sz w:val="20"/>
          <w:szCs w:val="20"/>
        </w:rPr>
        <w:t xml:space="preserve">Parameter group tuning: Set max_degree_of_parallelism, cost_threshold_for_parallelism, and tempdb file count per on-prem equivalents before cutover.</w:t>
      </w:r>
    </w:p>
    <w:p>
      <w:pPr>
        <w:pStyle w:val="ListParagraph"/>
        <w:numPr>
          <w:ilvl w:val="0"/>
          <w:numId w:val="2"/>
        </w:numPr>
        <w:spacing w:after="40" w:before="40"/>
      </w:pPr>
      <w:r>
        <w:rPr>
          <w:rFonts w:ascii="Arial" w:cs="Arial" w:eastAsia="Arial" w:hAnsi="Arial"/>
          <w:sz w:val="20"/>
          <w:szCs w:val="20"/>
        </w:rPr>
        <w:t xml:space="preserve">Index maintenance: Run index rebuild/reorganise on RDS after restore (statistics don't always transfer optimally). Schedule during first maintenance window.</w:t>
      </w:r>
    </w:p>
    <w:p>
      <w:pPr>
        <w:pStyle w:val="ListParagraph"/>
        <w:numPr>
          <w:ilvl w:val="0"/>
          <w:numId w:val="2"/>
        </w:numPr>
        <w:spacing w:after="40" w:before="40"/>
      </w:pPr>
      <w:r>
        <w:rPr>
          <w:rFonts w:ascii="Arial" w:cs="Arial" w:eastAsia="Arial" w:hAnsi="Arial"/>
          <w:sz w:val="20"/>
          <w:szCs w:val="20"/>
        </w:rPr>
        <w:t xml:space="preserve">Reserved Instances: Purchase 1-year Reserved Instances for stable baseline workloads after 30-day post-migration right-sizing. Estimated 40% cost saving vs. On-Demand.</w:t>
      </w:r>
    </w:p>
    <w:p>
      <w:pPr>
        <w:spacing w:after="60" w:before="60"/>
      </w:pPr>
      <w:r>
        <w:t xml:space="preserve"/>
      </w:r>
    </w:p>
    <w:p>
      <w:pPr>
        <w:pStyle w:val="Heading2"/>
        <w:spacing w:after="100" w:before="240"/>
      </w:pPr>
      <w:r>
        <w:rPr>
          <w:rFonts w:ascii="Arial" w:cs="Arial" w:eastAsia="Arial" w:hAnsi="Arial"/>
          <w:b/>
          <w:bCs/>
          <w:color w:val="2E75B6"/>
          <w:sz w:val="26"/>
          <w:szCs w:val="26"/>
        </w:rPr>
        <w:t xml:space="preserve">10.3 AWS Glue ETL Optimisation</w:t>
      </w:r>
    </w:p>
    <w:p>
      <w:pPr>
        <w:pStyle w:val="ListParagraph"/>
        <w:numPr>
          <w:ilvl w:val="0"/>
          <w:numId w:val="2"/>
        </w:numPr>
        <w:spacing w:after="40" w:before="40"/>
      </w:pPr>
      <w:r>
        <w:rPr>
          <w:rFonts w:ascii="Arial" w:cs="Arial" w:eastAsia="Arial" w:hAnsi="Arial"/>
          <w:sz w:val="20"/>
          <w:szCs w:val="20"/>
        </w:rPr>
        <w:t xml:space="preserve">DPU right-sizing: Start Glue jobs at G.1X (default); increase to G.2X only for jobs processing &gt;50 GB. Avoid over-provisioning DPUs — cost scales linearly.</w:t>
      </w:r>
    </w:p>
    <w:p>
      <w:pPr>
        <w:pStyle w:val="ListParagraph"/>
        <w:numPr>
          <w:ilvl w:val="0"/>
          <w:numId w:val="2"/>
        </w:numPr>
        <w:spacing w:after="40" w:before="40"/>
      </w:pPr>
      <w:r>
        <w:rPr>
          <w:rFonts w:ascii="Arial" w:cs="Arial" w:eastAsia="Arial" w:hAnsi="Arial"/>
          <w:sz w:val="20"/>
          <w:szCs w:val="20"/>
        </w:rPr>
        <w:t xml:space="preserve">Glue job bookmarks: Enable for incremental load jobs to avoid reprocessing already-ingested data.</w:t>
      </w:r>
    </w:p>
    <w:p>
      <w:pPr>
        <w:pStyle w:val="ListParagraph"/>
        <w:numPr>
          <w:ilvl w:val="0"/>
          <w:numId w:val="2"/>
        </w:numPr>
        <w:spacing w:after="40" w:before="40"/>
      </w:pPr>
      <w:r>
        <w:rPr>
          <w:rFonts w:ascii="Arial" w:cs="Arial" w:eastAsia="Arial" w:hAnsi="Arial"/>
          <w:sz w:val="20"/>
          <w:szCs w:val="20"/>
        </w:rPr>
        <w:t xml:space="preserve">Pushdown predicates: Use Glue connection pushdown to filter at source (RDS) rather than pulling all data into Spark memory.</w:t>
      </w:r>
    </w:p>
    <w:p>
      <w:pPr>
        <w:pStyle w:val="ListParagraph"/>
        <w:numPr>
          <w:ilvl w:val="0"/>
          <w:numId w:val="2"/>
        </w:numPr>
        <w:spacing w:after="40" w:before="40"/>
      </w:pPr>
      <w:r>
        <w:rPr>
          <w:rFonts w:ascii="Arial" w:cs="Arial" w:eastAsia="Arial" w:hAnsi="Arial"/>
          <w:sz w:val="20"/>
          <w:szCs w:val="20"/>
        </w:rPr>
        <w:t xml:space="preserve">Reuse Glue base templates: Wave 1 establishes three base PySpark templates (Low/Med/High). Waves 2–4 parameterise these templates rather than writing from scratch.</w:t>
      </w:r>
    </w:p>
    <w:p>
      <w:pPr>
        <w:spacing w:after="60" w:before="60"/>
      </w:pPr>
      <w:r>
        <w:t xml:space="preserve"/>
      </w:r>
    </w:p>
    <w:p>
      <w:pPr>
        <w:pStyle w:val="Heading2"/>
        <w:spacing w:after="100" w:before="240"/>
      </w:pPr>
      <w:r>
        <w:rPr>
          <w:rFonts w:ascii="Arial" w:cs="Arial" w:eastAsia="Arial" w:hAnsi="Arial"/>
          <w:b/>
          <w:bCs/>
          <w:color w:val="2E75B6"/>
          <w:sz w:val="26"/>
          <w:szCs w:val="26"/>
        </w:rPr>
        <w:t xml:space="preserve">10.4 Cost Optimisation</w:t>
      </w:r>
    </w:p>
    <w:p>
      <w:pPr>
        <w:pStyle w:val="ListParagraph"/>
        <w:numPr>
          <w:ilvl w:val="0"/>
          <w:numId w:val="2"/>
        </w:numPr>
        <w:spacing w:after="40" w:before="40"/>
      </w:pPr>
      <w:r>
        <w:rPr>
          <w:rFonts w:ascii="Arial" w:cs="Arial" w:eastAsia="Arial" w:hAnsi="Arial"/>
          <w:sz w:val="20"/>
          <w:szCs w:val="20"/>
        </w:rPr>
        <w:t xml:space="preserve">DMS replication instance: Use r5.2xlarge for Wave 1–2; scale to r5.4xlarge for T3 apps with large CDC volumes. Terminate DMS instances post-cutover (not needed post-wave).</w:t>
      </w:r>
    </w:p>
    <w:p>
      <w:pPr>
        <w:pStyle w:val="ListParagraph"/>
        <w:numPr>
          <w:ilvl w:val="0"/>
          <w:numId w:val="2"/>
        </w:numPr>
        <w:spacing w:after="40" w:before="40"/>
      </w:pPr>
      <w:r>
        <w:rPr>
          <w:rFonts w:ascii="Arial" w:cs="Arial" w:eastAsia="Arial" w:hAnsi="Arial"/>
          <w:sz w:val="20"/>
          <w:szCs w:val="20"/>
        </w:rPr>
        <w:t xml:space="preserve">S3 lifecycle policies: Move backup files to S3 Glacier Instant Retrieval after 30 days, Deep Archive after 90 days. Retain for minimum 1 year for rollback capability.</w:t>
      </w:r>
    </w:p>
    <w:p>
      <w:pPr>
        <w:pStyle w:val="ListParagraph"/>
        <w:numPr>
          <w:ilvl w:val="0"/>
          <w:numId w:val="2"/>
        </w:numPr>
        <w:spacing w:after="40" w:before="40"/>
      </w:pPr>
      <w:r>
        <w:rPr>
          <w:rFonts w:ascii="Arial" w:cs="Arial" w:eastAsia="Arial" w:hAnsi="Arial"/>
          <w:sz w:val="20"/>
          <w:szCs w:val="20"/>
        </w:rPr>
        <w:t xml:space="preserve">RDS Multi-AZ: Use Single-AZ for Dev/Test environments; Multi-AZ only for Production. Reduces non-prod cost by ~50%.</w:t>
      </w:r>
    </w:p>
    <w:p>
      <w:pPr>
        <w:pStyle w:val="ListParagraph"/>
        <w:numPr>
          <w:ilvl w:val="0"/>
          <w:numId w:val="2"/>
        </w:numPr>
        <w:spacing w:after="40" w:before="40"/>
      </w:pPr>
      <w:r>
        <w:rPr>
          <w:rFonts w:ascii="Arial" w:cs="Arial" w:eastAsia="Arial" w:hAnsi="Arial"/>
          <w:sz w:val="20"/>
          <w:szCs w:val="20"/>
        </w:rPr>
        <w:t xml:space="preserve">Glue job scheduling: Run ETL jobs during AWS off-peak where latency allows. Glue is billed per DPU-second; job duration directly drives cost.</w:t>
      </w:r>
    </w:p>
    <w:p>
      <w:pPr>
        <w:spacing w:after="60" w:before="60"/>
      </w:pPr>
      <w:r>
        <w:t xml:space="preserve"/>
      </w:r>
    </w:p>
    <w:p>
      <w:r>
        <w:br w:type="page"/>
      </w:r>
    </w:p>
    <w:p>
      <w:pPr>
        <w:pStyle w:val="Heading1"/>
        <w:spacing w:after="120" w:before="300"/>
      </w:pPr>
      <w:r>
        <w:rPr>
          <w:rFonts w:ascii="Arial" w:cs="Arial" w:eastAsia="Arial" w:hAnsi="Arial"/>
          <w:b/>
          <w:bCs/>
          <w:color w:val="1F3864"/>
          <w:sz w:val="32"/>
          <w:szCs w:val="32"/>
        </w:rPr>
        <w:t xml:space="preserve">11. 9-Month Phase &amp; Wave Plan</w:t>
      </w:r>
    </w:p>
    <w:p>
      <w:pPr>
        <w:spacing w:after="80" w:before="60"/>
      </w:pPr>
      <w:r>
        <w:rPr>
          <w:rFonts w:ascii="Arial" w:cs="Arial" w:eastAsia="Arial" w:hAnsi="Arial"/>
          <w:sz w:val="20"/>
          <w:szCs w:val="20"/>
        </w:rPr>
        <w:t xml:space="preserve">Six phases across nine months. Each wave runs a full lifecycle: backup/restore → CDC sync → ETL migration → reporting migration → UAT → cutover → 30-day hypercare.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100"/>
              <w:left w:type="dxa" w:w="200"/>
              <w:bottom w:type="dxa" w:w="100"/>
              <w:right w:type="dxa" w:w="200"/>
            </w:tcMar>
          </w:tcPr>
          <w:p>
            <w:r>
              <w:rPr>
                <w:rFonts w:ascii="Arial" w:cs="Arial" w:eastAsia="Arial" w:hAnsi="Arial"/>
                <w:b/>
                <w:bCs/>
                <w:color w:val="FFFFFF"/>
                <w:sz w:val="24"/>
                <w:szCs w:val="24"/>
              </w:rPr>
              <w:t xml:space="preserve">PHASE 0 — FOUNDATION &amp; PLANNING  (Month 1–2)</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400"/>
        <w:gridCol w:w="1500"/>
        <w:gridCol w:w="1260"/>
      </w:tblGrid>
      <w:tr>
        <w:tc>
          <w:tcPr>
            <w:tcW w:type="dxa" w:w="320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Activity</w:t>
            </w:r>
          </w:p>
        </w:tc>
        <w:tc>
          <w:tcPr>
            <w:tcW w:type="dxa" w:w="340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Deliverable</w:t>
            </w:r>
          </w:p>
        </w:tc>
        <w:tc>
          <w:tcPr>
            <w:tcW w:type="dxa" w:w="150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Owner</w:t>
            </w:r>
          </w:p>
        </w:tc>
        <w:tc>
          <w:tcPr>
            <w:tcW w:type="dxa" w:w="126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Effort (hrs)</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AWS Landing Zone, VPC, subnets, SGs</w:t>
            </w:r>
          </w:p>
        </w:tc>
        <w:tc>
          <w:tcPr>
            <w:tcW w:type="dxa" w:w="3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VPC, Direct Connect/VPN, security groups</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2E75B6"/>
                <w:sz w:val="18"/>
                <w:szCs w:val="18"/>
              </w:rPr>
              <w:t xml:space="preserve">AWS Infra</w:t>
            </w:r>
          </w:p>
        </w:tc>
        <w:tc>
          <w:tcPr>
            <w:tcW w:type="dxa" w:w="12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196419"/>
                <w:sz w:val="18"/>
                <w:szCs w:val="18"/>
              </w:rPr>
              <w:t xml:space="preserve">40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RDS SQL Server provisioning (Dev + Test + Prod per tier)</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Multi-AZ instances, parameter groups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5B6"/>
                <w:sz w:val="18"/>
                <w:szCs w:val="18"/>
              </w:rPr>
              <w:t xml:space="preserve">DBA + Infra</w:t>
            </w:r>
          </w:p>
        </w:tc>
        <w:tc>
          <w:tcPr>
            <w:tcW w:type="dxa" w:w="12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196419"/>
                <w:sz w:val="18"/>
                <w:szCs w:val="18"/>
              </w:rPr>
              <w:t xml:space="preserve">24</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S3 backup bucket + IAM roles setup</w:t>
            </w:r>
          </w:p>
        </w:tc>
        <w:tc>
          <w:tcPr>
            <w:tcW w:type="dxa" w:w="3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S3 bucket, Backup to URL policy, lifecycle rules</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2E75B6"/>
                <w:sz w:val="18"/>
                <w:szCs w:val="18"/>
              </w:rPr>
              <w:t xml:space="preserve">DBA</w:t>
            </w:r>
          </w:p>
        </w:tc>
        <w:tc>
          <w:tcPr>
            <w:tcW w:type="dxa" w:w="12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196419"/>
                <w:sz w:val="18"/>
                <w:szCs w:val="18"/>
              </w:rPr>
              <w:t xml:space="preserve">8</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DMS replication instance setup</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r5.2xlarge DMS instance, endpoints per Wave 1 apps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5B6"/>
                <w:sz w:val="18"/>
                <w:szCs w:val="18"/>
              </w:rPr>
              <w:t xml:space="preserve">DBA</w:t>
            </w:r>
          </w:p>
        </w:tc>
        <w:tc>
          <w:tcPr>
            <w:tcW w:type="dxa" w:w="12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196419"/>
                <w:sz w:val="18"/>
                <w:szCs w:val="18"/>
              </w:rPr>
              <w:t xml:space="preserve">16</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AWS SCT assessment (all 29 apps)</w:t>
            </w:r>
          </w:p>
        </w:tc>
        <w:tc>
          <w:tcPr>
            <w:tcW w:type="dxa" w:w="3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SCT report, remediation register per app</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2E75B6"/>
                <w:sz w:val="18"/>
                <w:szCs w:val="18"/>
              </w:rPr>
              <w:t xml:space="preserve">DBA</w:t>
            </w:r>
          </w:p>
        </w:tc>
        <w:tc>
          <w:tcPr>
            <w:tcW w:type="dxa" w:w="12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196419"/>
                <w:sz w:val="18"/>
                <w:szCs w:val="18"/>
              </w:rPr>
              <w:t xml:space="preserve">80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SSIS package inventory + complexity triage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SSIS inventory workbook, Glue plan per app</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5B6"/>
                <w:sz w:val="18"/>
                <w:szCs w:val="18"/>
              </w:rPr>
              <w:t xml:space="preserve">ETL Dev</w:t>
            </w:r>
          </w:p>
        </w:tc>
        <w:tc>
          <w:tcPr>
            <w:tcW w:type="dxa" w:w="12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196419"/>
                <w:sz w:val="18"/>
                <w:szCs w:val="18"/>
              </w:rPr>
              <w:t xml:space="preserve">40</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SSRS access log audit + triage</w:t>
            </w:r>
          </w:p>
        </w:tc>
        <w:tc>
          <w:tcPr>
            <w:tcW w:type="dxa" w:w="3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Report triage register (EC2/QS/PBI/Decommission)</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2E75B6"/>
                <w:sz w:val="18"/>
                <w:szCs w:val="18"/>
              </w:rPr>
              <w:t xml:space="preserve">BI Dev</w:t>
            </w:r>
          </w:p>
        </w:tc>
        <w:tc>
          <w:tcPr>
            <w:tcW w:type="dxa" w:w="12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196419"/>
                <w:sz w:val="18"/>
                <w:szCs w:val="18"/>
              </w:rPr>
              <w:t xml:space="preserve">32</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Informatica JDBC connection inventory</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Connection object list + RDS endpoint mapping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5B6"/>
                <w:sz w:val="18"/>
                <w:szCs w:val="18"/>
              </w:rPr>
              <w:t xml:space="preserve">ETL Dev</w:t>
            </w:r>
          </w:p>
        </w:tc>
        <w:tc>
          <w:tcPr>
            <w:tcW w:type="dxa" w:w="12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196419"/>
                <w:sz w:val="18"/>
                <w:szCs w:val="18"/>
              </w:rPr>
              <w:t xml:space="preserve">8</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Wave sequencing + dependency mapping</w:t>
            </w:r>
          </w:p>
        </w:tc>
        <w:tc>
          <w:tcPr>
            <w:tcW w:type="dxa" w:w="3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Dependency map, wave assignment matrix</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2E75B6"/>
                <w:sz w:val="18"/>
                <w:szCs w:val="18"/>
              </w:rPr>
              <w:t xml:space="preserve">Architect</w:t>
            </w:r>
          </w:p>
        </w:tc>
        <w:tc>
          <w:tcPr>
            <w:tcW w:type="dxa" w:w="12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196419"/>
                <w:sz w:val="18"/>
                <w:szCs w:val="18"/>
              </w:rPr>
              <w:t xml:space="preserve">24</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AWS training (DBA + ETL + DevOps teams)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RDS admin, Glue authoring, CDK certification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5B6"/>
                <w:sz w:val="18"/>
                <w:szCs w:val="18"/>
              </w:rPr>
              <w:t xml:space="preserve">PM</w:t>
            </w:r>
          </w:p>
        </w:tc>
        <w:tc>
          <w:tcPr>
            <w:tcW w:type="dxa" w:w="12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196419"/>
                <w:sz w:val="18"/>
                <w:szCs w:val="18"/>
              </w:rPr>
              <w:t xml:space="preserve">40</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AWS CDK pipeline setup (CodePipeline)</w:t>
            </w:r>
          </w:p>
        </w:tc>
        <w:tc>
          <w:tcPr>
            <w:tcW w:type="dxa" w:w="3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CDK repo; Glue, EventBridge, DMS stacks</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2E75B6"/>
                <w:sz w:val="18"/>
                <w:szCs w:val="18"/>
              </w:rPr>
              <w:t xml:space="preserve">DevOps</w:t>
            </w:r>
          </w:p>
        </w:tc>
        <w:tc>
          <w:tcPr>
            <w:tcW w:type="dxa" w:w="12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196419"/>
                <w:sz w:val="18"/>
                <w:szCs w:val="18"/>
              </w:rPr>
              <w:t xml:space="preserve">48</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Reusable artefact creation (scripts, templates)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Backup script, restore proc, validation scripts, runbooks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5B6"/>
                <w:sz w:val="18"/>
                <w:szCs w:val="18"/>
              </w:rPr>
              <w:t xml:space="preserve">DBA + DevOps</w:t>
            </w:r>
          </w:p>
        </w:tc>
        <w:tc>
          <w:tcPr>
            <w:tcW w:type="dxa" w:w="12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196419"/>
                <w:sz w:val="18"/>
                <w:szCs w:val="18"/>
              </w:rPr>
              <w:t xml:space="preserve">64</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Secrets Manager + Parameter Store setup</w:t>
            </w:r>
          </w:p>
        </w:tc>
        <w:tc>
          <w:tcPr>
            <w:tcW w:type="dxa" w:w="3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All app connection strings migrated</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2E75B6"/>
                <w:sz w:val="18"/>
                <w:szCs w:val="18"/>
              </w:rPr>
              <w:t xml:space="preserve">Infra</w:t>
            </w:r>
          </w:p>
        </w:tc>
        <w:tc>
          <w:tcPr>
            <w:tcW w:type="dxa" w:w="12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196419"/>
                <w:sz w:val="18"/>
                <w:szCs w:val="18"/>
              </w:rPr>
              <w:t xml:space="preserve">24</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CloudWatch dashboards + alerting</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RDS, DMS, Glue monitors per app</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5B6"/>
                <w:sz w:val="18"/>
                <w:szCs w:val="18"/>
              </w:rPr>
              <w:t xml:space="preserve">Infra</w:t>
            </w:r>
          </w:p>
        </w:tc>
        <w:tc>
          <w:tcPr>
            <w:tcW w:type="dxa" w:w="12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196419"/>
                <w:sz w:val="18"/>
                <w:szCs w:val="18"/>
              </w:rPr>
              <w:t xml:space="preserve">24</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375623" w:val="clear"/>
            <w:tcMar>
              <w:top w:type="dxa" w:w="100"/>
              <w:left w:type="dxa" w:w="200"/>
              <w:bottom w:type="dxa" w:w="100"/>
              <w:right w:type="dxa" w:w="200"/>
            </w:tcMar>
          </w:tcPr>
          <w:p>
            <w:r>
              <w:rPr>
                <w:rFonts w:ascii="Arial" w:cs="Arial" w:eastAsia="Arial" w:hAnsi="Arial"/>
                <w:b/>
                <w:bCs/>
                <w:color w:val="FFFFFF"/>
                <w:sz w:val="24"/>
                <w:szCs w:val="24"/>
              </w:rPr>
              <w:t xml:space="preserve">PHASE 1 — WAVE 1: SIMPLE APPS  (Month 2–4)</w:t>
            </w:r>
          </w:p>
        </w:tc>
      </w:tr>
    </w:tbl>
    <w:p>
      <w:pPr>
        <w:spacing w:after="60" w:before="60"/>
      </w:pPr>
      <w:r>
        <w:t xml:space="preserve"/>
      </w:r>
    </w:p>
    <w:p>
      <w:pPr>
        <w:spacing w:after="80" w:before="60"/>
      </w:pPr>
      <w:r>
        <w:rPr>
          <w:rFonts w:ascii="Arial" w:cs="Arial" w:eastAsia="Arial" w:hAnsi="Arial"/>
          <w:sz w:val="20"/>
          <w:szCs w:val="20"/>
        </w:rPr>
        <w:t xml:space="preserve">~9 T1 Simple apps: Customer Portal DB, Product Catalogue, Contract Management, Partner Portal DB, Workforce Management, Trouble Ticketing DB, SLA Management, Campaign Management, Equipment Inventory.</w:t>
      </w:r>
    </w:p>
    <w:p>
      <w:pPr>
        <w:spacing w:after="60" w:before="60"/>
      </w:pPr>
      <w:r>
        <w:t xml:space="preserve"/>
      </w:r>
    </w:p>
    <w:p>
      <w:pPr>
        <w:pStyle w:val="ListParagraph"/>
        <w:numPr>
          <w:ilvl w:val="0"/>
          <w:numId w:val="2"/>
        </w:numPr>
        <w:spacing w:after="40" w:before="40"/>
      </w:pPr>
      <w:r>
        <w:rPr>
          <w:rFonts w:ascii="Arial" w:cs="Arial" w:eastAsia="Arial" w:hAnsi="Arial"/>
          <w:sz w:val="20"/>
          <w:szCs w:val="20"/>
        </w:rPr>
        <w:t xml:space="preserve">Backup/Restore (Dev): SQL Server Backup to S3; restore to Dev RDS. Dev validation: schema check + smoke test. Promote to Test RDS restore. Test UAT runs. Promote to Prod RDS restore at cutover.</w:t>
      </w:r>
    </w:p>
    <w:p>
      <w:pPr>
        <w:pStyle w:val="ListParagraph"/>
        <w:numPr>
          <w:ilvl w:val="0"/>
          <w:numId w:val="2"/>
        </w:numPr>
        <w:spacing w:after="40" w:before="40"/>
      </w:pPr>
      <w:r>
        <w:rPr>
          <w:rFonts w:ascii="Arial" w:cs="Arial" w:eastAsia="Arial" w:hAnsi="Arial"/>
          <w:sz w:val="20"/>
          <w:szCs w:val="20"/>
        </w:rPr>
        <w:t xml:space="preserve">CDC Sync: DMS CDC activated post-restore. Lag monitored ≤10 seconds throughout UAT.</w:t>
      </w:r>
    </w:p>
    <w:p>
      <w:pPr>
        <w:pStyle w:val="ListParagraph"/>
        <w:numPr>
          <w:ilvl w:val="0"/>
          <w:numId w:val="2"/>
        </w:numPr>
        <w:spacing w:after="40" w:before="40"/>
      </w:pPr>
      <w:r>
        <w:rPr>
          <w:rFonts w:ascii="Arial" w:cs="Arial" w:eastAsia="Arial" w:hAnsi="Arial"/>
          <w:sz w:val="20"/>
          <w:szCs w:val="20"/>
        </w:rPr>
        <w:t xml:space="preserve">ETL (SSIS→Glue): Glue jobs developed in Dev Glue environment; promoted to Test via CDK pipeline; deployed to Prod CDK stack at go-live. GHCP generates initial PySpark job code in Dev.</w:t>
      </w:r>
    </w:p>
    <w:p>
      <w:pPr>
        <w:pStyle w:val="ListParagraph"/>
        <w:numPr>
          <w:ilvl w:val="0"/>
          <w:numId w:val="2"/>
        </w:numPr>
        <w:spacing w:after="40" w:before="40"/>
      </w:pPr>
      <w:r>
        <w:rPr>
          <w:rFonts w:ascii="Arial" w:cs="Arial" w:eastAsia="Arial" w:hAnsi="Arial"/>
          <w:sz w:val="20"/>
          <w:szCs w:val="20"/>
        </w:rPr>
        <w:t xml:space="preserve">SSRS: Primarily QuickSight or EC2 lift-and-shift. Simple parameterised reports.</w:t>
      </w:r>
    </w:p>
    <w:p>
      <w:pPr>
        <w:pStyle w:val="ListParagraph"/>
        <w:numPr>
          <w:ilvl w:val="0"/>
          <w:numId w:val="2"/>
        </w:numPr>
        <w:spacing w:after="40" w:before="40"/>
      </w:pPr>
      <w:r>
        <w:rPr>
          <w:rFonts w:ascii="Arial" w:cs="Arial" w:eastAsia="Arial" w:hAnsi="Arial"/>
          <w:sz w:val="20"/>
          <w:szCs w:val="20"/>
        </w:rPr>
        <w:t xml:space="preserve">Cutover: Weekend window. DMS CDC at 0 lag before freeze. Smoke test. RTO: 2 hours.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7030A0" w:val="clear"/>
            <w:tcMar>
              <w:top w:type="dxa" w:w="100"/>
              <w:left w:type="dxa" w:w="200"/>
              <w:bottom w:type="dxa" w:w="100"/>
              <w:right w:type="dxa" w:w="200"/>
            </w:tcMar>
          </w:tcPr>
          <w:p>
            <w:r>
              <w:rPr>
                <w:rFonts w:ascii="Arial" w:cs="Arial" w:eastAsia="Arial" w:hAnsi="Arial"/>
                <w:b/>
                <w:bCs/>
                <w:color w:val="FFFFFF"/>
                <w:sz w:val="24"/>
                <w:szCs w:val="24"/>
              </w:rPr>
              <w:t xml:space="preserve">PHASE 2 — WAVE 2: MODERATE APPS  (Month 3–5)</w:t>
            </w:r>
          </w:p>
        </w:tc>
      </w:tr>
    </w:tbl>
    <w:p>
      <w:pPr>
        <w:spacing w:after="60" w:before="60"/>
      </w:pPr>
      <w:r>
        <w:t xml:space="preserve"/>
      </w:r>
    </w:p>
    <w:p>
      <w:pPr>
        <w:spacing w:after="80" w:before="60"/>
      </w:pPr>
      <w:r>
        <w:rPr>
          <w:rFonts w:ascii="Arial" w:cs="Arial" w:eastAsia="Arial" w:hAnsi="Arial"/>
          <w:sz w:val="20"/>
          <w:szCs w:val="20"/>
        </w:rPr>
        <w:t xml:space="preserve">~8 T2 Moderate apps: Order Management, Billing Engine, Network Inventory DB, CRM Integration, Interconnect Billing, Roaming Settlement, Dunning &amp; Collections, Service Activation.</w:t>
      </w:r>
    </w:p>
    <w:p>
      <w:pPr>
        <w:spacing w:after="60" w:before="60"/>
      </w:pPr>
      <w:r>
        <w:t xml:space="preserve"/>
      </w:r>
    </w:p>
    <w:p>
      <w:pPr>
        <w:pStyle w:val="ListParagraph"/>
        <w:numPr>
          <w:ilvl w:val="0"/>
          <w:numId w:val="2"/>
        </w:numPr>
        <w:spacing w:after="40" w:before="40"/>
      </w:pPr>
      <w:r>
        <w:rPr>
          <w:rFonts w:ascii="Arial" w:cs="Arial" w:eastAsia="Arial" w:hAnsi="Arial"/>
          <w:sz w:val="20"/>
          <w:szCs w:val="20"/>
        </w:rPr>
        <w:t xml:space="preserve">Backup/Restore: Differential chain for apps &gt;500 GB. Full backup + daily differentials until cutover week.</w:t>
      </w:r>
    </w:p>
    <w:p>
      <w:pPr>
        <w:pStyle w:val="ListParagraph"/>
        <w:numPr>
          <w:ilvl w:val="0"/>
          <w:numId w:val="2"/>
        </w:numPr>
        <w:spacing w:after="40" w:before="40"/>
      </w:pPr>
      <w:r>
        <w:rPr>
          <w:rFonts w:ascii="Arial" w:cs="Arial" w:eastAsia="Arial" w:hAnsi="Arial"/>
          <w:sz w:val="20"/>
          <w:szCs w:val="20"/>
        </w:rPr>
        <w:t xml:space="preserve">Linked servers &amp; SQL Agent jobs: Devin AI bulk-generates EventBridge CDK constructs from agent job inventory.</w:t>
      </w:r>
    </w:p>
    <w:p>
      <w:pPr>
        <w:pStyle w:val="ListParagraph"/>
        <w:numPr>
          <w:ilvl w:val="0"/>
          <w:numId w:val="2"/>
        </w:numPr>
        <w:spacing w:after="40" w:before="40"/>
      </w:pPr>
      <w:r>
        <w:rPr>
          <w:rFonts w:ascii="Arial" w:cs="Arial" w:eastAsia="Arial" w:hAnsi="Arial"/>
          <w:sz w:val="20"/>
          <w:szCs w:val="20"/>
        </w:rPr>
        <w:t xml:space="preserve">ETL (SSIS→Glue): Medium packages. Glue PySpark from Wave 1 templates; Glue workflow orchestration.</w:t>
      </w:r>
    </w:p>
    <w:p>
      <w:pPr>
        <w:pStyle w:val="ListParagraph"/>
        <w:numPr>
          <w:ilvl w:val="0"/>
          <w:numId w:val="2"/>
        </w:numPr>
        <w:spacing w:after="40" w:before="40"/>
      </w:pPr>
      <w:r>
        <w:rPr>
          <w:rFonts w:ascii="Arial" w:cs="Arial" w:eastAsia="Arial" w:hAnsi="Arial"/>
          <w:sz w:val="20"/>
          <w:szCs w:val="20"/>
        </w:rPr>
        <w:t xml:space="preserve">SSRS: Mix of EC2 lift-and-shift (billing reports) and QuickSight (dashboards).</w:t>
      </w:r>
    </w:p>
    <w:p>
      <w:pPr>
        <w:pStyle w:val="ListParagraph"/>
        <w:numPr>
          <w:ilvl w:val="0"/>
          <w:numId w:val="2"/>
        </w:numPr>
        <w:spacing w:after="40" w:before="40"/>
      </w:pPr>
      <w:r>
        <w:rPr>
          <w:rFonts w:ascii="Arial" w:cs="Arial" w:eastAsia="Arial" w:hAnsi="Arial"/>
          <w:sz w:val="20"/>
          <w:szCs w:val="20"/>
        </w:rPr>
        <w:t xml:space="preserve">Performance testing: HammerDB at 80% peak TPS. RDS Performance Insights baseline established.</w:t>
      </w:r>
    </w:p>
    <w:p>
      <w:pPr>
        <w:pStyle w:val="ListParagraph"/>
        <w:numPr>
          <w:ilvl w:val="0"/>
          <w:numId w:val="2"/>
        </w:numPr>
        <w:spacing w:after="40" w:before="40"/>
      </w:pPr>
      <w:r>
        <w:rPr>
          <w:rFonts w:ascii="Arial" w:cs="Arial" w:eastAsia="Arial" w:hAnsi="Arial"/>
          <w:sz w:val="20"/>
          <w:szCs w:val="20"/>
        </w:rPr>
        <w:t xml:space="preserve">Cutover: Saturday night. Application pairs per dependency. RTO: 4 hours.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C00000" w:val="clear"/>
            <w:tcMar>
              <w:top w:type="dxa" w:w="100"/>
              <w:left w:type="dxa" w:w="200"/>
              <w:bottom w:type="dxa" w:w="100"/>
              <w:right w:type="dxa" w:w="200"/>
            </w:tcMar>
          </w:tcPr>
          <w:p>
            <w:r>
              <w:rPr>
                <w:rFonts w:ascii="Arial" w:cs="Arial" w:eastAsia="Arial" w:hAnsi="Arial"/>
                <w:b/>
                <w:bCs/>
                <w:color w:val="FFFFFF"/>
                <w:sz w:val="24"/>
                <w:szCs w:val="24"/>
              </w:rPr>
              <w:t xml:space="preserve">PHASE 3 — WAVE 3: MODERATE-COMPLEX APPS  (Month 5–7)</w:t>
            </w:r>
          </w:p>
        </w:tc>
      </w:tr>
    </w:tbl>
    <w:p>
      <w:pPr>
        <w:spacing w:after="60" w:before="60"/>
      </w:pPr>
      <w:r>
        <w:t xml:space="preserve"/>
      </w:r>
    </w:p>
    <w:p>
      <w:pPr>
        <w:spacing w:after="80" w:before="60"/>
      </w:pPr>
      <w:r>
        <w:rPr>
          <w:rFonts w:ascii="Arial" w:cs="Arial" w:eastAsia="Arial" w:hAnsi="Arial"/>
          <w:sz w:val="20"/>
          <w:szCs w:val="20"/>
        </w:rPr>
        <w:t xml:space="preserve">~8 T3/T2 apps: Provisioning System, Fraud Management, Mediation Platform, Tax &amp; Compliance DB, Usage Rating Engine, Wholesale Billing, Regulatory Reporting DB, MDM Master Data DB.</w:t>
      </w:r>
    </w:p>
    <w:p>
      <w:pPr>
        <w:spacing w:after="60" w:before="60"/>
      </w:pPr>
      <w:r>
        <w:t xml:space="preserve"/>
      </w:r>
    </w:p>
    <w:p>
      <w:pPr>
        <w:pStyle w:val="ListParagraph"/>
        <w:numPr>
          <w:ilvl w:val="0"/>
          <w:numId w:val="2"/>
        </w:numPr>
        <w:spacing w:after="40" w:before="40"/>
      </w:pPr>
      <w:r>
        <w:rPr>
          <w:rFonts w:ascii="Arial" w:cs="Arial" w:eastAsia="Arial" w:hAnsi="Arial"/>
          <w:sz w:val="20"/>
          <w:szCs w:val="20"/>
        </w:rPr>
        <w:t xml:space="preserve">CLR Objects: Architect-led rewrite to stored procedures or Lambda. Pattern library from Wave 1/2.</w:t>
      </w:r>
    </w:p>
    <w:p>
      <w:pPr>
        <w:pStyle w:val="ListParagraph"/>
        <w:numPr>
          <w:ilvl w:val="0"/>
          <w:numId w:val="2"/>
        </w:numPr>
        <w:spacing w:after="40" w:before="40"/>
      </w:pPr>
      <w:r>
        <w:rPr>
          <w:rFonts w:ascii="Arial" w:cs="Arial" w:eastAsia="Arial" w:hAnsi="Arial"/>
          <w:sz w:val="20"/>
          <w:szCs w:val="20"/>
        </w:rPr>
        <w:t xml:space="preserve">Large backups (&gt;500 GB): Differential chain with S3 Transfer Acceleration. DMS CDC bridges final gap.</w:t>
      </w:r>
    </w:p>
    <w:p>
      <w:pPr>
        <w:pStyle w:val="ListParagraph"/>
        <w:numPr>
          <w:ilvl w:val="0"/>
          <w:numId w:val="2"/>
        </w:numPr>
        <w:spacing w:after="40" w:before="40"/>
      </w:pPr>
      <w:r>
        <w:rPr>
          <w:rFonts w:ascii="Arial" w:cs="Arial" w:eastAsia="Arial" w:hAnsi="Arial"/>
          <w:sz w:val="20"/>
          <w:szCs w:val="20"/>
        </w:rPr>
        <w:t xml:space="preserve">Informatica: JDBC connection repointed. Connectivity validated in UAT.</w:t>
      </w:r>
    </w:p>
    <w:p>
      <w:pPr>
        <w:pStyle w:val="ListParagraph"/>
        <w:numPr>
          <w:ilvl w:val="0"/>
          <w:numId w:val="2"/>
        </w:numPr>
        <w:spacing w:after="40" w:before="40"/>
      </w:pPr>
      <w:r>
        <w:rPr>
          <w:rFonts w:ascii="Arial" w:cs="Arial" w:eastAsia="Arial" w:hAnsi="Arial"/>
          <w:sz w:val="20"/>
          <w:szCs w:val="20"/>
        </w:rPr>
        <w:t xml:space="preserve">Analytics Data Mart (1.8 TB): Separate sub-workstream. Glue ETL feeds RDS + S3.</w:t>
      </w:r>
    </w:p>
    <w:p>
      <w:pPr>
        <w:pStyle w:val="ListParagraph"/>
        <w:numPr>
          <w:ilvl w:val="0"/>
          <w:numId w:val="2"/>
        </w:numPr>
        <w:spacing w:after="40" w:before="40"/>
      </w:pPr>
      <w:r>
        <w:rPr>
          <w:rFonts w:ascii="Arial" w:cs="Arial" w:eastAsia="Arial" w:hAnsi="Arial"/>
          <w:sz w:val="20"/>
          <w:szCs w:val="20"/>
        </w:rPr>
        <w:t xml:space="preserve">Cutover: Friday–Sunday extended window. 48-hour parallel run before on-prem decommission.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100"/>
              <w:left w:type="dxa" w:w="200"/>
              <w:bottom w:type="dxa" w:w="100"/>
              <w:right w:type="dxa" w:w="200"/>
            </w:tcMar>
          </w:tcPr>
          <w:p>
            <w:r>
              <w:rPr>
                <w:rFonts w:ascii="Arial" w:cs="Arial" w:eastAsia="Arial" w:hAnsi="Arial"/>
                <w:b/>
                <w:bCs/>
                <w:color w:val="FFFFFF"/>
                <w:sz w:val="24"/>
                <w:szCs w:val="24"/>
              </w:rPr>
              <w:t xml:space="preserve">PHASE 4 — WAVE 4: COMPLEX APPS  (Month 7–9)</w:t>
            </w:r>
          </w:p>
        </w:tc>
      </w:tr>
    </w:tbl>
    <w:p>
      <w:pPr>
        <w:spacing w:after="60" w:before="60"/>
      </w:pPr>
      <w:r>
        <w:t xml:space="preserve"/>
      </w:r>
    </w:p>
    <w:p>
      <w:pPr>
        <w:spacing w:after="80" w:before="60"/>
      </w:pPr>
      <w:r>
        <w:rPr>
          <w:rFonts w:ascii="Arial" w:cs="Arial" w:eastAsia="Arial" w:hAnsi="Arial"/>
          <w:sz w:val="20"/>
          <w:szCs w:val="20"/>
        </w:rPr>
        <w:t xml:space="preserve">~4 T3 Complex apps: Revenue Assurance (1.2 TB), Analytics Data Mart (1.8 TB), Reporting Hub (75 SSRS reports), Payment Gateway DB.</w:t>
      </w:r>
    </w:p>
    <w:p>
      <w:pPr>
        <w:spacing w:after="60" w:before="60"/>
      </w:pPr>
      <w:r>
        <w:t xml:space="preserve"/>
      </w:r>
    </w:p>
    <w:p>
      <w:pPr>
        <w:pStyle w:val="ListParagraph"/>
        <w:numPr>
          <w:ilvl w:val="0"/>
          <w:numId w:val="2"/>
        </w:numPr>
        <w:spacing w:after="40" w:before="40"/>
      </w:pPr>
      <w:r>
        <w:rPr>
          <w:rFonts w:ascii="Arial" w:cs="Arial" w:eastAsia="Arial" w:hAnsi="Arial"/>
          <w:sz w:val="20"/>
          <w:szCs w:val="20"/>
        </w:rPr>
        <w:t xml:space="preserve">Revenue Assurance: Dedicated DBA + ETL dev. 190 SPs, 40 SSIS pkgs, 50 SSRS reports. All Wave 1–3 templates applied.</w:t>
      </w:r>
    </w:p>
    <w:p>
      <w:pPr>
        <w:pStyle w:val="ListParagraph"/>
        <w:numPr>
          <w:ilvl w:val="0"/>
          <w:numId w:val="2"/>
        </w:numPr>
        <w:spacing w:after="40" w:before="40"/>
      </w:pPr>
      <w:r>
        <w:rPr>
          <w:rFonts w:ascii="Arial" w:cs="Arial" w:eastAsia="Arial" w:hAnsi="Arial"/>
          <w:sz w:val="20"/>
          <w:szCs w:val="20"/>
        </w:rPr>
        <w:t xml:space="preserve">Analytics Data Mart: Largest DB. Glue PySpark ETL. QuickSight + Power BI reporting. S3 data lake integration.</w:t>
      </w:r>
    </w:p>
    <w:p>
      <w:pPr>
        <w:pStyle w:val="ListParagraph"/>
        <w:numPr>
          <w:ilvl w:val="0"/>
          <w:numId w:val="2"/>
        </w:numPr>
        <w:spacing w:after="40" w:before="40"/>
      </w:pPr>
      <w:r>
        <w:rPr>
          <w:rFonts w:ascii="Arial" w:cs="Arial" w:eastAsia="Arial" w:hAnsi="Arial"/>
          <w:sz w:val="20"/>
          <w:szCs w:val="20"/>
        </w:rPr>
        <w:t xml:space="preserve">Reporting Hub: 75 SSRS reports. Power BI for executive; EC2 for operational. RDS read replica for report load.</w:t>
      </w:r>
    </w:p>
    <w:p>
      <w:pPr>
        <w:pStyle w:val="ListParagraph"/>
        <w:numPr>
          <w:ilvl w:val="0"/>
          <w:numId w:val="2"/>
        </w:numPr>
        <w:spacing w:after="40" w:before="40"/>
      </w:pPr>
      <w:r>
        <w:rPr>
          <w:rFonts w:ascii="Arial" w:cs="Arial" w:eastAsia="Arial" w:hAnsi="Arial"/>
          <w:sz w:val="20"/>
          <w:szCs w:val="20"/>
        </w:rPr>
        <w:t xml:space="preserve">Cutover: 5 business day parallel run. Senior DBA on-call. Full rollback rehearsal required.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595959" w:val="clear"/>
            <w:tcMar>
              <w:top w:type="dxa" w:w="100"/>
              <w:left w:type="dxa" w:w="200"/>
              <w:bottom w:type="dxa" w:w="100"/>
              <w:right w:type="dxa" w:w="200"/>
            </w:tcMar>
          </w:tcPr>
          <w:p>
            <w:r>
              <w:rPr>
                <w:rFonts w:ascii="Arial" w:cs="Arial" w:eastAsia="Arial" w:hAnsi="Arial"/>
                <w:b/>
                <w:bCs/>
                <w:color w:val="FFFFFF"/>
                <w:sz w:val="24"/>
                <w:szCs w:val="24"/>
              </w:rPr>
              <w:t xml:space="preserve">PHASE 5 — STABILISATION &amp; CLOSURE  (Month 9)</w:t>
            </w:r>
          </w:p>
        </w:tc>
      </w:tr>
    </w:tbl>
    <w:p>
      <w:pPr>
        <w:spacing w:after="60" w:before="60"/>
      </w:pPr>
      <w:r>
        <w:t xml:space="preserve"/>
      </w:r>
    </w:p>
    <w:p>
      <w:pPr>
        <w:pStyle w:val="ListParagraph"/>
        <w:numPr>
          <w:ilvl w:val="0"/>
          <w:numId w:val="2"/>
        </w:numPr>
        <w:spacing w:after="40" w:before="40"/>
      </w:pPr>
      <w:r>
        <w:rPr>
          <w:rFonts w:ascii="Arial" w:cs="Arial" w:eastAsia="Arial" w:hAnsi="Arial"/>
          <w:sz w:val="20"/>
          <w:szCs w:val="20"/>
        </w:rPr>
        <w:t xml:space="preserve">30-day hypercare monitoring: CloudWatch, DMS lag, RDS CPU/memory/IOPS.</w:t>
      </w:r>
    </w:p>
    <w:p>
      <w:pPr>
        <w:pStyle w:val="ListParagraph"/>
        <w:numPr>
          <w:ilvl w:val="0"/>
          <w:numId w:val="2"/>
        </w:numPr>
        <w:spacing w:after="40" w:before="40"/>
      </w:pPr>
      <w:r>
        <w:rPr>
          <w:rFonts w:ascii="Arial" w:cs="Arial" w:eastAsia="Arial" w:hAnsi="Arial"/>
          <w:sz w:val="20"/>
          <w:szCs w:val="20"/>
        </w:rPr>
        <w:t xml:space="preserve">On-prem decommission: Final sign-off checklist, license reclamation, hardware repurposing.</w:t>
      </w:r>
    </w:p>
    <w:p>
      <w:pPr>
        <w:pStyle w:val="ListParagraph"/>
        <w:numPr>
          <w:ilvl w:val="0"/>
          <w:numId w:val="2"/>
        </w:numPr>
        <w:spacing w:after="40" w:before="40"/>
      </w:pPr>
      <w:r>
        <w:rPr>
          <w:rFonts w:ascii="Arial" w:cs="Arial" w:eastAsia="Arial" w:hAnsi="Arial"/>
          <w:sz w:val="20"/>
          <w:szCs w:val="20"/>
        </w:rPr>
        <w:t xml:space="preserve">Reserved Instance purchase: After 30-day baseline. Estimated 40% cost saving.</w:t>
      </w:r>
    </w:p>
    <w:p>
      <w:pPr>
        <w:pStyle w:val="ListParagraph"/>
        <w:numPr>
          <w:ilvl w:val="0"/>
          <w:numId w:val="2"/>
        </w:numPr>
        <w:spacing w:after="40" w:before="40"/>
      </w:pPr>
      <w:r>
        <w:rPr>
          <w:rFonts w:ascii="Arial" w:cs="Arial" w:eastAsia="Arial" w:hAnsi="Arial"/>
          <w:sz w:val="20"/>
          <w:szCs w:val="20"/>
        </w:rPr>
        <w:t xml:space="preserve">Final documentation: As-built diagrams, Glue runbooks, SSRS register, BAU DBA handover.</w:t>
      </w:r>
    </w:p>
    <w:p>
      <w:pPr>
        <w:pStyle w:val="ListParagraph"/>
        <w:numPr>
          <w:ilvl w:val="0"/>
          <w:numId w:val="2"/>
        </w:numPr>
        <w:spacing w:after="40" w:before="40"/>
      </w:pPr>
      <w:r>
        <w:rPr>
          <w:rFonts w:ascii="Arial" w:cs="Arial" w:eastAsia="Arial" w:hAnsi="Arial"/>
          <w:sz w:val="20"/>
          <w:szCs w:val="20"/>
        </w:rPr>
        <w:t xml:space="preserve">Post-migration optimisation: Index maintenance, parameter group tuning, Glue DPU right-sizing.</w:t>
      </w:r>
    </w:p>
    <w:p>
      <w:pPr>
        <w:spacing w:after="60" w:before="60"/>
      </w:pPr>
      <w:r>
        <w:t xml:space="preserve"/>
      </w:r>
    </w:p>
    <w:p>
      <w:r>
        <w:br w:type="page"/>
      </w:r>
    </w:p>
    <w:p>
      <w:pPr>
        <w:pStyle w:val="Heading1"/>
        <w:spacing w:after="120" w:before="300"/>
      </w:pPr>
      <w:r>
        <w:rPr>
          <w:rFonts w:ascii="Arial" w:cs="Arial" w:eastAsia="Arial" w:hAnsi="Arial"/>
          <w:b/>
          <w:bCs/>
          <w:color w:val="1F3864"/>
          <w:sz w:val="32"/>
          <w:szCs w:val="32"/>
        </w:rPr>
        <w:t xml:space="preserve">12. Cutover &amp; Data Sync Strategy</w:t>
      </w:r>
    </w:p>
    <w:p>
      <w:pPr>
        <w:pStyle w:val="Heading2"/>
        <w:spacing w:after="100" w:before="240"/>
      </w:pPr>
      <w:r>
        <w:rPr>
          <w:rFonts w:ascii="Arial" w:cs="Arial" w:eastAsia="Arial" w:hAnsi="Arial"/>
          <w:b/>
          <w:bCs/>
          <w:color w:val="2E75B6"/>
          <w:sz w:val="26"/>
          <w:szCs w:val="26"/>
        </w:rPr>
        <w:t xml:space="preserve">12.1 Cutover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4300"/>
        <w:gridCol w:w="1260"/>
      </w:tblGrid>
      <w:tr>
        <w:tc>
          <w:tcPr>
            <w:tcW w:type="dxa" w:w="8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Step</w:t>
            </w:r>
          </w:p>
        </w:tc>
        <w:tc>
          <w:tcPr>
            <w:tcW w:type="dxa" w:w="3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Activity</w:t>
            </w:r>
          </w:p>
        </w:tc>
        <w:tc>
          <w:tcPr>
            <w:tcW w:type="dxa" w:w="43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Detail</w:t>
            </w:r>
          </w:p>
        </w:tc>
        <w:tc>
          <w:tcPr>
            <w:tcW w:type="dxa" w:w="12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Owner</w:t>
            </w:r>
          </w:p>
        </w:tc>
      </w:tr>
      <w:tr>
        <w:tc>
          <w:tcPr>
            <w:tcW w:type="dxa" w:w="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2E75B6"/>
                <w:sz w:val="18"/>
                <w:szCs w:val="18"/>
              </w:rPr>
              <w:t xml:space="preserve">1</w:t>
            </w:r>
          </w:p>
        </w:tc>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Final differential restore</w:t>
            </w:r>
          </w:p>
        </w:tc>
        <w:tc>
          <w:tcPr>
            <w:tcW w:type="dxa" w:w="4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Last differential backup taken and restored to RDS. Minimises DMS CDC catch-up window.</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5B6"/>
                <w:sz w:val="18"/>
                <w:szCs w:val="18"/>
              </w:rPr>
              <w:t xml:space="preserve">DBA</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5B6"/>
                <w:sz w:val="18"/>
                <w:szCs w:val="18"/>
              </w:rPr>
              <w:t xml:space="preserve">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DMS CDC lag check</w:t>
            </w:r>
          </w:p>
        </w:tc>
        <w:tc>
          <w:tcPr>
            <w:tcW w:type="dxa" w:w="4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Confirm DMS CDC lag ≤10 seconds via CloudWatch alarm.</w:t>
            </w:r>
          </w:p>
        </w:tc>
        <w:tc>
          <w:tcPr>
            <w:tcW w:type="dxa" w:w="1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E75B6"/>
                <w:sz w:val="18"/>
                <w:szCs w:val="18"/>
              </w:rPr>
              <w:t xml:space="preserve">DBA</w:t>
            </w:r>
          </w:p>
        </w:tc>
      </w:tr>
      <w:tr>
        <w:tc>
          <w:tcPr>
            <w:tcW w:type="dxa" w:w="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2E75B6"/>
                <w:sz w:val="18"/>
                <w:szCs w:val="18"/>
              </w:rPr>
              <w:t xml:space="preserve">3</w:t>
            </w:r>
          </w:p>
        </w:tc>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Application freeze</w:t>
            </w:r>
          </w:p>
        </w:tc>
        <w:tc>
          <w:tcPr>
            <w:tcW w:type="dxa" w:w="4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App put in read-only / maintenance mode. Active transactions drained.</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5B6"/>
                <w:sz w:val="18"/>
                <w:szCs w:val="18"/>
              </w:rPr>
              <w:t xml:space="preserve">App Owner</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5B6"/>
                <w:sz w:val="18"/>
                <w:szCs w:val="18"/>
              </w:rPr>
              <w:t xml:space="preserve">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DMS lag = 0 confirmation</w:t>
            </w:r>
          </w:p>
        </w:tc>
        <w:tc>
          <w:tcPr>
            <w:tcW w:type="dxa" w:w="4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Wait for DMS CDC to reach 0-second lag. Automated boto3 polling confirms.</w:t>
            </w:r>
          </w:p>
        </w:tc>
        <w:tc>
          <w:tcPr>
            <w:tcW w:type="dxa" w:w="1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E75B6"/>
                <w:sz w:val="18"/>
                <w:szCs w:val="18"/>
              </w:rPr>
              <w:t xml:space="preserve">DBA</w:t>
            </w:r>
          </w:p>
        </w:tc>
      </w:tr>
      <w:tr>
        <w:tc>
          <w:tcPr>
            <w:tcW w:type="dxa" w:w="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2E75B6"/>
                <w:sz w:val="18"/>
                <w:szCs w:val="18"/>
              </w:rPr>
              <w:t xml:space="preserve">5</w:t>
            </w:r>
          </w:p>
        </w:tc>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Row count + MD5 hash validation</w:t>
            </w:r>
          </w:p>
        </w:tc>
        <w:tc>
          <w:tcPr>
            <w:tcW w:type="dxa" w:w="4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Automated Python script compares row counts and MD5 hashes on critical tables.</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5B6"/>
                <w:sz w:val="18"/>
                <w:szCs w:val="18"/>
              </w:rPr>
              <w:t xml:space="preserve">QA</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5B6"/>
                <w:sz w:val="18"/>
                <w:szCs w:val="18"/>
              </w:rPr>
              <w:t xml:space="preserve">6</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DNS / Secrets Manager repoint</w:t>
            </w:r>
          </w:p>
        </w:tc>
        <w:tc>
          <w:tcPr>
            <w:tcW w:type="dxa" w:w="4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RDS endpoint updated in Secrets Manager. DNS TTL pre-reduced to 60 seconds.</w:t>
            </w:r>
          </w:p>
        </w:tc>
        <w:tc>
          <w:tcPr>
            <w:tcW w:type="dxa" w:w="1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E75B6"/>
                <w:sz w:val="18"/>
                <w:szCs w:val="18"/>
              </w:rPr>
              <w:t xml:space="preserve">Infra</w:t>
            </w:r>
          </w:p>
        </w:tc>
      </w:tr>
      <w:tr>
        <w:tc>
          <w:tcPr>
            <w:tcW w:type="dxa" w:w="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2E75B6"/>
                <w:sz w:val="18"/>
                <w:szCs w:val="18"/>
              </w:rPr>
              <w:t xml:space="preserve">7</w:t>
            </w:r>
          </w:p>
        </w:tc>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Informatica JDBC update (per job, 3 envs)</w:t>
            </w:r>
          </w:p>
        </w:tc>
        <w:tc>
          <w:tcPr>
            <w:tcW w:type="dxa" w:w="4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Informatica PowerCenter connection updated to RDS endpoint. Connectivity tested.</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5B6"/>
                <w:sz w:val="18"/>
                <w:szCs w:val="18"/>
              </w:rPr>
              <w:t xml:space="preserve">ETL Dev</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5B6"/>
                <w:sz w:val="18"/>
                <w:szCs w:val="18"/>
              </w:rPr>
              <w:t xml:space="preserve">8</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Smoke test (top 20 transactions)</w:t>
            </w:r>
          </w:p>
        </w:tc>
        <w:tc>
          <w:tcPr>
            <w:tcW w:type="dxa" w:w="4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App team runs smoke suite. All critical paths validated.</w:t>
            </w:r>
          </w:p>
        </w:tc>
        <w:tc>
          <w:tcPr>
            <w:tcW w:type="dxa" w:w="1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E75B6"/>
                <w:sz w:val="18"/>
                <w:szCs w:val="18"/>
              </w:rPr>
              <w:t xml:space="preserve">App Team + QA</w:t>
            </w:r>
          </w:p>
        </w:tc>
      </w:tr>
      <w:tr>
        <w:tc>
          <w:tcPr>
            <w:tcW w:type="dxa" w:w="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2E75B6"/>
                <w:sz w:val="18"/>
                <w:szCs w:val="18"/>
              </w:rPr>
              <w:t xml:space="preserve">9</w:t>
            </w:r>
          </w:p>
        </w:tc>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Go / No-Go decision</w:t>
            </w:r>
          </w:p>
        </w:tc>
        <w:tc>
          <w:tcPr>
            <w:tcW w:type="dxa" w:w="4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Migration lead + app owner sign off. Documented in cutover log.</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5B6"/>
                <w:sz w:val="18"/>
                <w:szCs w:val="18"/>
              </w:rPr>
              <w:t xml:space="preserve">PM + Architect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5B6"/>
                <w:sz w:val="18"/>
                <w:szCs w:val="18"/>
              </w:rPr>
              <w:t xml:space="preserve">10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DMS task stop</w:t>
            </w:r>
          </w:p>
        </w:tc>
        <w:tc>
          <w:tcPr>
            <w:tcW w:type="dxa" w:w="4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DMS CDC task stopped. On-prem SQL Server set to read-only.</w:t>
            </w:r>
          </w:p>
        </w:tc>
        <w:tc>
          <w:tcPr>
            <w:tcW w:type="dxa" w:w="1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E75B6"/>
                <w:sz w:val="18"/>
                <w:szCs w:val="18"/>
              </w:rPr>
              <w:t xml:space="preserve">DBA</w:t>
            </w:r>
          </w:p>
        </w:tc>
      </w:tr>
      <w:tr>
        <w:tc>
          <w:tcPr>
            <w:tcW w:type="dxa" w:w="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2E75B6"/>
                <w:sz w:val="18"/>
                <w:szCs w:val="18"/>
              </w:rPr>
              <w:t xml:space="preserve">11</w:t>
            </w:r>
          </w:p>
        </w:tc>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Post-cutover monitoring (24 hrs)</w:t>
            </w:r>
          </w:p>
        </w:tc>
        <w:tc>
          <w:tcPr>
            <w:tcW w:type="dxa" w:w="4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CloudWatch dashboards, on-call DBA, hourly health checks.</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5B6"/>
                <w:sz w:val="18"/>
                <w:szCs w:val="18"/>
              </w:rPr>
              <w:t xml:space="preserve">DBA + Infra</w:t>
            </w:r>
          </w:p>
        </w:tc>
      </w:tr>
      <w:tr>
        <w:tc>
          <w:tcPr>
            <w:tcW w:type="dxa" w:w="8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color w:val="C00000"/>
                <w:sz w:val="18"/>
                <w:szCs w:val="18"/>
              </w:rPr>
              <w:t xml:space="preserve">Rollback</w:t>
            </w:r>
          </w:p>
        </w:tc>
        <w:tc>
          <w:tcPr>
            <w:tcW w:type="dxa" w:w="30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left"/>
            </w:pPr>
            <w:r>
              <w:rPr>
                <w:rFonts w:ascii="Arial" w:cs="Arial" w:eastAsia="Arial" w:hAnsi="Arial"/>
                <w:b/>
                <w:bCs/>
                <w:color w:val="C00000"/>
                <w:sz w:val="18"/>
                <w:szCs w:val="18"/>
              </w:rPr>
              <w:t xml:space="preserve">If No-Go: revert Secrets Manager to on-prem endpoint. DMS CDC resumes.</w:t>
            </w:r>
          </w:p>
        </w:tc>
        <w:tc>
          <w:tcPr>
            <w:tcW w:type="dxa" w:w="4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RTO 30 min</w:t>
            </w:r>
          </w:p>
        </w:tc>
        <w:tc>
          <w:tcPr>
            <w:tcW w:type="dxa" w:w="1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E75B6"/>
                <w:sz w:val="18"/>
                <w:szCs w:val="18"/>
              </w:rPr>
              <w:t xml:space="preserve">DBA</w:t>
            </w:r>
          </w:p>
        </w:tc>
      </w:tr>
    </w:tbl>
    <w:p>
      <w:pPr>
        <w:spacing w:after="60" w:before="60"/>
      </w:pPr>
      <w:r>
        <w:t xml:space="preserve"/>
      </w:r>
    </w:p>
    <w:p>
      <w:pPr>
        <w:pStyle w:val="Heading2"/>
        <w:spacing w:after="100" w:before="240"/>
      </w:pPr>
      <w:r>
        <w:rPr>
          <w:rFonts w:ascii="Arial" w:cs="Arial" w:eastAsia="Arial" w:hAnsi="Arial"/>
          <w:b/>
          <w:bCs/>
          <w:color w:val="2E75B6"/>
          <w:sz w:val="26"/>
          <w:szCs w:val="26"/>
        </w:rPr>
        <w:t xml:space="preserve">12.2 RTO / RPO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Tier</w:t>
            </w:r>
          </w:p>
        </w:tc>
        <w:tc>
          <w:tcPr>
            <w:tcW w:type="dxa" w:w="234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RTO</w:t>
            </w:r>
          </w:p>
        </w:tc>
        <w:tc>
          <w:tcPr>
            <w:tcW w:type="dxa" w:w="234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RPO</w:t>
            </w:r>
          </w:p>
        </w:tc>
        <w:tc>
          <w:tcPr>
            <w:tcW w:type="dxa" w:w="234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Validation</w:t>
            </w:r>
          </w:p>
        </w:tc>
      </w:tr>
      <w:tr>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T1 — Simple</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96419"/>
                <w:sz w:val="18"/>
                <w:szCs w:val="18"/>
              </w:rPr>
              <w:t xml:space="preserve">2 hours</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C00000"/>
                <w:sz w:val="18"/>
                <w:szCs w:val="18"/>
              </w:rPr>
              <w:t xml:space="preserve">&lt; 5 min</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Smoke test + row count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T2 — Moderate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96419"/>
                <w:sz w:val="18"/>
                <w:szCs w:val="18"/>
              </w:rPr>
              <w:t xml:space="preserve">4 hours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C00000"/>
                <w:sz w:val="18"/>
                <w:szCs w:val="18"/>
              </w:rPr>
              <w:t xml:space="preserve">&lt; 15 min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Regression + DMS lag check</w:t>
            </w:r>
          </w:p>
        </w:tc>
      </w:tr>
      <w:tr>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T3 — Complex</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96419"/>
                <w:sz w:val="18"/>
                <w:szCs w:val="18"/>
              </w:rPr>
              <w:t xml:space="preserve">6 hours</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C00000"/>
                <w:sz w:val="18"/>
                <w:szCs w:val="18"/>
              </w:rPr>
              <w:t xml:space="preserve">&lt; 15 min</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Parallel run 48h + MD5 hash + load test</w:t>
            </w:r>
          </w:p>
        </w:tc>
      </w:tr>
    </w:tbl>
    <w:p>
      <w:pPr>
        <w:spacing w:after="60" w:before="60"/>
      </w:pPr>
      <w:r>
        <w:t xml:space="preserve"/>
      </w:r>
    </w:p>
    <w:p>
      <w:r>
        <w:br w:type="page"/>
      </w:r>
    </w:p>
    <w:p>
      <w:pPr>
        <w:pStyle w:val="Heading1"/>
        <w:spacing w:after="120" w:before="300"/>
      </w:pPr>
      <w:r>
        <w:rPr>
          <w:rFonts w:ascii="Arial" w:cs="Arial" w:eastAsia="Arial" w:hAnsi="Arial"/>
          <w:b/>
          <w:bCs/>
          <w:color w:val="1F3864"/>
          <w:sz w:val="32"/>
          <w:szCs w:val="32"/>
        </w:rPr>
        <w:t xml:space="preserve">13.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700"/>
        <w:gridCol w:w="700"/>
        <w:gridCol w:w="700"/>
        <w:gridCol w:w="1600"/>
        <w:gridCol w:w="2560"/>
      </w:tblGrid>
      <w:tr>
        <w:tc>
          <w:tcPr>
            <w:tcW w:type="dxa" w:w="4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t>
            </w:r>
          </w:p>
        </w:tc>
        <w:tc>
          <w:tcPr>
            <w:tcW w:type="dxa" w:w="22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Risk</w:t>
            </w:r>
          </w:p>
        </w:tc>
        <w:tc>
          <w:tcPr>
            <w:tcW w:type="dxa" w:w="7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Likeli-hood</w:t>
            </w:r>
          </w:p>
        </w:tc>
        <w:tc>
          <w:tcPr>
            <w:tcW w:type="dxa" w:w="7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Impact</w:t>
            </w:r>
          </w:p>
        </w:tc>
        <w:tc>
          <w:tcPr>
            <w:tcW w:type="dxa" w:w="7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Score</w:t>
            </w:r>
          </w:p>
        </w:tc>
        <w:tc>
          <w:tcPr>
            <w:tcW w:type="dxa" w:w="16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Owner</w:t>
            </w:r>
          </w:p>
        </w:tc>
        <w:tc>
          <w:tcPr>
            <w:tcW w:type="dxa" w:w="25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Mitigation</w:t>
            </w:r>
          </w:p>
        </w:tc>
      </w:tr>
      <w:tr>
        <w:tc>
          <w:tcPr>
            <w:tcW w:type="dxa" w:w="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1</w:t>
            </w:r>
          </w:p>
        </w:tc>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CLR objects have no direct RDS equivalent — source code missing or complex</w:t>
            </w:r>
          </w:p>
        </w:tc>
        <w:tc>
          <w:tcPr>
            <w:tcW w:type="dxa" w:w="7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M</w:t>
            </w:r>
          </w:p>
        </w:tc>
        <w:tc>
          <w:tcPr>
            <w:tcW w:type="dxa" w:w="7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color w:val="C00000"/>
                <w:sz w:val="18"/>
                <w:szCs w:val="18"/>
              </w:rPr>
              <w:t xml:space="preserve">H</w:t>
            </w:r>
          </w:p>
        </w:tc>
        <w:tc>
          <w:tcPr>
            <w:tcW w:type="dxa" w:w="7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color w:val="C00000"/>
                <w:sz w:val="18"/>
                <w:szCs w:val="18"/>
              </w:rPr>
              <w:t xml:space="preserve">12</w:t>
            </w:r>
          </w:p>
        </w:tc>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2E75B6"/>
                <w:sz w:val="18"/>
                <w:szCs w:val="18"/>
              </w:rPr>
              <w:t xml:space="preserve">Solution Architect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Early CLR inventory Phase 0; pattern library; Lambda fallback. Score: Likelihood 3 × Impact 4 = 12.</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Network bandwidth insufficient for large DB backup transfers</w:t>
            </w:r>
          </w:p>
        </w:tc>
        <w:tc>
          <w:tcPr>
            <w:tcW w:type="dxa" w:w="7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L</w:t>
            </w:r>
          </w:p>
        </w:tc>
        <w:tc>
          <w:tcPr>
            <w:tcW w:type="dxa" w:w="7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color w:val="C00000"/>
                <w:sz w:val="18"/>
                <w:szCs w:val="18"/>
              </w:rPr>
              <w:t xml:space="preserve">H</w:t>
            </w:r>
          </w:p>
        </w:tc>
        <w:tc>
          <w:tcPr>
            <w:tcW w:type="dxa" w:w="7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8</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E75B6"/>
                <w:sz w:val="18"/>
                <w:szCs w:val="18"/>
              </w:rPr>
              <w:t xml:space="preserve">Cloud Infra Lead</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Direct Connect 10 Gbps validated Phase 0. S3 Transfer Acceleration as fallback. Score: 2×4=8.</w:t>
            </w:r>
          </w:p>
        </w:tc>
      </w:tr>
      <w:tr>
        <w:tc>
          <w:tcPr>
            <w:tcW w:type="dxa" w:w="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3</w:t>
            </w:r>
          </w:p>
        </w:tc>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Application SMEs unavailable for UAT in scheduled wave</w:t>
            </w:r>
          </w:p>
        </w:tc>
        <w:tc>
          <w:tcPr>
            <w:tcW w:type="dxa" w:w="7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M</w:t>
            </w:r>
          </w:p>
        </w:tc>
        <w:tc>
          <w:tcPr>
            <w:tcW w:type="dxa" w:w="7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M</w:t>
            </w:r>
          </w:p>
        </w:tc>
        <w:tc>
          <w:tcPr>
            <w:tcW w:type="dxa" w:w="7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9</w:t>
            </w:r>
          </w:p>
        </w:tc>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2E75B6"/>
                <w:sz w:val="18"/>
                <w:szCs w:val="18"/>
              </w:rPr>
              <w:t xml:space="preserve">Programme Manager</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UAT windows agreed 6 weeks prior. RACI: App Owner accountable. PM escalation path. Score: 3×3=9.</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SSRS report count per app higher than inventoried (BI effort underestimated)</w:t>
            </w:r>
          </w:p>
        </w:tc>
        <w:tc>
          <w:tcPr>
            <w:tcW w:type="dxa" w:w="7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H</w:t>
            </w:r>
          </w:p>
        </w:tc>
        <w:tc>
          <w:tcPr>
            <w:tcW w:type="dxa" w:w="7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M</w:t>
            </w:r>
          </w:p>
        </w:tc>
        <w:tc>
          <w:tcPr>
            <w:tcW w:type="dxa" w:w="7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color w:val="C00000"/>
                <w:sz w:val="18"/>
                <w:szCs w:val="18"/>
              </w:rPr>
              <w:t xml:space="preserve">12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E75B6"/>
                <w:sz w:val="18"/>
                <w:szCs w:val="18"/>
              </w:rPr>
              <w:t xml:space="preserve">BI Developer</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Phase 0 SSRS access log audit. Unused reports decommissioned. Buffer 15% in estimates. Score: 4×3=12.</w:t>
            </w:r>
          </w:p>
        </w:tc>
      </w:tr>
      <w:tr>
        <w:tc>
          <w:tcPr>
            <w:tcW w:type="dxa" w:w="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5</w:t>
            </w:r>
          </w:p>
        </w:tc>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DMS CDC lag exceeds 10-second SLA during peak TPS</w:t>
            </w:r>
          </w:p>
        </w:tc>
        <w:tc>
          <w:tcPr>
            <w:tcW w:type="dxa" w:w="7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L</w:t>
            </w:r>
          </w:p>
        </w:tc>
        <w:tc>
          <w:tcPr>
            <w:tcW w:type="dxa" w:w="7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color w:val="C00000"/>
                <w:sz w:val="18"/>
                <w:szCs w:val="18"/>
              </w:rPr>
              <w:t xml:space="preserve">H</w:t>
            </w:r>
          </w:p>
        </w:tc>
        <w:tc>
          <w:tcPr>
            <w:tcW w:type="dxa" w:w="7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8</w:t>
            </w:r>
          </w:p>
        </w:tc>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2E75B6"/>
                <w:sz w:val="18"/>
                <w:szCs w:val="18"/>
              </w:rPr>
              <w:t xml:space="preserve">DBA</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DMS r5.2xlarge right-sized. CloudWatch lag alarm at 30 sec. Load tested in UAT. Score: 2×4=8.</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Informatica JDBC connectivity to RDS blocked by firewall/security group</w:t>
            </w:r>
          </w:p>
        </w:tc>
        <w:tc>
          <w:tcPr>
            <w:tcW w:type="dxa" w:w="7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M</w:t>
            </w:r>
          </w:p>
        </w:tc>
        <w:tc>
          <w:tcPr>
            <w:tcW w:type="dxa" w:w="7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color w:val="C00000"/>
                <w:sz w:val="18"/>
                <w:szCs w:val="18"/>
              </w:rPr>
              <w:t xml:space="preserve">H</w:t>
            </w:r>
          </w:p>
        </w:tc>
        <w:tc>
          <w:tcPr>
            <w:tcW w:type="dxa" w:w="7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color w:val="C00000"/>
                <w:sz w:val="18"/>
                <w:szCs w:val="18"/>
              </w:rPr>
              <w:t xml:space="preserve">12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E75B6"/>
                <w:sz w:val="18"/>
                <w:szCs w:val="18"/>
              </w:rPr>
              <w:t xml:space="preserve">Network Security</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Validated in Phase 0. Security group rules pre-approved. Direct Connect route confirmed. Score: 3×4=12.</w:t>
            </w:r>
          </w:p>
        </w:tc>
      </w:tr>
      <w:tr>
        <w:tc>
          <w:tcPr>
            <w:tcW w:type="dxa" w:w="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7</w:t>
            </w:r>
          </w:p>
        </w:tc>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RDS SQL Server restore fails due to unsupported SQL Server features</w:t>
            </w:r>
          </w:p>
        </w:tc>
        <w:tc>
          <w:tcPr>
            <w:tcW w:type="dxa" w:w="7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L</w:t>
            </w:r>
          </w:p>
        </w:tc>
        <w:tc>
          <w:tcPr>
            <w:tcW w:type="dxa" w:w="7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color w:val="C00000"/>
                <w:sz w:val="18"/>
                <w:szCs w:val="18"/>
              </w:rPr>
              <w:t xml:space="preserve">H</w:t>
            </w:r>
          </w:p>
        </w:tc>
        <w:tc>
          <w:tcPr>
            <w:tcW w:type="dxa" w:w="7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8</w:t>
            </w:r>
          </w:p>
        </w:tc>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2E75B6"/>
                <w:sz w:val="18"/>
                <w:szCs w:val="18"/>
              </w:rPr>
              <w:t xml:space="preserve">DBA</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SCT assessment identifies all incompatible features. Remediated before backup taken. Score: 2×4=8.</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Wave 4 complex apps (Revenue Assurance, Analytics DM) take longer than 6-hour RTO</w:t>
            </w:r>
          </w:p>
        </w:tc>
        <w:tc>
          <w:tcPr>
            <w:tcW w:type="dxa" w:w="7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M</w:t>
            </w:r>
          </w:p>
        </w:tc>
        <w:tc>
          <w:tcPr>
            <w:tcW w:type="dxa" w:w="7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color w:val="C00000"/>
                <w:sz w:val="18"/>
                <w:szCs w:val="18"/>
              </w:rPr>
              <w:t xml:space="preserve">H</w:t>
            </w:r>
          </w:p>
        </w:tc>
        <w:tc>
          <w:tcPr>
            <w:tcW w:type="dxa" w:w="7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color w:val="C00000"/>
                <w:sz w:val="18"/>
                <w:szCs w:val="18"/>
              </w:rPr>
              <w:t xml:space="preserve">12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E75B6"/>
                <w:sz w:val="18"/>
                <w:szCs w:val="18"/>
              </w:rPr>
              <w:t xml:space="preserve">DBA + Architect</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Differential backup chain minimises final restore. Cutover rehearsal mandatory for T3. Score: 3×4=12.</w:t>
            </w:r>
          </w:p>
        </w:tc>
      </w:tr>
      <w:tr>
        <w:tc>
          <w:tcPr>
            <w:tcW w:type="dxa" w:w="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9</w:t>
            </w:r>
          </w:p>
        </w:tc>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Glue job output data does not match SSIS output (ETL regression)</w:t>
            </w:r>
          </w:p>
        </w:tc>
        <w:tc>
          <w:tcPr>
            <w:tcW w:type="dxa" w:w="7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M</w:t>
            </w:r>
          </w:p>
        </w:tc>
        <w:tc>
          <w:tcPr>
            <w:tcW w:type="dxa" w:w="7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M</w:t>
            </w:r>
          </w:p>
        </w:tc>
        <w:tc>
          <w:tcPr>
            <w:tcW w:type="dxa" w:w="7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9</w:t>
            </w:r>
          </w:p>
        </w:tc>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2E75B6"/>
                <w:sz w:val="18"/>
                <w:szCs w:val="18"/>
              </w:rPr>
              <w:t xml:space="preserve">ETL Developer</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Functional test for every Glue job: Glue output vs SSIS output on same input. 100% parity required. Score: 3×3=9.</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10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RDS cost exceeds budget (License Included pricing)</w:t>
            </w:r>
          </w:p>
        </w:tc>
        <w:tc>
          <w:tcPr>
            <w:tcW w:type="dxa" w:w="7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L</w:t>
            </w:r>
          </w:p>
        </w:tc>
        <w:tc>
          <w:tcPr>
            <w:tcW w:type="dxa" w:w="7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M</w:t>
            </w:r>
          </w:p>
        </w:tc>
        <w:tc>
          <w:tcPr>
            <w:tcW w:type="dxa" w:w="7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E75B6"/>
                <w:sz w:val="18"/>
                <w:szCs w:val="18"/>
              </w:rPr>
              <w:t xml:space="preserve">Solution Architect + Finance</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BYOL SA coverage checked Phase 0. Reserved Instance commitment post-30-day baseline. Score: 2×3=6.</w:t>
            </w:r>
          </w:p>
        </w:tc>
      </w:tr>
    </w:tbl>
    <w:p>
      <w:pPr>
        <w:spacing w:after="60" w:before="60"/>
      </w:pPr>
      <w:r>
        <w:t xml:space="preserve"/>
      </w:r>
    </w:p>
    <w:p>
      <w:r>
        <w:br w:type="page"/>
      </w:r>
    </w:p>
    <w:p>
      <w:pPr>
        <w:pStyle w:val="Heading1"/>
        <w:spacing w:after="120" w:before="300"/>
      </w:pPr>
      <w:r>
        <w:rPr>
          <w:rFonts w:ascii="Arial" w:cs="Arial" w:eastAsia="Arial" w:hAnsi="Arial"/>
          <w:b/>
          <w:bCs/>
          <w:color w:val="1F3864"/>
          <w:sz w:val="32"/>
          <w:szCs w:val="32"/>
        </w:rPr>
        <w:t xml:space="preserve">14. RACI Matrix</w:t>
      </w:r>
    </w:p>
    <w:p>
      <w:pPr>
        <w:spacing w:after="80" w:before="60"/>
      </w:pPr>
      <w:r>
        <w:rPr>
          <w:rFonts w:ascii="Arial" w:cs="Arial" w:eastAsia="Arial" w:hAnsi="Arial"/>
          <w:sz w:val="20"/>
          <w:szCs w:val="20"/>
        </w:rPr>
        <w:t xml:space="preserve">R = Responsible  |  A = Accountable  |  C = Consulted  |  I = Informed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40"/>
        <w:gridCol w:w="840"/>
        <w:gridCol w:w="840"/>
        <w:gridCol w:w="840"/>
        <w:gridCol w:w="840"/>
        <w:gridCol w:w="840"/>
        <w:gridCol w:w="840"/>
        <w:gridCol w:w="840"/>
      </w:tblGrid>
      <w:tr>
        <w:tc>
          <w:tcPr>
            <w:tcW w:type="dxa" w:w="244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Activity</w:t>
            </w:r>
          </w:p>
        </w:tc>
        <w:tc>
          <w:tcPr>
            <w:tcW w:type="dxa" w:w="84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Architect</w:t>
            </w:r>
          </w:p>
        </w:tc>
        <w:tc>
          <w:tcPr>
            <w:tcW w:type="dxa" w:w="84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DBA</w:t>
            </w:r>
          </w:p>
        </w:tc>
        <w:tc>
          <w:tcPr>
            <w:tcW w:type="dxa" w:w="84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ETL Dev</w:t>
            </w:r>
          </w:p>
        </w:tc>
        <w:tc>
          <w:tcPr>
            <w:tcW w:type="dxa" w:w="84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BI Dev</w:t>
            </w:r>
          </w:p>
        </w:tc>
        <w:tc>
          <w:tcPr>
            <w:tcW w:type="dxa" w:w="84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DevOps</w:t>
            </w:r>
          </w:p>
        </w:tc>
        <w:tc>
          <w:tcPr>
            <w:tcW w:type="dxa" w:w="84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QA</w:t>
            </w:r>
          </w:p>
        </w:tc>
        <w:tc>
          <w:tcPr>
            <w:tcW w:type="dxa" w:w="84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PM</w:t>
            </w:r>
          </w:p>
        </w:tc>
      </w:tr>
      <w:tr>
        <w:tc>
          <w:tcPr>
            <w:tcW w:type="dxa" w:w="24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AWS Landing Zone setup</w:t>
            </w:r>
          </w:p>
        </w:tc>
        <w:tc>
          <w:tcPr>
            <w:tcW w:type="dxa" w:w="84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B8540A"/>
                <w:sz w:val="18"/>
                <w:szCs w:val="18"/>
              </w:rPr>
              <w:t xml:space="preserve">A</w:t>
            </w:r>
          </w:p>
        </w:tc>
        <w:tc>
          <w:tcPr>
            <w:tcW w:type="dxa" w:w="8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C</w:t>
            </w:r>
          </w:p>
        </w:tc>
        <w:tc>
          <w:tcPr>
            <w:tcW w:type="dxa" w:w="8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I</w:t>
            </w:r>
          </w:p>
        </w:tc>
        <w:tc>
          <w:tcPr>
            <w:tcW w:type="dxa" w:w="8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I</w:t>
            </w:r>
          </w:p>
        </w:tc>
        <w:tc>
          <w:tcPr>
            <w:tcW w:type="dxa" w:w="8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196419"/>
                <w:sz w:val="18"/>
                <w:szCs w:val="18"/>
              </w:rPr>
              <w:t xml:space="preserve">R</w:t>
            </w:r>
          </w:p>
        </w:tc>
        <w:tc>
          <w:tcPr>
            <w:tcW w:type="dxa" w:w="8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I</w:t>
            </w:r>
          </w:p>
        </w:tc>
        <w:tc>
          <w:tcPr>
            <w:tcW w:type="dxa" w:w="8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I</w:t>
            </w:r>
          </w:p>
        </w:tc>
      </w:tr>
      <w:tr>
        <w:tc>
          <w:tcPr>
            <w:tcW w:type="dxa" w:w="2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SCT schema assessment</w:t>
            </w:r>
          </w:p>
        </w:tc>
        <w:tc>
          <w:tcPr>
            <w:tcW w:type="dxa" w:w="8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C</w:t>
            </w:r>
          </w:p>
        </w:tc>
        <w:tc>
          <w:tcPr>
            <w:tcW w:type="dxa" w:w="8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196419"/>
                <w:sz w:val="18"/>
                <w:szCs w:val="18"/>
              </w:rPr>
              <w:t xml:space="preserve">R</w:t>
            </w:r>
          </w:p>
        </w:tc>
        <w:tc>
          <w:tcPr>
            <w:tcW w:type="dxa" w:w="8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I</w:t>
            </w:r>
          </w:p>
        </w:tc>
        <w:tc>
          <w:tcPr>
            <w:tcW w:type="dxa" w:w="8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I</w:t>
            </w:r>
          </w:p>
        </w:tc>
        <w:tc>
          <w:tcPr>
            <w:tcW w:type="dxa" w:w="8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I</w:t>
            </w:r>
          </w:p>
        </w:tc>
        <w:tc>
          <w:tcPr>
            <w:tcW w:type="dxa" w:w="8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I</w:t>
            </w:r>
          </w:p>
        </w:tc>
        <w:tc>
          <w:tcPr>
            <w:tcW w:type="dxa" w:w="8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I</w:t>
            </w:r>
          </w:p>
        </w:tc>
      </w:tr>
      <w:tr>
        <w:tc>
          <w:tcPr>
            <w:tcW w:type="dxa" w:w="24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Backup/Restore execution (all apps)</w:t>
            </w:r>
          </w:p>
        </w:tc>
        <w:tc>
          <w:tcPr>
            <w:tcW w:type="dxa" w:w="8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C</w:t>
            </w:r>
          </w:p>
        </w:tc>
        <w:tc>
          <w:tcPr>
            <w:tcW w:type="dxa" w:w="8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196419"/>
                <w:sz w:val="18"/>
                <w:szCs w:val="18"/>
              </w:rPr>
              <w:t xml:space="preserve">R</w:t>
            </w:r>
          </w:p>
        </w:tc>
        <w:tc>
          <w:tcPr>
            <w:tcW w:type="dxa" w:w="8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I</w:t>
            </w:r>
          </w:p>
        </w:tc>
        <w:tc>
          <w:tcPr>
            <w:tcW w:type="dxa" w:w="8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I</w:t>
            </w:r>
          </w:p>
        </w:tc>
        <w:tc>
          <w:tcPr>
            <w:tcW w:type="dxa" w:w="8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C</w:t>
            </w:r>
          </w:p>
        </w:tc>
        <w:tc>
          <w:tcPr>
            <w:tcW w:type="dxa" w:w="8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I</w:t>
            </w:r>
          </w:p>
        </w:tc>
        <w:tc>
          <w:tcPr>
            <w:tcW w:type="dxa" w:w="8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I</w:t>
            </w:r>
          </w:p>
        </w:tc>
      </w:tr>
      <w:tr>
        <w:tc>
          <w:tcPr>
            <w:tcW w:type="dxa" w:w="2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DMS CDC setup &amp; monitoring</w:t>
            </w:r>
          </w:p>
        </w:tc>
        <w:tc>
          <w:tcPr>
            <w:tcW w:type="dxa" w:w="8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C</w:t>
            </w:r>
          </w:p>
        </w:tc>
        <w:tc>
          <w:tcPr>
            <w:tcW w:type="dxa" w:w="8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196419"/>
                <w:sz w:val="18"/>
                <w:szCs w:val="18"/>
              </w:rPr>
              <w:t xml:space="preserve">R</w:t>
            </w:r>
          </w:p>
        </w:tc>
        <w:tc>
          <w:tcPr>
            <w:tcW w:type="dxa" w:w="8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I</w:t>
            </w:r>
          </w:p>
        </w:tc>
        <w:tc>
          <w:tcPr>
            <w:tcW w:type="dxa" w:w="8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I</w:t>
            </w:r>
          </w:p>
        </w:tc>
        <w:tc>
          <w:tcPr>
            <w:tcW w:type="dxa" w:w="84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B8540A"/>
                <w:sz w:val="18"/>
                <w:szCs w:val="18"/>
              </w:rPr>
              <w:t xml:space="preserve">A</w:t>
            </w:r>
          </w:p>
        </w:tc>
        <w:tc>
          <w:tcPr>
            <w:tcW w:type="dxa" w:w="8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I</w:t>
            </w:r>
          </w:p>
        </w:tc>
        <w:tc>
          <w:tcPr>
            <w:tcW w:type="dxa" w:w="8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I</w:t>
            </w:r>
          </w:p>
        </w:tc>
      </w:tr>
      <w:tr>
        <w:tc>
          <w:tcPr>
            <w:tcW w:type="dxa" w:w="24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SSIS → Glue job migration</w:t>
            </w:r>
          </w:p>
        </w:tc>
        <w:tc>
          <w:tcPr>
            <w:tcW w:type="dxa" w:w="8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C</w:t>
            </w:r>
          </w:p>
        </w:tc>
        <w:tc>
          <w:tcPr>
            <w:tcW w:type="dxa" w:w="8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I</w:t>
            </w:r>
          </w:p>
        </w:tc>
        <w:tc>
          <w:tcPr>
            <w:tcW w:type="dxa" w:w="8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196419"/>
                <w:sz w:val="18"/>
                <w:szCs w:val="18"/>
              </w:rPr>
              <w:t xml:space="preserve">R</w:t>
            </w:r>
          </w:p>
        </w:tc>
        <w:tc>
          <w:tcPr>
            <w:tcW w:type="dxa" w:w="8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I</w:t>
            </w:r>
          </w:p>
        </w:tc>
        <w:tc>
          <w:tcPr>
            <w:tcW w:type="dxa" w:w="8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C</w:t>
            </w:r>
          </w:p>
        </w:tc>
        <w:tc>
          <w:tcPr>
            <w:tcW w:type="dxa" w:w="8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C</w:t>
            </w:r>
          </w:p>
        </w:tc>
        <w:tc>
          <w:tcPr>
            <w:tcW w:type="dxa" w:w="8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I</w:t>
            </w:r>
          </w:p>
        </w:tc>
      </w:tr>
      <w:tr>
        <w:tc>
          <w:tcPr>
            <w:tcW w:type="dxa" w:w="2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Glue CDK pipeline setup</w:t>
            </w:r>
          </w:p>
        </w:tc>
        <w:tc>
          <w:tcPr>
            <w:tcW w:type="dxa" w:w="84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B8540A"/>
                <w:sz w:val="18"/>
                <w:szCs w:val="18"/>
              </w:rPr>
              <w:t xml:space="preserve">A</w:t>
            </w:r>
          </w:p>
        </w:tc>
        <w:tc>
          <w:tcPr>
            <w:tcW w:type="dxa" w:w="8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I</w:t>
            </w:r>
          </w:p>
        </w:tc>
        <w:tc>
          <w:tcPr>
            <w:tcW w:type="dxa" w:w="8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C</w:t>
            </w:r>
          </w:p>
        </w:tc>
        <w:tc>
          <w:tcPr>
            <w:tcW w:type="dxa" w:w="8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I</w:t>
            </w:r>
          </w:p>
        </w:tc>
        <w:tc>
          <w:tcPr>
            <w:tcW w:type="dxa" w:w="8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196419"/>
                <w:sz w:val="18"/>
                <w:szCs w:val="18"/>
              </w:rPr>
              <w:t xml:space="preserve">R</w:t>
            </w:r>
          </w:p>
        </w:tc>
        <w:tc>
          <w:tcPr>
            <w:tcW w:type="dxa" w:w="8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I</w:t>
            </w:r>
          </w:p>
        </w:tc>
        <w:tc>
          <w:tcPr>
            <w:tcW w:type="dxa" w:w="8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I</w:t>
            </w:r>
          </w:p>
        </w:tc>
      </w:tr>
      <w:tr>
        <w:tc>
          <w:tcPr>
            <w:tcW w:type="dxa" w:w="24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SSRS triage &amp; migration</w:t>
            </w:r>
          </w:p>
        </w:tc>
        <w:tc>
          <w:tcPr>
            <w:tcW w:type="dxa" w:w="8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C</w:t>
            </w:r>
          </w:p>
        </w:tc>
        <w:tc>
          <w:tcPr>
            <w:tcW w:type="dxa" w:w="8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I</w:t>
            </w:r>
          </w:p>
        </w:tc>
        <w:tc>
          <w:tcPr>
            <w:tcW w:type="dxa" w:w="8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C</w:t>
            </w:r>
          </w:p>
        </w:tc>
        <w:tc>
          <w:tcPr>
            <w:tcW w:type="dxa" w:w="8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196419"/>
                <w:sz w:val="18"/>
                <w:szCs w:val="18"/>
              </w:rPr>
              <w:t xml:space="preserve">R</w:t>
            </w:r>
          </w:p>
        </w:tc>
        <w:tc>
          <w:tcPr>
            <w:tcW w:type="dxa" w:w="8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I</w:t>
            </w:r>
          </w:p>
        </w:tc>
        <w:tc>
          <w:tcPr>
            <w:tcW w:type="dxa" w:w="8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C</w:t>
            </w:r>
          </w:p>
        </w:tc>
        <w:tc>
          <w:tcPr>
            <w:tcW w:type="dxa" w:w="8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I</w:t>
            </w:r>
          </w:p>
        </w:tc>
      </w:tr>
      <w:tr>
        <w:tc>
          <w:tcPr>
            <w:tcW w:type="dxa" w:w="2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Informatica JDBC update (per job, 3 envs)</w:t>
            </w:r>
          </w:p>
        </w:tc>
        <w:tc>
          <w:tcPr>
            <w:tcW w:type="dxa" w:w="8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I</w:t>
            </w:r>
          </w:p>
        </w:tc>
        <w:tc>
          <w:tcPr>
            <w:tcW w:type="dxa" w:w="8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C</w:t>
            </w:r>
          </w:p>
        </w:tc>
        <w:tc>
          <w:tcPr>
            <w:tcW w:type="dxa" w:w="8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196419"/>
                <w:sz w:val="18"/>
                <w:szCs w:val="18"/>
              </w:rPr>
              <w:t xml:space="preserve">R</w:t>
            </w:r>
          </w:p>
        </w:tc>
        <w:tc>
          <w:tcPr>
            <w:tcW w:type="dxa" w:w="8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I</w:t>
            </w:r>
          </w:p>
        </w:tc>
        <w:tc>
          <w:tcPr>
            <w:tcW w:type="dxa" w:w="8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I</w:t>
            </w:r>
          </w:p>
        </w:tc>
        <w:tc>
          <w:tcPr>
            <w:tcW w:type="dxa" w:w="8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I</w:t>
            </w:r>
          </w:p>
        </w:tc>
        <w:tc>
          <w:tcPr>
            <w:tcW w:type="dxa" w:w="8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I</w:t>
            </w:r>
          </w:p>
        </w:tc>
      </w:tr>
      <w:tr>
        <w:tc>
          <w:tcPr>
            <w:tcW w:type="dxa" w:w="24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EventBridge job recreation</w:t>
            </w:r>
          </w:p>
        </w:tc>
        <w:tc>
          <w:tcPr>
            <w:tcW w:type="dxa" w:w="8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C</w:t>
            </w:r>
          </w:p>
        </w:tc>
        <w:tc>
          <w:tcPr>
            <w:tcW w:type="dxa" w:w="8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196419"/>
                <w:sz w:val="18"/>
                <w:szCs w:val="18"/>
              </w:rPr>
              <w:t xml:space="preserve">R</w:t>
            </w:r>
          </w:p>
        </w:tc>
        <w:tc>
          <w:tcPr>
            <w:tcW w:type="dxa" w:w="8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C</w:t>
            </w:r>
          </w:p>
        </w:tc>
        <w:tc>
          <w:tcPr>
            <w:tcW w:type="dxa" w:w="8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I</w:t>
            </w:r>
          </w:p>
        </w:tc>
        <w:tc>
          <w:tcPr>
            <w:tcW w:type="dxa" w:w="8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C</w:t>
            </w:r>
          </w:p>
        </w:tc>
        <w:tc>
          <w:tcPr>
            <w:tcW w:type="dxa" w:w="8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I</w:t>
            </w:r>
          </w:p>
        </w:tc>
        <w:tc>
          <w:tcPr>
            <w:tcW w:type="dxa" w:w="8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I</w:t>
            </w:r>
          </w:p>
        </w:tc>
      </w:tr>
      <w:tr>
        <w:tc>
          <w:tcPr>
            <w:tcW w:type="dxa" w:w="2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UAT coordination &amp; sign-off</w:t>
            </w:r>
          </w:p>
        </w:tc>
        <w:tc>
          <w:tcPr>
            <w:tcW w:type="dxa" w:w="8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C</w:t>
            </w:r>
          </w:p>
        </w:tc>
        <w:tc>
          <w:tcPr>
            <w:tcW w:type="dxa" w:w="8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C</w:t>
            </w:r>
          </w:p>
        </w:tc>
        <w:tc>
          <w:tcPr>
            <w:tcW w:type="dxa" w:w="8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C</w:t>
            </w:r>
          </w:p>
        </w:tc>
        <w:tc>
          <w:tcPr>
            <w:tcW w:type="dxa" w:w="8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C</w:t>
            </w:r>
          </w:p>
        </w:tc>
        <w:tc>
          <w:tcPr>
            <w:tcW w:type="dxa" w:w="8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I</w:t>
            </w:r>
          </w:p>
        </w:tc>
        <w:tc>
          <w:tcPr>
            <w:tcW w:type="dxa" w:w="8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196419"/>
                <w:sz w:val="18"/>
                <w:szCs w:val="18"/>
              </w:rPr>
              <w:t xml:space="preserve">R</w:t>
            </w:r>
          </w:p>
        </w:tc>
        <w:tc>
          <w:tcPr>
            <w:tcW w:type="dxa" w:w="84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B8540A"/>
                <w:sz w:val="18"/>
                <w:szCs w:val="18"/>
              </w:rPr>
              <w:t xml:space="preserve">A</w:t>
            </w:r>
          </w:p>
        </w:tc>
      </w:tr>
      <w:tr>
        <w:tc>
          <w:tcPr>
            <w:tcW w:type="dxa" w:w="24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Cutover execution</w:t>
            </w:r>
          </w:p>
        </w:tc>
        <w:tc>
          <w:tcPr>
            <w:tcW w:type="dxa" w:w="84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B8540A"/>
                <w:sz w:val="18"/>
                <w:szCs w:val="18"/>
              </w:rPr>
              <w:t xml:space="preserve">A</w:t>
            </w:r>
          </w:p>
        </w:tc>
        <w:tc>
          <w:tcPr>
            <w:tcW w:type="dxa" w:w="8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196419"/>
                <w:sz w:val="18"/>
                <w:szCs w:val="18"/>
              </w:rPr>
              <w:t xml:space="preserve">R</w:t>
            </w:r>
          </w:p>
        </w:tc>
        <w:tc>
          <w:tcPr>
            <w:tcW w:type="dxa" w:w="8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196419"/>
                <w:sz w:val="18"/>
                <w:szCs w:val="18"/>
              </w:rPr>
              <w:t xml:space="preserve">R</w:t>
            </w:r>
          </w:p>
        </w:tc>
        <w:tc>
          <w:tcPr>
            <w:tcW w:type="dxa" w:w="8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196419"/>
                <w:sz w:val="18"/>
                <w:szCs w:val="18"/>
              </w:rPr>
              <w:t xml:space="preserve">R</w:t>
            </w:r>
          </w:p>
        </w:tc>
        <w:tc>
          <w:tcPr>
            <w:tcW w:type="dxa" w:w="8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196419"/>
                <w:sz w:val="18"/>
                <w:szCs w:val="18"/>
              </w:rPr>
              <w:t xml:space="preserve">R</w:t>
            </w:r>
          </w:p>
        </w:tc>
        <w:tc>
          <w:tcPr>
            <w:tcW w:type="dxa" w:w="8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196419"/>
                <w:sz w:val="18"/>
                <w:szCs w:val="18"/>
              </w:rPr>
              <w:t xml:space="preserve">R</w:t>
            </w:r>
          </w:p>
        </w:tc>
        <w:tc>
          <w:tcPr>
            <w:tcW w:type="dxa" w:w="8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196419"/>
                <w:sz w:val="18"/>
                <w:szCs w:val="18"/>
              </w:rPr>
              <w:t xml:space="preserve">R</w:t>
            </w:r>
          </w:p>
        </w:tc>
      </w:tr>
      <w:tr>
        <w:tc>
          <w:tcPr>
            <w:tcW w:type="dxa" w:w="2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Row count / MD5 validation</w:t>
            </w:r>
          </w:p>
        </w:tc>
        <w:tc>
          <w:tcPr>
            <w:tcW w:type="dxa" w:w="8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C</w:t>
            </w:r>
          </w:p>
        </w:tc>
        <w:tc>
          <w:tcPr>
            <w:tcW w:type="dxa" w:w="8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196419"/>
                <w:sz w:val="18"/>
                <w:szCs w:val="18"/>
              </w:rPr>
              <w:t xml:space="preserve">R</w:t>
            </w:r>
          </w:p>
        </w:tc>
        <w:tc>
          <w:tcPr>
            <w:tcW w:type="dxa" w:w="8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I</w:t>
            </w:r>
          </w:p>
        </w:tc>
        <w:tc>
          <w:tcPr>
            <w:tcW w:type="dxa" w:w="8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I</w:t>
            </w:r>
          </w:p>
        </w:tc>
        <w:tc>
          <w:tcPr>
            <w:tcW w:type="dxa" w:w="8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I</w:t>
            </w:r>
          </w:p>
        </w:tc>
        <w:tc>
          <w:tcPr>
            <w:tcW w:type="dxa" w:w="8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196419"/>
                <w:sz w:val="18"/>
                <w:szCs w:val="18"/>
              </w:rPr>
              <w:t xml:space="preserve">R</w:t>
            </w:r>
          </w:p>
        </w:tc>
        <w:tc>
          <w:tcPr>
            <w:tcW w:type="dxa" w:w="8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I</w:t>
            </w:r>
          </w:p>
        </w:tc>
      </w:tr>
      <w:tr>
        <w:tc>
          <w:tcPr>
            <w:tcW w:type="dxa" w:w="24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Post-migration monitoring</w:t>
            </w:r>
          </w:p>
        </w:tc>
        <w:tc>
          <w:tcPr>
            <w:tcW w:type="dxa" w:w="8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C</w:t>
            </w:r>
          </w:p>
        </w:tc>
        <w:tc>
          <w:tcPr>
            <w:tcW w:type="dxa" w:w="8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196419"/>
                <w:sz w:val="18"/>
                <w:szCs w:val="18"/>
              </w:rPr>
              <w:t xml:space="preserve">R</w:t>
            </w:r>
          </w:p>
        </w:tc>
        <w:tc>
          <w:tcPr>
            <w:tcW w:type="dxa" w:w="8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C</w:t>
            </w:r>
          </w:p>
        </w:tc>
        <w:tc>
          <w:tcPr>
            <w:tcW w:type="dxa" w:w="8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C</w:t>
            </w:r>
          </w:p>
        </w:tc>
        <w:tc>
          <w:tcPr>
            <w:tcW w:type="dxa" w:w="8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196419"/>
                <w:sz w:val="18"/>
                <w:szCs w:val="18"/>
              </w:rPr>
              <w:t xml:space="preserve">R</w:t>
            </w:r>
          </w:p>
        </w:tc>
        <w:tc>
          <w:tcPr>
            <w:tcW w:type="dxa" w:w="8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C</w:t>
            </w:r>
          </w:p>
        </w:tc>
        <w:tc>
          <w:tcPr>
            <w:tcW w:type="dxa" w:w="84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B8540A"/>
                <w:sz w:val="18"/>
                <w:szCs w:val="18"/>
              </w:rPr>
              <w:t xml:space="preserve">A</w:t>
            </w:r>
          </w:p>
        </w:tc>
      </w:tr>
      <w:tr>
        <w:tc>
          <w:tcPr>
            <w:tcW w:type="dxa" w:w="2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On-prem decommission</w:t>
            </w:r>
          </w:p>
        </w:tc>
        <w:tc>
          <w:tcPr>
            <w:tcW w:type="dxa" w:w="84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B8540A"/>
                <w:sz w:val="18"/>
                <w:szCs w:val="18"/>
              </w:rPr>
              <w:t xml:space="preserve">A</w:t>
            </w:r>
          </w:p>
        </w:tc>
        <w:tc>
          <w:tcPr>
            <w:tcW w:type="dxa" w:w="8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196419"/>
                <w:sz w:val="18"/>
                <w:szCs w:val="18"/>
              </w:rPr>
              <w:t xml:space="preserve">R</w:t>
            </w:r>
          </w:p>
        </w:tc>
        <w:tc>
          <w:tcPr>
            <w:tcW w:type="dxa" w:w="8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I</w:t>
            </w:r>
          </w:p>
        </w:tc>
        <w:tc>
          <w:tcPr>
            <w:tcW w:type="dxa" w:w="8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I</w:t>
            </w:r>
          </w:p>
        </w:tc>
        <w:tc>
          <w:tcPr>
            <w:tcW w:type="dxa" w:w="8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C</w:t>
            </w:r>
          </w:p>
        </w:tc>
        <w:tc>
          <w:tcPr>
            <w:tcW w:type="dxa" w:w="8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I</w:t>
            </w:r>
          </w:p>
        </w:tc>
        <w:tc>
          <w:tcPr>
            <w:tcW w:type="dxa" w:w="8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196419"/>
                <w:sz w:val="18"/>
                <w:szCs w:val="18"/>
              </w:rPr>
              <w:t xml:space="preserve">R</w:t>
            </w:r>
          </w:p>
        </w:tc>
      </w:tr>
      <w:tr>
        <w:tc>
          <w:tcPr>
            <w:tcW w:type="dxa" w:w="24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Stakeholder reporting</w:t>
            </w:r>
          </w:p>
        </w:tc>
        <w:tc>
          <w:tcPr>
            <w:tcW w:type="dxa" w:w="8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C</w:t>
            </w:r>
          </w:p>
        </w:tc>
        <w:tc>
          <w:tcPr>
            <w:tcW w:type="dxa" w:w="8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I</w:t>
            </w:r>
          </w:p>
        </w:tc>
        <w:tc>
          <w:tcPr>
            <w:tcW w:type="dxa" w:w="8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I</w:t>
            </w:r>
          </w:p>
        </w:tc>
        <w:tc>
          <w:tcPr>
            <w:tcW w:type="dxa" w:w="8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I</w:t>
            </w:r>
          </w:p>
        </w:tc>
        <w:tc>
          <w:tcPr>
            <w:tcW w:type="dxa" w:w="8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I</w:t>
            </w:r>
          </w:p>
        </w:tc>
        <w:tc>
          <w:tcPr>
            <w:tcW w:type="dxa" w:w="8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I</w:t>
            </w:r>
          </w:p>
        </w:tc>
        <w:tc>
          <w:tcPr>
            <w:tcW w:type="dxa" w:w="8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196419"/>
                <w:sz w:val="18"/>
                <w:szCs w:val="18"/>
              </w:rPr>
              <w:t xml:space="preserve">R</w:t>
            </w:r>
          </w:p>
        </w:tc>
      </w:tr>
    </w:tbl>
    <w:p>
      <w:pPr>
        <w:spacing w:after="60" w:before="60"/>
      </w:pPr>
      <w:r>
        <w:t xml:space="preserve"/>
      </w:r>
    </w:p>
    <w:p>
      <w:r>
        <w:br w:type="page"/>
      </w:r>
    </w:p>
    <w:p>
      <w:pPr>
        <w:pStyle w:val="Heading1"/>
        <w:spacing w:after="120" w:before="300"/>
      </w:pPr>
      <w:r>
        <w:rPr>
          <w:rFonts w:ascii="Arial" w:cs="Arial" w:eastAsia="Arial" w:hAnsi="Arial"/>
          <w:b/>
          <w:bCs/>
          <w:color w:val="1F3864"/>
          <w:sz w:val="32"/>
          <w:szCs w:val="32"/>
        </w:rPr>
        <w:t xml:space="preserve">15. Testing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400"/>
        <w:gridCol w:w="1500"/>
        <w:gridCol w:w="1060"/>
      </w:tblGrid>
      <w:tr>
        <w:tc>
          <w:tcPr>
            <w:tcW w:type="dxa" w:w="18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Test Type</w:t>
            </w:r>
          </w:p>
        </w:tc>
        <w:tc>
          <w:tcPr>
            <w:tcW w:type="dxa" w:w="26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Scope</w:t>
            </w:r>
          </w:p>
        </w:tc>
        <w:tc>
          <w:tcPr>
            <w:tcW w:type="dxa" w:w="24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Tooling</w:t>
            </w:r>
          </w:p>
        </w:tc>
        <w:tc>
          <w:tcPr>
            <w:tcW w:type="dxa" w:w="15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Owner</w:t>
            </w:r>
          </w:p>
        </w:tc>
        <w:tc>
          <w:tcPr>
            <w:tcW w:type="dxa" w:w="10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Hrs Est.</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Schema Validation</w:t>
            </w:r>
          </w:p>
        </w:tc>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All DB objects present in RDS vs on-prem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Custom SQL comparison scripts (GHCP-generated)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5B6"/>
                <w:sz w:val="18"/>
                <w:szCs w:val="18"/>
              </w:rPr>
              <w:t xml:space="preserve">DBA</w:t>
            </w:r>
          </w:p>
        </w:tc>
        <w:tc>
          <w:tcPr>
            <w:tcW w:type="dxa" w:w="10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196419"/>
                <w:sz w:val="18"/>
                <w:szCs w:val="18"/>
              </w:rPr>
              <w:t xml:space="preserve">4/app</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Data Integrity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Row counts, nulls, referential integrity, MD5 hash</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Python boto3 validation framework (Devin AI scaffolded)</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E75B6"/>
                <w:sz w:val="18"/>
                <w:szCs w:val="18"/>
              </w:rPr>
              <w:t xml:space="preserve">QA</w:t>
            </w:r>
          </w:p>
        </w:tc>
        <w:tc>
          <w:tcPr>
            <w:tcW w:type="dxa" w:w="10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196419"/>
                <w:sz w:val="18"/>
                <w:szCs w:val="18"/>
              </w:rPr>
              <w:t xml:space="preserve">6/app</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ETL Functional</w:t>
            </w:r>
          </w:p>
        </w:tc>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Glue output matches SSIS output on same input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pytest + Glue local execution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5B6"/>
                <w:sz w:val="18"/>
                <w:szCs w:val="18"/>
              </w:rPr>
              <w:t xml:space="preserve">ETL Dev</w:t>
            </w:r>
          </w:p>
        </w:tc>
        <w:tc>
          <w:tcPr>
            <w:tcW w:type="dxa" w:w="10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196419"/>
                <w:sz w:val="18"/>
                <w:szCs w:val="18"/>
              </w:rPr>
              <w:t xml:space="preserve">4/job</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SSRS Output Validation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Report data equivalence on-prem vs migrated</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Report output Excel diff tool</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E75B6"/>
                <w:sz w:val="18"/>
                <w:szCs w:val="18"/>
              </w:rPr>
              <w:t xml:space="preserve">BI Dev</w:t>
            </w:r>
          </w:p>
        </w:tc>
        <w:tc>
          <w:tcPr>
            <w:tcW w:type="dxa" w:w="10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196419"/>
                <w:sz w:val="18"/>
                <w:szCs w:val="18"/>
              </w:rPr>
              <w:t xml:space="preserve">2/report</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Performance / Load</w:t>
            </w:r>
          </w:p>
        </w:tc>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120% peak production TPS; P95 latency vs. on-prem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HammerDB (SQL Server workload simulation)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5B6"/>
                <w:sz w:val="18"/>
                <w:szCs w:val="18"/>
              </w:rPr>
              <w:t xml:space="preserve">QA + DBA</w:t>
            </w:r>
          </w:p>
        </w:tc>
        <w:tc>
          <w:tcPr>
            <w:tcW w:type="dxa" w:w="10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196419"/>
                <w:sz w:val="18"/>
                <w:szCs w:val="18"/>
              </w:rPr>
              <w:t xml:space="preserve">16/wave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Informatica Connectivity (per env)</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JDBC connection from Informatica to Dev/Test/Prod RDS succeeds per environment</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Informatica test session per job per environment (Dev → Test → Prod)</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E75B6"/>
                <w:sz w:val="18"/>
                <w:szCs w:val="18"/>
              </w:rPr>
              <w:t xml:space="preserve">ETL Dev</w:t>
            </w:r>
          </w:p>
        </w:tc>
        <w:tc>
          <w:tcPr>
            <w:tcW w:type="dxa" w:w="10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196419"/>
                <w:sz w:val="18"/>
                <w:szCs w:val="18"/>
              </w:rPr>
              <w:t xml:space="preserve">1/conn</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Smoke Test (Cutover)</w:t>
            </w:r>
          </w:p>
        </w:tc>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Top 20 critical business transactions post-cutover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App team runbook; automated smoke suite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5B6"/>
                <w:sz w:val="18"/>
                <w:szCs w:val="18"/>
              </w:rPr>
              <w:t xml:space="preserve">App Owner + QA</w:t>
            </w:r>
          </w:p>
        </w:tc>
        <w:tc>
          <w:tcPr>
            <w:tcW w:type="dxa" w:w="10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196419"/>
                <w:sz w:val="18"/>
                <w:szCs w:val="18"/>
              </w:rPr>
              <w:t xml:space="preserve">2/app</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Regression Testing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Full app regression suite before go-live sign-off</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Existing regression suite (RDS-path extended)</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E75B6"/>
                <w:sz w:val="18"/>
                <w:szCs w:val="18"/>
              </w:rPr>
              <w:t xml:space="preserve">QA</w:t>
            </w:r>
          </w:p>
        </w:tc>
        <w:tc>
          <w:tcPr>
            <w:tcW w:type="dxa" w:w="10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196419"/>
                <w:sz w:val="18"/>
                <w:szCs w:val="18"/>
              </w:rPr>
              <w:t xml:space="preserve">Varies/app</w:t>
            </w:r>
          </w:p>
        </w:tc>
      </w:tr>
    </w:tbl>
    <w:p>
      <w:pPr>
        <w:spacing w:after="60" w:before="60"/>
      </w:pPr>
      <w:r>
        <w:t xml:space="preserve"/>
      </w:r>
    </w:p>
    <w:p>
      <w:r>
        <w:br w:type="page"/>
      </w:r>
    </w:p>
    <w:p>
      <w:pPr>
        <w:pStyle w:val="Heading1"/>
        <w:spacing w:after="120" w:before="300"/>
      </w:pPr>
      <w:r>
        <w:rPr>
          <w:rFonts w:ascii="Arial" w:cs="Arial" w:eastAsia="Arial" w:hAnsi="Arial"/>
          <w:b/>
          <w:bCs/>
          <w:color w:val="1F3864"/>
          <w:sz w:val="32"/>
          <w:szCs w:val="32"/>
        </w:rPr>
        <w:t xml:space="preserve">16. AWS Target Architecture</w:t>
      </w:r>
    </w:p>
    <w:p>
      <w:pPr>
        <w:pStyle w:val="Heading2"/>
        <w:spacing w:after="100" w:before="240"/>
      </w:pPr>
      <w:r>
        <w:rPr>
          <w:rFonts w:ascii="Arial" w:cs="Arial" w:eastAsia="Arial" w:hAnsi="Arial"/>
          <w:b/>
          <w:bCs/>
          <w:color w:val="2E75B6"/>
          <w:sz w:val="26"/>
          <w:szCs w:val="26"/>
        </w:rPr>
        <w:t xml:space="preserve">16.1 RDS SQL Server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Parameter</w:t>
            </w:r>
          </w:p>
        </w:tc>
        <w:tc>
          <w:tcPr>
            <w:tcW w:type="dxa" w:w="358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Specification</w:t>
            </w:r>
          </w:p>
        </w:tc>
        <w:tc>
          <w:tcPr>
            <w:tcW w:type="dxa" w:w="358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Notes</w:t>
            </w:r>
          </w:p>
        </w:tc>
      </w:tr>
      <w:tr>
        <w:tc>
          <w:tcPr>
            <w:tcW w:type="dxa" w:w="22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Engine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SQL Server Enterprise / Standard Edition</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95959"/>
                <w:sz w:val="18"/>
                <w:szCs w:val="18"/>
              </w:rPr>
              <w:t xml:space="preserve">Edition per app licensing. Three instances per app: Dev (Single-AZ), Test (Single-AZ), Production (Multi-AZ)</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Deployment</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Production: Multi-AZ (synchronous standby). Dev + Test: Single-AZ (cost optimised)</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595959"/>
                <w:sz w:val="18"/>
                <w:szCs w:val="18"/>
              </w:rPr>
              <w:t xml:space="preserve">Auto failover; RTO &lt;60 seconds for infra failure</w:t>
            </w:r>
          </w:p>
        </w:tc>
      </w:tr>
      <w:tr>
        <w:tc>
          <w:tcPr>
            <w:tcW w:type="dxa" w:w="22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Instance Class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db.r6i.2xlarge – db.r6i.8xlarge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95959"/>
                <w:sz w:val="18"/>
                <w:szCs w:val="18"/>
              </w:rPr>
              <w:t xml:space="preserve">Right-sized in Phase 0 from on-prem CPU/RAM/IOPS baseline</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Storage</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Provisioned IOPS SSD (io1/io2); auto-scaling</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595959"/>
                <w:sz w:val="18"/>
                <w:szCs w:val="18"/>
              </w:rPr>
              <w:t xml:space="preserve">3,000–16,000 IOPS; scales automatically; no manual intervention</w:t>
            </w:r>
          </w:p>
        </w:tc>
      </w:tr>
      <w:tr>
        <w:tc>
          <w:tcPr>
            <w:tcW w:type="dxa" w:w="22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Backup</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Automated snapshots (35-day) + AWS Backup</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95959"/>
                <w:sz w:val="18"/>
                <w:szCs w:val="18"/>
              </w:rPr>
              <w:t xml:space="preserve">Point-in-time recovery to any second within retention window</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Encryption</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AWS KMS customer-managed CMK</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595959"/>
                <w:sz w:val="18"/>
                <w:szCs w:val="18"/>
              </w:rPr>
              <w:t xml:space="preserve">Encryption at rest and in transit (TLS 1.2+)</w:t>
            </w:r>
          </w:p>
        </w:tc>
      </w:tr>
      <w:tr>
        <w:tc>
          <w:tcPr>
            <w:tcW w:type="dxa" w:w="22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Monitoring</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Enhanced Monitoring + Performance Insights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95959"/>
                <w:sz w:val="18"/>
                <w:szCs w:val="18"/>
              </w:rPr>
              <w:t xml:space="preserve">100ms granularity; top SQL, wait events, I/O breakdown</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Parameter Group</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Custom per tier (T1/T2/T3)</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595959"/>
                <w:sz w:val="18"/>
                <w:szCs w:val="18"/>
              </w:rPr>
              <w:t xml:space="preserve">MAXDOP, cost_threshold, tempdb file count tuned per tier</w:t>
            </w:r>
          </w:p>
        </w:tc>
      </w:tr>
      <w:tr>
        <w:tc>
          <w:tcPr>
            <w:tcW w:type="dxa" w:w="22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Maintenance Window</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Sunday 03:00–05:00 per app group</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95959"/>
                <w:sz w:val="18"/>
                <w:szCs w:val="18"/>
              </w:rPr>
              <w:t xml:space="preserve">Avoids overlap with batch processing windows</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Read Replicas</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Reporting Hub, Analytics DM, Revenue Assurance</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595959"/>
                <w:sz w:val="18"/>
                <w:szCs w:val="18"/>
              </w:rPr>
              <w:t xml:space="preserve">Offloads SSRS/QuickSight/Power BI read load from primary</w:t>
            </w:r>
          </w:p>
        </w:tc>
      </w:tr>
    </w:tbl>
    <w:p>
      <w:pPr>
        <w:spacing w:after="60" w:before="60"/>
      </w:pPr>
      <w:r>
        <w:t xml:space="preserve"/>
      </w:r>
    </w:p>
    <w:p>
      <w:pPr>
        <w:pStyle w:val="Heading2"/>
        <w:spacing w:after="100" w:before="240"/>
      </w:pPr>
      <w:r>
        <w:rPr>
          <w:rFonts w:ascii="Arial" w:cs="Arial" w:eastAsia="Arial" w:hAnsi="Arial"/>
          <w:b/>
          <w:bCs/>
          <w:color w:val="2E75B6"/>
          <w:sz w:val="26"/>
          <w:szCs w:val="26"/>
        </w:rPr>
        <w:t xml:space="preserve">16.2 Networking &amp; Security</w:t>
      </w:r>
    </w:p>
    <w:p>
      <w:pPr>
        <w:pStyle w:val="ListParagraph"/>
        <w:numPr>
          <w:ilvl w:val="0"/>
          <w:numId w:val="2"/>
        </w:numPr>
        <w:spacing w:after="40" w:before="40"/>
      </w:pPr>
      <w:r>
        <w:rPr>
          <w:rFonts w:ascii="Arial" w:cs="Arial" w:eastAsia="Arial" w:hAnsi="Arial"/>
          <w:sz w:val="20"/>
          <w:szCs w:val="20"/>
        </w:rPr>
        <w:t xml:space="preserve">Dedicated VPC: private subnets for RDS; no public endpoint exposure</w:t>
      </w:r>
    </w:p>
    <w:p>
      <w:pPr>
        <w:pStyle w:val="ListParagraph"/>
        <w:numPr>
          <w:ilvl w:val="0"/>
          <w:numId w:val="2"/>
        </w:numPr>
        <w:spacing w:after="40" w:before="40"/>
      </w:pPr>
      <w:r>
        <w:rPr>
          <w:rFonts w:ascii="Arial" w:cs="Arial" w:eastAsia="Arial" w:hAnsi="Arial"/>
          <w:sz w:val="20"/>
          <w:szCs w:val="20"/>
        </w:rPr>
        <w:t xml:space="preserve">Transit Gateway / VPC Peering: application servers connect from application VPC</w:t>
      </w:r>
    </w:p>
    <w:p>
      <w:pPr>
        <w:pStyle w:val="ListParagraph"/>
        <w:numPr>
          <w:ilvl w:val="0"/>
          <w:numId w:val="2"/>
        </w:numPr>
        <w:spacing w:after="40" w:before="40"/>
      </w:pPr>
      <w:r>
        <w:rPr>
          <w:rFonts w:ascii="Arial" w:cs="Arial" w:eastAsia="Arial" w:hAnsi="Arial"/>
          <w:sz w:val="20"/>
          <w:szCs w:val="20"/>
        </w:rPr>
        <w:t xml:space="preserve">Direct Connect (10 Gbps): backup transfer and ongoing Informatica JDBC</w:t>
      </w:r>
    </w:p>
    <w:p>
      <w:pPr>
        <w:pStyle w:val="ListParagraph"/>
        <w:numPr>
          <w:ilvl w:val="0"/>
          <w:numId w:val="2"/>
        </w:numPr>
        <w:spacing w:after="40" w:before="40"/>
      </w:pPr>
      <w:r>
        <w:rPr>
          <w:rFonts w:ascii="Arial" w:cs="Arial" w:eastAsia="Arial" w:hAnsi="Arial"/>
          <w:sz w:val="20"/>
          <w:szCs w:val="20"/>
        </w:rPr>
        <w:t xml:space="preserve">Security groups: only app server SGs and DMS SG access RDS on port 1433</w:t>
      </w:r>
    </w:p>
    <w:p>
      <w:pPr>
        <w:pStyle w:val="ListParagraph"/>
        <w:numPr>
          <w:ilvl w:val="0"/>
          <w:numId w:val="2"/>
        </w:numPr>
        <w:spacing w:after="40" w:before="40"/>
      </w:pPr>
      <w:r>
        <w:rPr>
          <w:rFonts w:ascii="Arial" w:cs="Arial" w:eastAsia="Arial" w:hAnsi="Arial"/>
          <w:sz w:val="20"/>
          <w:szCs w:val="20"/>
        </w:rPr>
        <w:t xml:space="preserve">AWS PrivateLink: Glue → RDS connectivity without public internet traversal</w:t>
      </w:r>
    </w:p>
    <w:p>
      <w:pPr>
        <w:pStyle w:val="ListParagraph"/>
        <w:numPr>
          <w:ilvl w:val="0"/>
          <w:numId w:val="2"/>
        </w:numPr>
        <w:spacing w:after="40" w:before="40"/>
      </w:pPr>
      <w:r>
        <w:rPr>
          <w:rFonts w:ascii="Arial" w:cs="Arial" w:eastAsia="Arial" w:hAnsi="Arial"/>
          <w:sz w:val="20"/>
          <w:szCs w:val="20"/>
        </w:rPr>
        <w:t xml:space="preserve">Secrets Manager rotation: automatic credential rotation Lambda per RDS instance</w:t>
      </w:r>
    </w:p>
    <w:p>
      <w:pPr>
        <w:spacing w:after="60" w:before="60"/>
      </w:pPr>
      <w:r>
        <w:t xml:space="preserve"/>
      </w:r>
    </w:p>
    <w:p>
      <w:r>
        <w:br w:type="page"/>
      </w:r>
    </w:p>
    <w:p>
      <w:pPr>
        <w:pStyle w:val="Heading1"/>
        <w:spacing w:after="120" w:before="300"/>
      </w:pPr>
      <w:r>
        <w:rPr>
          <w:rFonts w:ascii="Arial" w:cs="Arial" w:eastAsia="Arial" w:hAnsi="Arial"/>
          <w:b/>
          <w:bCs/>
          <w:color w:val="1F3864"/>
          <w:sz w:val="32"/>
          <w:szCs w:val="32"/>
        </w:rPr>
        <w:t xml:space="preserve">17. Success Criteria &amp; Exit Conditions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Success Criterion</w:t>
            </w:r>
          </w:p>
        </w:tc>
        <w:tc>
          <w:tcPr>
            <w:tcW w:type="dxa" w:w="468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Measurement / Threshold</w:t>
            </w:r>
          </w:p>
        </w:tc>
      </w:tr>
      <w:tr>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All 29 applications live on RDS SQL Server</w:t>
            </w:r>
          </w:p>
        </w:tc>
        <w:tc>
          <w:tcPr>
            <w:tcW w:type="dxa" w:w="4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196419"/>
                <w:sz w:val="18"/>
                <w:szCs w:val="18"/>
              </w:rPr>
              <w:t xml:space="preserve">App owner sign-off per app; zero critical defects open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Zero data loss during cutover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96419"/>
                <w:sz w:val="18"/>
                <w:szCs w:val="18"/>
              </w:rPr>
              <w:t xml:space="preserve">DMS lag=0 at freeze; 100% row count match; MD5 match on critical tables</w:t>
            </w:r>
          </w:p>
        </w:tc>
      </w:tr>
      <w:tr>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RTO achieved per tier</w:t>
            </w:r>
          </w:p>
        </w:tc>
        <w:tc>
          <w:tcPr>
            <w:tcW w:type="dxa" w:w="4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196419"/>
                <w:sz w:val="18"/>
                <w:szCs w:val="18"/>
              </w:rPr>
              <w:t xml:space="preserve">T1:≤2h, T2:≤4h, T3:≤6h (measured in rehearsal and live)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RPO achieved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96419"/>
                <w:sz w:val="18"/>
                <w:szCs w:val="18"/>
              </w:rPr>
              <w:t xml:space="preserve">T1:≤5min, T2/T3:≤15min (DMS lag at freeze point)</w:t>
            </w:r>
          </w:p>
        </w:tc>
      </w:tr>
      <w:tr>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SSIS→Glue ETL parity</w:t>
            </w:r>
          </w:p>
        </w:tc>
        <w:tc>
          <w:tcPr>
            <w:tcW w:type="dxa" w:w="4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196419"/>
                <w:sz w:val="18"/>
                <w:szCs w:val="18"/>
              </w:rPr>
              <w:t xml:space="preserve">Glue output matches SSIS output 100% of test cases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SSRS functional parity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96419"/>
                <w:sz w:val="18"/>
                <w:szCs w:val="18"/>
              </w:rPr>
              <w:t xml:space="preserve">&gt;98% of reports produce equivalent output; exceptions accepted</w:t>
            </w:r>
          </w:p>
        </w:tc>
      </w:tr>
      <w:tr>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RDS performance ≥ on-prem</w:t>
            </w:r>
          </w:p>
        </w:tc>
        <w:tc>
          <w:tcPr>
            <w:tcW w:type="dxa" w:w="4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196419"/>
                <w:sz w:val="18"/>
                <w:szCs w:val="18"/>
              </w:rPr>
              <w:t xml:space="preserve">P95 latency ≤10% regression; peak TPS at ≤80% CPU</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Informatica connectivity post-cutover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96419"/>
                <w:sz w:val="18"/>
                <w:szCs w:val="18"/>
              </w:rPr>
              <w:t xml:space="preserve">All Informatica sessions connect to RDS within 1 hour of cutover</w:t>
            </w:r>
          </w:p>
        </w:tc>
      </w:tr>
      <w:tr>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No critical security findings</w:t>
            </w:r>
          </w:p>
        </w:tc>
        <w:tc>
          <w:tcPr>
            <w:tcW w:type="dxa" w:w="4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196419"/>
                <w:sz w:val="18"/>
                <w:szCs w:val="18"/>
              </w:rPr>
              <w:t xml:space="preserve">AWS Security Hub: zero critical RDS findings; encryption verified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On-prem decommission eligible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96419"/>
                <w:sz w:val="18"/>
                <w:szCs w:val="18"/>
              </w:rPr>
              <w:t xml:space="preserve">30-day hypercare passed; no P1/P2 incidents from migration; BAU team certified</w:t>
            </w:r>
          </w:p>
        </w:tc>
      </w:tr>
    </w:tbl>
    <w:p>
      <w:pPr>
        <w:spacing w:after="60" w:before="6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100"/>
              <w:left w:type="dxa" w:w="200"/>
              <w:bottom w:type="dxa" w:w="100"/>
              <w:right w:type="dxa" w:w="200"/>
            </w:tcMar>
          </w:tcPr>
          <w:p>
            <w:r>
              <w:rPr>
                <w:rFonts w:ascii="Arial" w:cs="Arial" w:eastAsia="Arial" w:hAnsi="Arial"/>
                <w:b/>
                <w:bCs/>
                <w:color w:val="FFFFFF"/>
                <w:sz w:val="24"/>
                <w:szCs w:val="24"/>
              </w:rPr>
              <w:t xml:space="preserve">APPENDIX: COMPANION EFFORT ESTIMATOR</w:t>
            </w:r>
          </w:p>
        </w:tc>
      </w:tr>
    </w:tbl>
    <w:p>
      <w:pPr>
        <w:spacing w:after="60" w:before="60"/>
      </w:pPr>
      <w:r>
        <w:t xml:space="preserve"/>
      </w:r>
    </w:p>
    <w:p>
      <w:pPr>
        <w:spacing w:after="80" w:before="60"/>
      </w:pPr>
      <w:r>
        <w:rPr>
          <w:rFonts w:ascii="Arial" w:cs="Arial" w:eastAsia="Arial" w:hAnsi="Arial"/>
          <w:sz w:val="20"/>
          <w:szCs w:val="20"/>
        </w:rPr>
        <w:t xml:space="preserve">This migration plan is accompanied by SQL_to_AWS_RDS_Effort_Calculator.xlsx containing:</w:t>
      </w:r>
    </w:p>
    <w:p>
      <w:pPr>
        <w:pStyle w:val="ListParagraph"/>
        <w:numPr>
          <w:ilvl w:val="0"/>
          <w:numId w:val="2"/>
        </w:numPr>
        <w:spacing w:after="40" w:before="40"/>
      </w:pPr>
      <w:r>
        <w:rPr>
          <w:rFonts w:ascii="Arial" w:cs="Arial" w:eastAsia="Arial" w:hAnsi="Arial"/>
          <w:sz w:val="20"/>
          <w:szCs w:val="20"/>
        </w:rPr>
        <w:t xml:space="preserve">Summary Dashboard: Programme KPIs and role-level effort (hours) with live AI saving assumptions</w:t>
      </w:r>
    </w:p>
    <w:p>
      <w:pPr>
        <w:pStyle w:val="ListParagraph"/>
        <w:numPr>
          <w:ilvl w:val="0"/>
          <w:numId w:val="2"/>
        </w:numPr>
        <w:spacing w:after="40" w:before="40"/>
      </w:pPr>
      <w:r>
        <w:rPr>
          <w:rFonts w:ascii="Arial" w:cs="Arial" w:eastAsia="Arial" w:hAnsi="Arial"/>
          <w:sz w:val="20"/>
          <w:szCs w:val="20"/>
        </w:rPr>
        <w:t xml:space="preserve">SME Input Sheet: Simplified per-app input for SMEs — includes Informatica job count per app + Dev/Test/Prod effort breakdown</w:t>
      </w:r>
    </w:p>
    <w:p>
      <w:pPr>
        <w:pStyle w:val="ListParagraph"/>
        <w:numPr>
          <w:ilvl w:val="0"/>
          <w:numId w:val="2"/>
        </w:numPr>
        <w:spacing w:after="40" w:before="40"/>
      </w:pPr>
      <w:r>
        <w:rPr>
          <w:rFonts w:ascii="Arial" w:cs="Arial" w:eastAsia="Arial" w:hAnsi="Arial"/>
          <w:sz w:val="20"/>
          <w:szCs w:val="20"/>
        </w:rPr>
        <w:t xml:space="preserve">App Inventory (Full): Complete 29-app effort calculator with all formula columns</w:t>
      </w:r>
    </w:p>
    <w:p>
      <w:pPr>
        <w:pStyle w:val="ListParagraph"/>
        <w:numPr>
          <w:ilvl w:val="0"/>
          <w:numId w:val="2"/>
        </w:numPr>
        <w:spacing w:after="40" w:before="40"/>
      </w:pPr>
      <w:r>
        <w:rPr>
          <w:rFonts w:ascii="Arial" w:cs="Arial" w:eastAsia="Arial" w:hAnsi="Arial"/>
          <w:sz w:val="20"/>
          <w:szCs w:val="20"/>
        </w:rPr>
        <w:t xml:space="preserve">App Pivot View: Application dropdown with full effort breakdown in hours</w:t>
      </w:r>
    </w:p>
    <w:p>
      <w:pPr>
        <w:pStyle w:val="ListParagraph"/>
        <w:numPr>
          <w:ilvl w:val="0"/>
          <w:numId w:val="2"/>
        </w:numPr>
        <w:spacing w:after="40" w:before="40"/>
      </w:pPr>
      <w:r>
        <w:rPr>
          <w:rFonts w:ascii="Arial" w:cs="Arial" w:eastAsia="Arial" w:hAnsi="Arial"/>
          <w:sz w:val="20"/>
          <w:szCs w:val="20"/>
        </w:rPr>
        <w:t xml:space="preserve">Wave Plan: 9-month rolling Gantt</w:t>
      </w:r>
    </w:p>
    <w:p>
      <w:pPr>
        <w:pStyle w:val="ListParagraph"/>
        <w:numPr>
          <w:ilvl w:val="0"/>
          <w:numId w:val="2"/>
        </w:numPr>
        <w:spacing w:after="40" w:before="40"/>
      </w:pPr>
      <w:r>
        <w:rPr>
          <w:rFonts w:ascii="Arial" w:cs="Arial" w:eastAsia="Arial" w:hAnsi="Arial"/>
          <w:sz w:val="20"/>
          <w:szCs w:val="20"/>
        </w:rPr>
        <w:t xml:space="preserve">Rate Card: Transparent effort rate assumptions (all editable)</w:t>
      </w:r>
    </w:p>
    <w:p>
      <w:pPr>
        <w:spacing w:after="60" w:before="60"/>
      </w:pPr>
      <w:r>
        <w:t xml:space="preserve"/>
      </w:r>
    </w:p>
    <w:p>
      <w:pPr>
        <w:pBdr>
          <w:left w:val="thick" w:color="2E75B6" w:sz="12"/>
        </w:pBdr>
        <w:shd w:fill="D6E4F0" w:val="clear"/>
        <w:spacing w:after="120" w:before="120"/>
        <w:ind w:left="360"/>
      </w:pPr>
      <w:r>
        <w:rPr>
          <w:rFonts w:ascii="Arial" w:cs="Arial" w:eastAsia="Arial" w:hAnsi="Arial"/>
          <w:sz w:val="20"/>
          <w:szCs w:val="20"/>
        </w:rPr>
        <w:t xml:space="preserve">All orange cells in the estimator are editable inputs. All effort is expressed in hours (8 hrs = 1 day). Green cells are formula-calculated outputs. Share the SME Input Sheet tab with application teams — it contains only the fields SMEs need to fill.</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pBdr>
      <w:tabs>
        <w:tab w:val="right" w:pos="9360"/>
      </w:tabs>
      <w:spacing w:after="0" w:before="100"/>
    </w:pPr>
    <w:r>
      <w:rPr>
        <w:rFonts w:ascii="Arial" w:cs="Arial" w:eastAsia="Arial" w:hAnsi="Arial"/>
        <w:color w:val="595959"/>
        <w:sz w:val="16"/>
        <w:szCs w:val="16"/>
      </w:rPr>
      <w:t xml:space="preserve">CONFIDENTIAL  |  Enterprise Data Architecture</w:t>
    </w:r>
    <w:r>
      <w:rPr>
        <w:rFonts w:ascii="Arial" w:cs="Arial" w:eastAsia="Arial" w:hAnsi="Arial"/>
        <w:color w:val="595959"/>
        <w:sz w:val="16"/>
        <w:szCs w:val="16"/>
      </w:rPr>
      <w:t xml:space="preserve">	Page </w:t>
    </w:r>
    <w:r>
      <w:rPr>
        <w:rFonts w:ascii="Arial" w:hAnsi="Arial" w:cs="Arial"/>
        <w:color w:val="595959"/>
        <w:sz w:val="16"/>
        <w:szCs w:val="16"/>
      </w:rPr>
      <w:fldChar w:fldCharType="begin"/>
    </w:r>
    <w:r>
      <w:rPr>
        <w:rFonts w:ascii="Arial" w:hAnsi="Arial" w:cs="Arial"/>
        <w:color w:val="595959"/>
        <w:sz w:val="16"/>
        <w:szCs w:val="16"/>
      </w:rPr>
      <w:instrText xml:space="preserve"> PAGE </w:instrText>
    </w:r>
    <w:r>
      <w:rPr>
        <w:rFonts w:ascii="Arial" w:hAnsi="Arial" w:cs="Arial"/>
        <w:color w:val="595959"/>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pBdr>
      <w:spacing w:after="100" w:before="0"/>
    </w:pPr>
    <w:r>
      <w:rPr>
        <w:rFonts w:ascii="Arial" w:cs="Arial" w:eastAsia="Arial" w:hAnsi="Arial"/>
        <w:color w:val="595959"/>
        <w:sz w:val="16"/>
        <w:szCs w:val="16"/>
      </w:rPr>
      <w:t xml:space="preserve">On-Prem SQL Server → AWS RDS SQL Server Migration Plan  |  29 Applications  |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1F3864"/>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80"/>
      <w:outlineLvl w:val="2"/>
    </w:pPr>
    <w:rPr>
      <w:rFonts w:ascii="Arial" w:cs="Arial" w:eastAsia="Arial" w:hAnsi="Arial"/>
      <w:b/>
      <w:bCs/>
      <w:color w:val="595959"/>
      <w:sz w:val="22"/>
      <w:szCs w:val="22"/>
    </w:rPr>
  </w:style>
  <w:style w:type="paragraph" w:styleId="TOC1">
    <w:name w:val="TOC 1"/>
    <w:basedOn w:val="Normal"/>
    <w:pPr>
      <w:ind w:left="0"/>
      <w:tabs>
        <w:tab w:val="right" w:leader="dot" w:pos="8640"/>
      </w:tabs>
      <w:spacing w:before="40" w:after="40"/>
    </w:pPr>
    <w:rPr>
      <w:rFonts w:ascii="Arial" w:hAnsi="Arial" w:cs="Arial"/>
      <w:color w:val="1F3864"/>
      <w:sz w:val="18"/>
      <w:szCs w:val="18"/>
    </w:rPr>
  </w:style>
  <w:style w:type="paragraph" w:styleId="TOC2">
    <w:name w:val="TOC 2"/>
    <w:basedOn w:val="Normal"/>
    <w:pPr>
      <w:ind w:left="360"/>
      <w:tabs>
        <w:tab w:val="right" w:leader="dot" w:pos="8640"/>
      </w:tabs>
      <w:spacing w:before="40" w:after="40"/>
    </w:pPr>
    <w:rPr>
      <w:rFonts w:ascii="Arial" w:hAnsi="Arial" w:cs="Arial"/>
      <w:color w:val="2E75B6"/>
      <w:sz w:val="18"/>
      <w:szCs w:val="18"/>
      <w:i/>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2026-06-05T23:13:19.902Z</dcterms:created>
  <dcterms:modified xsi:type="dcterms:W3CDTF">2026-06-05T23:13:19.914Z</dcterms:modified>
</cp:coreProperties>
</file>

<file path=docProps/custom.xml><?xml version="1.0" encoding="utf-8"?>
<Properties xmlns="http://schemas.openxmlformats.org/officeDocument/2006/custom-properties" xmlns:vt="http://schemas.openxmlformats.org/officeDocument/2006/docPropsVTypes"/>
</file>