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Market Basket Insights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 : PRAKASH R </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ab/>
        <w:tab/>
        <w:tab/>
        <w:t xml:space="preserve">          NM ID :     au513521106026</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COLLAGE:                AMCET</w:t>
      </w:r>
    </w:p>
    <w:p w:rsidR="00000000" w:rsidDel="00000000" w:rsidP="00000000" w:rsidRDefault="00000000" w:rsidRPr="00000000" w14:paraId="00000006">
      <w:pPr>
        <w:pStyle w:val="Heading2"/>
        <w:rPr>
          <w:b w:val="1"/>
          <w:color w:val="000000"/>
        </w:rPr>
      </w:pPr>
      <w:r w:rsidDel="00000000" w:rsidR="00000000" w:rsidRPr="00000000">
        <w:rPr>
          <w:b w:val="1"/>
          <w:color w:val="000000"/>
          <w:rtl w:val="0"/>
        </w:rPr>
        <w:t xml:space="preserve">PHASE 2-</w:t>
      </w:r>
      <w:r w:rsidDel="00000000" w:rsidR="00000000" w:rsidRPr="00000000">
        <w:rPr>
          <w:b w:val="1"/>
          <w:color w:val="000000"/>
          <w:highlight w:val="white"/>
          <w:rtl w:val="0"/>
        </w:rPr>
        <w:t xml:space="preserve">INNOVATION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1"/>
          <w:color w:val="2f5496"/>
          <w:sz w:val="24"/>
          <w:szCs w:val="24"/>
          <w:rtl w:val="0"/>
        </w:rPr>
        <w:t xml:space="preserve">INTRODUCTION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313131"/>
          <w:sz w:val="21"/>
          <w:szCs w:val="21"/>
          <w:highlight w:val="white"/>
          <w:rtl w:val="0"/>
        </w:rPr>
        <w:t xml:space="preserve">                                    </w:t>
      </w:r>
      <w:r w:rsidDel="00000000" w:rsidR="00000000" w:rsidRPr="00000000">
        <w:rPr>
          <w:rFonts w:ascii="Times New Roman" w:cs="Times New Roman" w:eastAsia="Times New Roman" w:hAnsi="Times New Roman"/>
          <w:color w:val="313131"/>
          <w:sz w:val="21"/>
          <w:szCs w:val="21"/>
          <w:highlight w:val="white"/>
          <w:rtl w:val="0"/>
        </w:rPr>
        <w:t xml:space="preserve">  In the dynamic landscape of retail and e-commerce, understanding customer behaviour is paramount to success. Market basket insights, a powerful data analysis technique, offer a window into consumer preferences and purchasing patterns. This method delves deep into transactional data to uncover which products customers frequently buy together. By identifying these associations, businesses can make informed decisions that lead to enhanced customer experiences, increased sales, and more efficient operations.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2f5496"/>
          <w:u w:val="single"/>
          <w:rtl w:val="0"/>
        </w:rPr>
        <w:t xml:space="preserve">1.DATA SOURCE:</w:t>
      </w:r>
      <w:r w:rsidDel="00000000" w:rsidR="00000000" w:rsidRPr="00000000">
        <w:rPr>
          <w:rtl w:val="0"/>
        </w:rPr>
      </w:r>
    </w:p>
    <w:p w:rsidR="00000000" w:rsidDel="00000000" w:rsidP="00000000" w:rsidRDefault="00000000" w:rsidRPr="00000000" w14:paraId="0000000C">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Point of Sale (POS) Data: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 systems in retail stores provide transaction-level data, including what items were purchased together. This is a valuable source for market basket analysis.</w:t>
      </w:r>
    </w:p>
    <w:p w:rsidR="00000000" w:rsidDel="00000000" w:rsidP="00000000" w:rsidRDefault="00000000" w:rsidRPr="00000000" w14:paraId="0000000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E-commerce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run an online store, you can analysis customer purchase histories to identify patterns and associations between products.</w:t>
      </w:r>
    </w:p>
    <w:p w:rsidR="00000000" w:rsidDel="00000000" w:rsidP="00000000" w:rsidRDefault="00000000" w:rsidRPr="00000000" w14:paraId="00000010">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Customer Surveys: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Conducting surveys can provide direct insights into customer preferences and buying habits.</w:t>
      </w:r>
    </w:p>
    <w:p w:rsidR="00000000" w:rsidDel="00000000" w:rsidP="00000000" w:rsidRDefault="00000000" w:rsidRPr="00000000" w14:paraId="0000001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Loyalty Programs: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loyalty programs can offer a wealth of information about customer behaviour  including .what products are often bought together</w:t>
      </w:r>
    </w:p>
    <w:p w:rsidR="00000000" w:rsidDel="00000000" w:rsidP="00000000" w:rsidRDefault="00000000" w:rsidRPr="00000000" w14:paraId="0000001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for the dataset we will be using for this project is :</w:t>
      </w:r>
      <w:r w:rsidDel="00000000" w:rsidR="00000000" w:rsidRPr="00000000">
        <w:rPr>
          <w:rFonts w:ascii="Open Sans" w:cs="Open Sans" w:eastAsia="Open Sans" w:hAnsi="Open Sans"/>
          <w:b w:val="1"/>
          <w:color w:val="313131"/>
          <w:sz w:val="21"/>
          <w:szCs w:val="21"/>
          <w:highlight w:val="white"/>
          <w:rtl w:val="0"/>
        </w:rPr>
        <w:t xml:space="preserve"> </w:t>
      </w:r>
      <w:hyperlink r:id="rId6">
        <w:r w:rsidDel="00000000" w:rsidR="00000000" w:rsidRPr="00000000">
          <w:rPr>
            <w:rFonts w:ascii="inherit" w:cs="inherit" w:eastAsia="inherit" w:hAnsi="inherit"/>
            <w:b w:val="1"/>
            <w:color w:val="0075b4"/>
            <w:sz w:val="21"/>
            <w:szCs w:val="21"/>
            <w:highlight w:val="white"/>
            <w:u w:val="single"/>
            <w:rtl w:val="0"/>
          </w:rPr>
          <w:t xml:space="preserve">https://www.kaggle.com/datasets/clmentbisaillon/fake-and-real-news-dataset</w:t>
        </w:r>
      </w:hyperlink>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w:t>
      </w:r>
      <w:r w:rsidDel="00000000" w:rsidR="00000000" w:rsidRPr="00000000">
        <w:rPr>
          <w:rFonts w:ascii="Times New Roman" w:cs="Times New Roman" w:eastAsia="Times New Roman" w:hAnsi="Times New Roman"/>
          <w:b w:val="1"/>
          <w:u w:val="single"/>
          <w:rtl w:val="0"/>
        </w:rPr>
        <w:t xml:space="preserve">DATA PREPROCESSING</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Cleaning Remove: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duplicate transactions: Eliminate duplicate records to avoid skewing the analysis.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Handle missing values: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 with any missing data in a way that        doesn't distort the analysis. You might choose to remove transactions with missing items or use imputation methods.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Transaction Formatting: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data to a transaction format: Each row should represent a unique transaction, with items listed together.</w:t>
      </w:r>
    </w:p>
    <w:p w:rsidR="00000000" w:rsidDel="00000000" w:rsidP="00000000" w:rsidRDefault="00000000" w:rsidRPr="00000000" w14:paraId="0000001F">
      <w:pPr>
        <w:pStyle w:val="Heading3"/>
        <w:ind w:left="1494"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3.ASSOCATION ANALYSIS:</w:t>
      </w:r>
    </w:p>
    <w:p w:rsidR="00000000" w:rsidDel="00000000" w:rsidP="00000000" w:rsidRDefault="00000000" w:rsidRPr="00000000" w14:paraId="00000020">
      <w:pPr>
        <w:rPr/>
      </w:pPr>
      <w:r w:rsidDel="00000000" w:rsidR="00000000" w:rsidRPr="00000000">
        <w:rPr>
          <w:rtl w:val="0"/>
        </w:rPr>
        <w:t xml:space="preserve">                                                        Association analysis is a data mining technique used to discover relationships, patterns, and associations among items in transactional databases. In the context of market basket insights, association analysis helps you identify which products are often purchased together, leading to strategies like cross-selling, bundling, and optimizing product placements. Here are the main steps for conducting association analysis</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Data Pre processing:</w:t>
      </w: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47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mentioned earlier, ensure your data is cleaned, formatted, and transformed into a binary transaction format where each row represents a transaction, and each column represents an item.</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Set Minimum Support and Confidence:</w:t>
      </w: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47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define two thresholds Support: This is the minimum frequency (or percentage) of occurrence of an item set in the dataset. It filters out infrequent item sets. Set this threshold based on your data and objectives.</w:t>
      </w:r>
    </w:p>
    <w:p w:rsidR="00000000" w:rsidDel="00000000" w:rsidP="00000000" w:rsidRDefault="00000000" w:rsidRPr="00000000" w14:paraId="00000025">
      <w:pPr>
        <w:pStyle w:val="Heading3"/>
        <w:ind w:left="1494"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 INSIGHT GENERATION:</w:t>
      </w:r>
    </w:p>
    <w:p w:rsidR="00000000" w:rsidDel="00000000" w:rsidP="00000000" w:rsidRDefault="00000000" w:rsidRPr="00000000" w14:paraId="00000026">
      <w:pPr>
        <w:ind w:left="720" w:firstLine="0"/>
        <w:rPr/>
      </w:pPr>
      <w:r w:rsidDel="00000000" w:rsidR="00000000" w:rsidRPr="00000000">
        <w:rPr>
          <w:rtl w:val="0"/>
        </w:rPr>
        <w:t xml:space="preserve">                               Generating actionable insights from market basket analysis involves extracting meaningful patterns and associations from transaction data and translating them into strategies and decisions that benefit the business. Here's how you can generate insights from market basket analysis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Identify Frequency Item set:</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1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association rule mining algorithms like Apriori or FP-Growth to identify frequent item sets. These are groups of items that are often purchased together.</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Discover Association Rules: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5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frequent item sets, generate association rules. Each rule typically consists of an antecedent (the items in the left-hand side) and a consequent (the items in the right-hand side).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metrics like support, confidence, lift, and conviction for each rule.</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1134" w:firstLine="0"/>
        <w:rPr>
          <w:rFonts w:ascii="Times New Roman" w:cs="Times New Roman" w:eastAsia="Times New Roman" w:hAnsi="Times New Roman"/>
          <w:b w:val="1"/>
          <w:color w:val="1f3864"/>
          <w:sz w:val="28"/>
          <w:szCs w:val="28"/>
        </w:rPr>
      </w:pPr>
      <w:r w:rsidDel="00000000" w:rsidR="00000000" w:rsidRPr="00000000">
        <w:rPr>
          <w:rFonts w:ascii="Times New Roman" w:cs="Times New Roman" w:eastAsia="Times New Roman" w:hAnsi="Times New Roman"/>
          <w:b w:val="1"/>
          <w:color w:val="1f3864"/>
          <w:sz w:val="28"/>
          <w:szCs w:val="28"/>
          <w:rtl w:val="0"/>
        </w:rPr>
        <w:t xml:space="preserve">5.</w:t>
      </w:r>
      <w:r w:rsidDel="00000000" w:rsidR="00000000" w:rsidRPr="00000000">
        <w:rPr>
          <w:rFonts w:ascii="Times New Roman" w:cs="Times New Roman" w:eastAsia="Times New Roman" w:hAnsi="Times New Roman"/>
          <w:b w:val="1"/>
          <w:color w:val="1f3864"/>
          <w:sz w:val="28"/>
          <w:szCs w:val="28"/>
          <w:u w:val="single"/>
          <w:rtl w:val="0"/>
        </w:rPr>
        <w:t xml:space="preserve">ASSOCIATION RULE VISULAIZATION:</w:t>
      </w:r>
      <w:r w:rsidDel="00000000" w:rsidR="00000000" w:rsidRPr="00000000">
        <w:rPr>
          <w:rtl w:val="0"/>
        </w:rPr>
      </w:r>
    </w:p>
    <w:p w:rsidR="00000000" w:rsidDel="00000000" w:rsidP="00000000" w:rsidRDefault="00000000" w:rsidRPr="00000000" w14:paraId="00000030">
      <w:pPr>
        <w:ind w:left="1134" w:firstLine="0"/>
        <w:rPr/>
      </w:pPr>
      <w:r w:rsidDel="00000000" w:rsidR="00000000" w:rsidRPr="00000000">
        <w:rPr>
          <w:rFonts w:ascii="Times New Roman" w:cs="Times New Roman" w:eastAsia="Times New Roman" w:hAnsi="Times New Roman"/>
          <w:b w:val="1"/>
          <w:color w:val="1f3864"/>
          <w:sz w:val="28"/>
          <w:szCs w:val="28"/>
          <w:rtl w:val="0"/>
        </w:rPr>
        <w:t xml:space="preserve">            </w:t>
      </w:r>
      <w:r w:rsidDel="00000000" w:rsidR="00000000" w:rsidRPr="00000000">
        <w:rPr>
          <w:rtl w:val="0"/>
        </w:rPr>
        <w:t xml:space="preserve">Association rule visualization is a powerful way to present the results of market basket analysis in a clear and interpretable manner. Here are some common methods and elements used in association rule visualization for market basket insight</w:t>
      </w:r>
    </w:p>
    <w:p w:rsidR="00000000" w:rsidDel="00000000" w:rsidP="00000000" w:rsidRDefault="00000000" w:rsidRPr="00000000" w14:paraId="00000031">
      <w:pPr>
        <w:ind w:left="1134" w:firstLine="0"/>
        <w:rPr>
          <w:b w:val="1"/>
        </w:rPr>
      </w:pPr>
      <w:r w:rsidDel="00000000" w:rsidR="00000000" w:rsidRPr="00000000">
        <w:rPr>
          <w:rtl w:val="0"/>
        </w:rPr>
        <w:t xml:space="preserve">             </w:t>
      </w:r>
      <w:r w:rsidDel="00000000" w:rsidR="00000000" w:rsidRPr="00000000">
        <w:rPr>
          <w:b w:val="1"/>
          <w:rtl w:val="0"/>
        </w:rPr>
        <w:t xml:space="preserve">Network Graphs: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graphs represent items as nodes and association rules as edges connecting the nodes.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Nodes can be sized or coloured based on metrics like support, confidence, or lift.</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Edge thickness or colour can represent the strength of the association.</w:t>
      </w:r>
    </w:p>
    <w:p w:rsidR="00000000" w:rsidDel="00000000" w:rsidP="00000000" w:rsidRDefault="00000000" w:rsidRPr="00000000" w14:paraId="00000035">
      <w:pPr>
        <w:rPr>
          <w:b w:val="1"/>
        </w:rPr>
      </w:pPr>
      <w:r w:rsidDel="00000000" w:rsidR="00000000" w:rsidRPr="00000000">
        <w:rPr>
          <w:rtl w:val="0"/>
        </w:rPr>
        <w:t xml:space="preserve">                                       </w:t>
      </w:r>
      <w:r w:rsidDel="00000000" w:rsidR="00000000" w:rsidRPr="00000000">
        <w:rPr>
          <w:b w:val="1"/>
          <w:rtl w:val="0"/>
        </w:rPr>
        <w:t xml:space="preserve">Circular Layout:</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Arrange nodes and edges in a circular layout for a visually appealing representation.</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central node can represent a particular item or category, while surrounding nodes represent associated items.</w:t>
      </w:r>
    </w:p>
    <w:p w:rsidR="00000000" w:rsidDel="00000000" w:rsidP="00000000" w:rsidRDefault="00000000" w:rsidRPr="00000000" w14:paraId="00000038">
      <w:pPr>
        <w:ind w:left="1134" w:firstLine="0"/>
        <w:rPr>
          <w:rFonts w:ascii="Times New Roman" w:cs="Times New Roman" w:eastAsia="Times New Roman" w:hAnsi="Times New Roman"/>
          <w:b w:val="1"/>
          <w:color w:val="1f3864"/>
          <w:sz w:val="28"/>
          <w:szCs w:val="28"/>
        </w:rPr>
      </w:pPr>
      <w:r w:rsidDel="00000000" w:rsidR="00000000" w:rsidRPr="00000000">
        <w:rPr>
          <w:rtl w:val="0"/>
        </w:rPr>
      </w:r>
    </w:p>
    <w:p w:rsidR="00000000" w:rsidDel="00000000" w:rsidP="00000000" w:rsidRDefault="00000000" w:rsidRPr="00000000" w14:paraId="00000039">
      <w:pPr>
        <w:pStyle w:val="Heading3"/>
        <w:ind w:left="1134"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u w:val="single"/>
          <w:rtl w:val="0"/>
        </w:rPr>
        <w:t xml:space="preserve">BUSINESS RECOMMENDATION:</w:t>
      </w:r>
    </w:p>
    <w:p w:rsidR="00000000" w:rsidDel="00000000" w:rsidP="00000000" w:rsidRDefault="00000000" w:rsidRPr="00000000" w14:paraId="0000003A">
      <w:pPr>
        <w:rPr/>
      </w:pPr>
      <w:r w:rsidDel="00000000" w:rsidR="00000000" w:rsidRPr="00000000">
        <w:rPr>
          <w:rtl w:val="0"/>
        </w:rPr>
        <w:t xml:space="preserve">                                     Market basket insights offer valuable opportunities for businesses to improve sales, customer satisfaction, and overall profitability. Here are some business recommendations based on market basket insights</w:t>
      </w:r>
    </w:p>
    <w:p w:rsidR="00000000" w:rsidDel="00000000" w:rsidP="00000000" w:rsidRDefault="00000000" w:rsidRPr="00000000" w14:paraId="0000003B">
      <w:pPr>
        <w:rPr>
          <w:b w:val="1"/>
        </w:rPr>
      </w:pPr>
      <w:r w:rsidDel="00000000" w:rsidR="00000000" w:rsidRPr="00000000">
        <w:rPr>
          <w:rtl w:val="0"/>
        </w:rPr>
        <w:t xml:space="preserve">                            </w:t>
      </w:r>
      <w:r w:rsidDel="00000000" w:rsidR="00000000" w:rsidRPr="00000000">
        <w:rPr>
          <w:b w:val="1"/>
          <w:rtl w:val="0"/>
        </w:rPr>
        <w:t xml:space="preserve">Cross-Selling Strategies: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related products to customers during the checkout process or on product pages. For example, suggest complementary items like batteries when someone buys an electronic device.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ind w:left="1440" w:firstLine="0"/>
        <w:rPr>
          <w:b w:val="1"/>
        </w:rPr>
      </w:pPr>
      <w:r w:rsidDel="00000000" w:rsidR="00000000" w:rsidRPr="00000000">
        <w:rPr>
          <w:b w:val="1"/>
          <w:rtl w:val="0"/>
        </w:rPr>
        <w:t xml:space="preserve">Bundling Products: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product bundles or packages based on frequently associated items. This encourages customers to buy multiple items together at a discounted price.</w:t>
      </w:r>
    </w:p>
    <w:p w:rsidR="00000000" w:rsidDel="00000000" w:rsidP="00000000" w:rsidRDefault="00000000" w:rsidRPr="00000000" w14:paraId="00000040">
      <w:pPr>
        <w:pStyle w:val="Heading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tab/>
        <w:t xml:space="preserve">In conclusion, market basket insights represent a valuable tool for businesses seeking to enhance their operations, boost customer satisfaction, and increase revenue. Through the meticulous analysis of transactional data, organizations can uncover hidden patterns and associations among products, paving the way for informed decision-making and strategic actions.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By leveraging market basket insights, businesses can implement a range of strategies, from cross-selling and product bundling to optimizing product placement and personalized marketing. These tactics not only increase sales but also enrich the overall shopping experience for customers.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720" w:firstLine="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14:paraId="0000004A">
      <w:pPr>
        <w:rPr/>
      </w:pPr>
      <w:r w:rsidDel="00000000" w:rsidR="00000000" w:rsidRPr="00000000">
        <w:rPr>
          <w:rtl w:val="0"/>
        </w:rPr>
        <w:tab/>
        <w:tab/>
        <w:tab/>
        <w:tab/>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ontserrat"/>
  <w:font w:name="Open Sans"/>
  <w:font w:name="inheri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540" w:hanging="360"/>
      </w:pPr>
      <w:rPr>
        <w:rFonts w:ascii="Noto Sans Symbols" w:cs="Noto Sans Symbols" w:eastAsia="Noto Sans Symbols" w:hAnsi="Noto Sans Symbols"/>
      </w:rPr>
    </w:lvl>
    <w:lvl w:ilvl="1">
      <w:start w:val="1"/>
      <w:numFmt w:val="bullet"/>
      <w:lvlText w:val="o"/>
      <w:lvlJc w:val="left"/>
      <w:pPr>
        <w:ind w:left="4260" w:hanging="360"/>
      </w:pPr>
      <w:rPr>
        <w:rFonts w:ascii="Courier New" w:cs="Courier New" w:eastAsia="Courier New" w:hAnsi="Courier New"/>
      </w:rPr>
    </w:lvl>
    <w:lvl w:ilvl="2">
      <w:start w:val="1"/>
      <w:numFmt w:val="bullet"/>
      <w:lvlText w:val="▪"/>
      <w:lvlJc w:val="left"/>
      <w:pPr>
        <w:ind w:left="4980" w:hanging="360"/>
      </w:pPr>
      <w:rPr>
        <w:rFonts w:ascii="Noto Sans Symbols" w:cs="Noto Sans Symbols" w:eastAsia="Noto Sans Symbols" w:hAnsi="Noto Sans Symbols"/>
      </w:rPr>
    </w:lvl>
    <w:lvl w:ilvl="3">
      <w:start w:val="1"/>
      <w:numFmt w:val="bullet"/>
      <w:lvlText w:val="●"/>
      <w:lvlJc w:val="left"/>
      <w:pPr>
        <w:ind w:left="5700" w:hanging="360"/>
      </w:pPr>
      <w:rPr>
        <w:rFonts w:ascii="Noto Sans Symbols" w:cs="Noto Sans Symbols" w:eastAsia="Noto Sans Symbols" w:hAnsi="Noto Sans Symbols"/>
      </w:rPr>
    </w:lvl>
    <w:lvl w:ilvl="4">
      <w:start w:val="1"/>
      <w:numFmt w:val="bullet"/>
      <w:lvlText w:val="o"/>
      <w:lvlJc w:val="left"/>
      <w:pPr>
        <w:ind w:left="6420" w:hanging="360"/>
      </w:pPr>
      <w:rPr>
        <w:rFonts w:ascii="Courier New" w:cs="Courier New" w:eastAsia="Courier New" w:hAnsi="Courier New"/>
      </w:rPr>
    </w:lvl>
    <w:lvl w:ilvl="5">
      <w:start w:val="1"/>
      <w:numFmt w:val="bullet"/>
      <w:lvlText w:val="▪"/>
      <w:lvlJc w:val="left"/>
      <w:pPr>
        <w:ind w:left="7140" w:hanging="360"/>
      </w:pPr>
      <w:rPr>
        <w:rFonts w:ascii="Noto Sans Symbols" w:cs="Noto Sans Symbols" w:eastAsia="Noto Sans Symbols" w:hAnsi="Noto Sans Symbols"/>
      </w:rPr>
    </w:lvl>
    <w:lvl w:ilvl="6">
      <w:start w:val="1"/>
      <w:numFmt w:val="bullet"/>
      <w:lvlText w:val="●"/>
      <w:lvlJc w:val="left"/>
      <w:pPr>
        <w:ind w:left="7860" w:hanging="360"/>
      </w:pPr>
      <w:rPr>
        <w:rFonts w:ascii="Noto Sans Symbols" w:cs="Noto Sans Symbols" w:eastAsia="Noto Sans Symbols" w:hAnsi="Noto Sans Symbols"/>
      </w:rPr>
    </w:lvl>
    <w:lvl w:ilvl="7">
      <w:start w:val="1"/>
      <w:numFmt w:val="bullet"/>
      <w:lvlText w:val="o"/>
      <w:lvlJc w:val="left"/>
      <w:pPr>
        <w:ind w:left="8580" w:hanging="360"/>
      </w:pPr>
      <w:rPr>
        <w:rFonts w:ascii="Courier New" w:cs="Courier New" w:eastAsia="Courier New" w:hAnsi="Courier New"/>
      </w:rPr>
    </w:lvl>
    <w:lvl w:ilvl="8">
      <w:start w:val="1"/>
      <w:numFmt w:val="bullet"/>
      <w:lvlText w:val="▪"/>
      <w:lvlJc w:val="left"/>
      <w:pPr>
        <w:ind w:left="9300" w:hanging="360"/>
      </w:pPr>
      <w:rPr>
        <w:rFonts w:ascii="Noto Sans Symbols" w:cs="Noto Sans Symbols" w:eastAsia="Noto Sans Symbols" w:hAnsi="Noto Sans Symbols"/>
      </w:rPr>
    </w:lvl>
  </w:abstractNum>
  <w:abstractNum w:abstractNumId="2">
    <w:lvl w:ilvl="0">
      <w:start w:val="1"/>
      <w:numFmt w:val="bullet"/>
      <w:lvlText w:val="⮚"/>
      <w:lvlJc w:val="left"/>
      <w:pPr>
        <w:ind w:left="3510" w:hanging="360"/>
      </w:pPr>
      <w:rPr>
        <w:rFonts w:ascii="Noto Sans Symbols" w:cs="Noto Sans Symbols" w:eastAsia="Noto Sans Symbols" w:hAnsi="Noto Sans Symbols"/>
      </w:rPr>
    </w:lvl>
    <w:lvl w:ilvl="1">
      <w:start w:val="1"/>
      <w:numFmt w:val="bullet"/>
      <w:lvlText w:val="o"/>
      <w:lvlJc w:val="left"/>
      <w:pPr>
        <w:ind w:left="4230" w:hanging="360"/>
      </w:pPr>
      <w:rPr>
        <w:rFonts w:ascii="Courier New" w:cs="Courier New" w:eastAsia="Courier New" w:hAnsi="Courier New"/>
      </w:rPr>
    </w:lvl>
    <w:lvl w:ilvl="2">
      <w:start w:val="1"/>
      <w:numFmt w:val="bullet"/>
      <w:lvlText w:val="▪"/>
      <w:lvlJc w:val="left"/>
      <w:pPr>
        <w:ind w:left="4950" w:hanging="360"/>
      </w:pPr>
      <w:rPr>
        <w:rFonts w:ascii="Noto Sans Symbols" w:cs="Noto Sans Symbols" w:eastAsia="Noto Sans Symbols" w:hAnsi="Noto Sans Symbols"/>
      </w:rPr>
    </w:lvl>
    <w:lvl w:ilvl="3">
      <w:start w:val="1"/>
      <w:numFmt w:val="bullet"/>
      <w:lvlText w:val="●"/>
      <w:lvlJc w:val="left"/>
      <w:pPr>
        <w:ind w:left="5670" w:hanging="360"/>
      </w:pPr>
      <w:rPr>
        <w:rFonts w:ascii="Noto Sans Symbols" w:cs="Noto Sans Symbols" w:eastAsia="Noto Sans Symbols" w:hAnsi="Noto Sans Symbols"/>
      </w:rPr>
    </w:lvl>
    <w:lvl w:ilvl="4">
      <w:start w:val="1"/>
      <w:numFmt w:val="bullet"/>
      <w:lvlText w:val="o"/>
      <w:lvlJc w:val="left"/>
      <w:pPr>
        <w:ind w:left="6390" w:hanging="360"/>
      </w:pPr>
      <w:rPr>
        <w:rFonts w:ascii="Courier New" w:cs="Courier New" w:eastAsia="Courier New" w:hAnsi="Courier New"/>
      </w:rPr>
    </w:lvl>
    <w:lvl w:ilvl="5">
      <w:start w:val="1"/>
      <w:numFmt w:val="bullet"/>
      <w:lvlText w:val="▪"/>
      <w:lvlJc w:val="left"/>
      <w:pPr>
        <w:ind w:left="7110" w:hanging="360"/>
      </w:pPr>
      <w:rPr>
        <w:rFonts w:ascii="Noto Sans Symbols" w:cs="Noto Sans Symbols" w:eastAsia="Noto Sans Symbols" w:hAnsi="Noto Sans Symbols"/>
      </w:rPr>
    </w:lvl>
    <w:lvl w:ilvl="6">
      <w:start w:val="1"/>
      <w:numFmt w:val="bullet"/>
      <w:lvlText w:val="●"/>
      <w:lvlJc w:val="left"/>
      <w:pPr>
        <w:ind w:left="7830" w:hanging="360"/>
      </w:pPr>
      <w:rPr>
        <w:rFonts w:ascii="Noto Sans Symbols" w:cs="Noto Sans Symbols" w:eastAsia="Noto Sans Symbols" w:hAnsi="Noto Sans Symbols"/>
      </w:rPr>
    </w:lvl>
    <w:lvl w:ilvl="7">
      <w:start w:val="1"/>
      <w:numFmt w:val="bullet"/>
      <w:lvlText w:val="o"/>
      <w:lvlJc w:val="left"/>
      <w:pPr>
        <w:ind w:left="8550" w:hanging="360"/>
      </w:pPr>
      <w:rPr>
        <w:rFonts w:ascii="Courier New" w:cs="Courier New" w:eastAsia="Courier New" w:hAnsi="Courier New"/>
      </w:rPr>
    </w:lvl>
    <w:lvl w:ilvl="8">
      <w:start w:val="1"/>
      <w:numFmt w:val="bullet"/>
      <w:lvlText w:val="▪"/>
      <w:lvlJc w:val="left"/>
      <w:pPr>
        <w:ind w:left="9270" w:hanging="360"/>
      </w:pPr>
      <w:rPr>
        <w:rFonts w:ascii="Noto Sans Symbols" w:cs="Noto Sans Symbols" w:eastAsia="Noto Sans Symbols" w:hAnsi="Noto Sans Symbols"/>
      </w:rPr>
    </w:lvl>
  </w:abstractNum>
  <w:abstractNum w:abstractNumId="3">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3478" w:hanging="360"/>
      </w:pPr>
      <w:rPr>
        <w:rFonts w:ascii="Noto Sans Symbols" w:cs="Noto Sans Symbols" w:eastAsia="Noto Sans Symbols" w:hAnsi="Noto Sans Symbols"/>
      </w:rPr>
    </w:lvl>
    <w:lvl w:ilvl="1">
      <w:start w:val="1"/>
      <w:numFmt w:val="bullet"/>
      <w:lvlText w:val="o"/>
      <w:lvlJc w:val="left"/>
      <w:pPr>
        <w:ind w:left="4198" w:hanging="360"/>
      </w:pPr>
      <w:rPr>
        <w:rFonts w:ascii="Courier New" w:cs="Courier New" w:eastAsia="Courier New" w:hAnsi="Courier New"/>
      </w:rPr>
    </w:lvl>
    <w:lvl w:ilvl="2">
      <w:start w:val="1"/>
      <w:numFmt w:val="bullet"/>
      <w:lvlText w:val="▪"/>
      <w:lvlJc w:val="left"/>
      <w:pPr>
        <w:ind w:left="4918" w:hanging="360"/>
      </w:pPr>
      <w:rPr>
        <w:rFonts w:ascii="Noto Sans Symbols" w:cs="Noto Sans Symbols" w:eastAsia="Noto Sans Symbols" w:hAnsi="Noto Sans Symbols"/>
      </w:rPr>
    </w:lvl>
    <w:lvl w:ilvl="3">
      <w:start w:val="1"/>
      <w:numFmt w:val="bullet"/>
      <w:lvlText w:val="●"/>
      <w:lvlJc w:val="left"/>
      <w:pPr>
        <w:ind w:left="5638" w:hanging="360"/>
      </w:pPr>
      <w:rPr>
        <w:rFonts w:ascii="Noto Sans Symbols" w:cs="Noto Sans Symbols" w:eastAsia="Noto Sans Symbols" w:hAnsi="Noto Sans Symbols"/>
      </w:rPr>
    </w:lvl>
    <w:lvl w:ilvl="4">
      <w:start w:val="1"/>
      <w:numFmt w:val="bullet"/>
      <w:lvlText w:val="o"/>
      <w:lvlJc w:val="left"/>
      <w:pPr>
        <w:ind w:left="6358" w:hanging="360"/>
      </w:pPr>
      <w:rPr>
        <w:rFonts w:ascii="Courier New" w:cs="Courier New" w:eastAsia="Courier New" w:hAnsi="Courier New"/>
      </w:rPr>
    </w:lvl>
    <w:lvl w:ilvl="5">
      <w:start w:val="1"/>
      <w:numFmt w:val="bullet"/>
      <w:lvlText w:val="▪"/>
      <w:lvlJc w:val="left"/>
      <w:pPr>
        <w:ind w:left="7078" w:hanging="360"/>
      </w:pPr>
      <w:rPr>
        <w:rFonts w:ascii="Noto Sans Symbols" w:cs="Noto Sans Symbols" w:eastAsia="Noto Sans Symbols" w:hAnsi="Noto Sans Symbols"/>
      </w:rPr>
    </w:lvl>
    <w:lvl w:ilvl="6">
      <w:start w:val="1"/>
      <w:numFmt w:val="bullet"/>
      <w:lvlText w:val="●"/>
      <w:lvlJc w:val="left"/>
      <w:pPr>
        <w:ind w:left="7798" w:hanging="360"/>
      </w:pPr>
      <w:rPr>
        <w:rFonts w:ascii="Noto Sans Symbols" w:cs="Noto Sans Symbols" w:eastAsia="Noto Sans Symbols" w:hAnsi="Noto Sans Symbols"/>
      </w:rPr>
    </w:lvl>
    <w:lvl w:ilvl="7">
      <w:start w:val="1"/>
      <w:numFmt w:val="bullet"/>
      <w:lvlText w:val="o"/>
      <w:lvlJc w:val="left"/>
      <w:pPr>
        <w:ind w:left="8518" w:hanging="360"/>
      </w:pPr>
      <w:rPr>
        <w:rFonts w:ascii="Courier New" w:cs="Courier New" w:eastAsia="Courier New" w:hAnsi="Courier New"/>
      </w:rPr>
    </w:lvl>
    <w:lvl w:ilvl="8">
      <w:start w:val="1"/>
      <w:numFmt w:val="bullet"/>
      <w:lvlText w:val="▪"/>
      <w:lvlJc w:val="left"/>
      <w:pPr>
        <w:ind w:left="9238" w:hanging="360"/>
      </w:pPr>
      <w:rPr>
        <w:rFonts w:ascii="Noto Sans Symbols" w:cs="Noto Sans Symbols" w:eastAsia="Noto Sans Symbols" w:hAnsi="Noto Sans Symbols"/>
      </w:rPr>
    </w:lvl>
  </w:abstractNum>
  <w:abstractNum w:abstractNumId="7">
    <w:lvl w:ilvl="0">
      <w:start w:val="1"/>
      <w:numFmt w:val="bullet"/>
      <w:lvlText w:val="⮚"/>
      <w:lvlJc w:val="left"/>
      <w:pPr>
        <w:ind w:left="3720" w:hanging="360"/>
      </w:pPr>
      <w:rPr>
        <w:rFonts w:ascii="Noto Sans Symbols" w:cs="Noto Sans Symbols" w:eastAsia="Noto Sans Symbols" w:hAnsi="Noto Sans Symbols"/>
      </w:rPr>
    </w:lvl>
    <w:lvl w:ilvl="1">
      <w:start w:val="1"/>
      <w:numFmt w:val="bullet"/>
      <w:lvlText w:val="o"/>
      <w:lvlJc w:val="left"/>
      <w:pPr>
        <w:ind w:left="4440" w:hanging="360"/>
      </w:pPr>
      <w:rPr>
        <w:rFonts w:ascii="Courier New" w:cs="Courier New" w:eastAsia="Courier New" w:hAnsi="Courier New"/>
      </w:rPr>
    </w:lvl>
    <w:lvl w:ilvl="2">
      <w:start w:val="1"/>
      <w:numFmt w:val="bullet"/>
      <w:lvlText w:val="▪"/>
      <w:lvlJc w:val="left"/>
      <w:pPr>
        <w:ind w:left="5160" w:hanging="360"/>
      </w:pPr>
      <w:rPr>
        <w:rFonts w:ascii="Noto Sans Symbols" w:cs="Noto Sans Symbols" w:eastAsia="Noto Sans Symbols" w:hAnsi="Noto Sans Symbols"/>
      </w:rPr>
    </w:lvl>
    <w:lvl w:ilvl="3">
      <w:start w:val="1"/>
      <w:numFmt w:val="bullet"/>
      <w:lvlText w:val="●"/>
      <w:lvlJc w:val="left"/>
      <w:pPr>
        <w:ind w:left="5880" w:hanging="360"/>
      </w:pPr>
      <w:rPr>
        <w:rFonts w:ascii="Noto Sans Symbols" w:cs="Noto Sans Symbols" w:eastAsia="Noto Sans Symbols" w:hAnsi="Noto Sans Symbols"/>
      </w:rPr>
    </w:lvl>
    <w:lvl w:ilvl="4">
      <w:start w:val="1"/>
      <w:numFmt w:val="bullet"/>
      <w:lvlText w:val="o"/>
      <w:lvlJc w:val="left"/>
      <w:pPr>
        <w:ind w:left="6600" w:hanging="360"/>
      </w:pPr>
      <w:rPr>
        <w:rFonts w:ascii="Courier New" w:cs="Courier New" w:eastAsia="Courier New" w:hAnsi="Courier New"/>
      </w:rPr>
    </w:lvl>
    <w:lvl w:ilvl="5">
      <w:start w:val="1"/>
      <w:numFmt w:val="bullet"/>
      <w:lvlText w:val="▪"/>
      <w:lvlJc w:val="left"/>
      <w:pPr>
        <w:ind w:left="7320" w:hanging="360"/>
      </w:pPr>
      <w:rPr>
        <w:rFonts w:ascii="Noto Sans Symbols" w:cs="Noto Sans Symbols" w:eastAsia="Noto Sans Symbols" w:hAnsi="Noto Sans Symbols"/>
      </w:rPr>
    </w:lvl>
    <w:lvl w:ilvl="6">
      <w:start w:val="1"/>
      <w:numFmt w:val="bullet"/>
      <w:lvlText w:val="●"/>
      <w:lvlJc w:val="left"/>
      <w:pPr>
        <w:ind w:left="8040" w:hanging="360"/>
      </w:pPr>
      <w:rPr>
        <w:rFonts w:ascii="Noto Sans Symbols" w:cs="Noto Sans Symbols" w:eastAsia="Noto Sans Symbols" w:hAnsi="Noto Sans Symbols"/>
      </w:rPr>
    </w:lvl>
    <w:lvl w:ilvl="7">
      <w:start w:val="1"/>
      <w:numFmt w:val="bullet"/>
      <w:lvlText w:val="o"/>
      <w:lvlJc w:val="left"/>
      <w:pPr>
        <w:ind w:left="8760" w:hanging="360"/>
      </w:pPr>
      <w:rPr>
        <w:rFonts w:ascii="Courier New" w:cs="Courier New" w:eastAsia="Courier New" w:hAnsi="Courier New"/>
      </w:rPr>
    </w:lvl>
    <w:lvl w:ilvl="8">
      <w:start w:val="1"/>
      <w:numFmt w:val="bullet"/>
      <w:lvlText w:val="▪"/>
      <w:lvlJc w:val="left"/>
      <w:pPr>
        <w:ind w:left="9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